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B4CD" w14:textId="77777777" w:rsidR="003D1E88" w:rsidRDefault="003D1E88" w:rsidP="003D1E88">
      <w:pPr>
        <w:pStyle w:val="Bezodstpw"/>
        <w:spacing w:after="100" w:afterAutospacing="1"/>
        <w:jc w:val="center"/>
        <w:rPr>
          <w:rFonts w:ascii="Calibri" w:hAnsi="Calibri" w:cs="Calibri"/>
          <w:b/>
          <w:bCs/>
        </w:rPr>
      </w:pPr>
      <w:r w:rsidRPr="008D02A5"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</w:rPr>
        <w:t>ROJEKT UCHWAŁY</w:t>
      </w:r>
    </w:p>
    <w:p w14:paraId="51E1E6E0" w14:textId="77777777" w:rsidR="003D1E88" w:rsidRPr="008D02A5" w:rsidRDefault="003D1E88" w:rsidP="003D1E88">
      <w:pPr>
        <w:pStyle w:val="Bezodstpw"/>
        <w:jc w:val="both"/>
        <w:rPr>
          <w:rFonts w:ascii="Calibri" w:hAnsi="Calibri" w:cs="Calibri"/>
          <w:b/>
          <w:bCs/>
        </w:rPr>
      </w:pPr>
      <w:r w:rsidRPr="008D02A5">
        <w:rPr>
          <w:rFonts w:ascii="Calibri" w:hAnsi="Calibri" w:cs="Calibri"/>
          <w:b/>
          <w:bCs/>
        </w:rPr>
        <w:t>Uchwał</w:t>
      </w:r>
      <w:r>
        <w:rPr>
          <w:rFonts w:ascii="Calibri" w:hAnsi="Calibri" w:cs="Calibri"/>
          <w:b/>
          <w:bCs/>
        </w:rPr>
        <w:t>a</w:t>
      </w:r>
      <w:r w:rsidRPr="008D02A5">
        <w:rPr>
          <w:rFonts w:ascii="Calibri" w:hAnsi="Calibri" w:cs="Calibri"/>
          <w:b/>
          <w:bCs/>
        </w:rPr>
        <w:t xml:space="preserve"> nr ….</w:t>
      </w:r>
    </w:p>
    <w:p w14:paraId="62630760" w14:textId="77777777" w:rsidR="003D1E88" w:rsidRPr="008D02A5" w:rsidRDefault="003D1E88" w:rsidP="003D1E88">
      <w:pPr>
        <w:pStyle w:val="Bezodstpw"/>
        <w:jc w:val="both"/>
        <w:rPr>
          <w:rFonts w:ascii="Calibri" w:hAnsi="Calibri" w:cs="Calibri"/>
          <w:b/>
          <w:bCs/>
        </w:rPr>
      </w:pPr>
      <w:r w:rsidRPr="008D02A5">
        <w:rPr>
          <w:rFonts w:ascii="Calibri" w:hAnsi="Calibri" w:cs="Calibri"/>
          <w:b/>
          <w:bCs/>
        </w:rPr>
        <w:t>Podkomitetu do spraw rozwoju partnerstwa na lata 2021-2027</w:t>
      </w:r>
    </w:p>
    <w:p w14:paraId="0C1ECC37" w14:textId="2DB5AEBE" w:rsidR="003D1E88" w:rsidRPr="008D02A5" w:rsidRDefault="003D1E88" w:rsidP="003D1E88">
      <w:pPr>
        <w:pStyle w:val="Bezodstpw"/>
        <w:jc w:val="both"/>
        <w:rPr>
          <w:rFonts w:ascii="Calibri" w:hAnsi="Calibri" w:cs="Calibri"/>
          <w:b/>
          <w:bCs/>
        </w:rPr>
      </w:pPr>
      <w:r w:rsidRPr="008D02A5">
        <w:rPr>
          <w:rFonts w:ascii="Calibri" w:hAnsi="Calibri" w:cs="Calibri"/>
          <w:b/>
          <w:bCs/>
        </w:rPr>
        <w:t>z dnia</w:t>
      </w:r>
      <w:r w:rsidR="000710E2">
        <w:rPr>
          <w:rFonts w:ascii="Calibri" w:hAnsi="Calibri" w:cs="Calibri"/>
          <w:b/>
          <w:bCs/>
        </w:rPr>
        <w:t xml:space="preserve"> 24.03.2025 r.</w:t>
      </w:r>
    </w:p>
    <w:p w14:paraId="0E1A195C" w14:textId="639C212D" w:rsidR="00B677C2" w:rsidRPr="003D1E88" w:rsidRDefault="00325272" w:rsidP="003D1E88">
      <w:pPr>
        <w:pStyle w:val="Bezodstpw"/>
        <w:spacing w:after="120"/>
        <w:rPr>
          <w:rFonts w:asciiTheme="minorHAnsi" w:hAnsiTheme="minorHAnsi" w:cstheme="minorHAnsi"/>
          <w:b/>
          <w:bCs/>
        </w:rPr>
      </w:pPr>
      <w:r w:rsidRPr="003D1E88">
        <w:rPr>
          <w:rFonts w:asciiTheme="minorHAnsi" w:hAnsiTheme="minorHAnsi" w:cstheme="minorHAnsi"/>
          <w:b/>
          <w:bCs/>
        </w:rPr>
        <w:t xml:space="preserve">w sprawie </w:t>
      </w:r>
      <w:r w:rsidR="00B677C2" w:rsidRPr="003D1E88">
        <w:rPr>
          <w:rFonts w:asciiTheme="minorHAnsi" w:hAnsiTheme="minorHAnsi" w:cstheme="minorHAnsi"/>
          <w:b/>
          <w:bCs/>
        </w:rPr>
        <w:t>braku przeciwskazań prawnych</w:t>
      </w:r>
      <w:r w:rsidR="00497BBA" w:rsidRPr="003D1E88">
        <w:rPr>
          <w:rFonts w:asciiTheme="minorHAnsi" w:hAnsiTheme="minorHAnsi" w:cstheme="minorHAnsi"/>
          <w:b/>
          <w:bCs/>
        </w:rPr>
        <w:t xml:space="preserve"> do uruchomienia </w:t>
      </w:r>
      <w:r w:rsidR="00B677C2" w:rsidRPr="003D1E88">
        <w:rPr>
          <w:rFonts w:asciiTheme="minorHAnsi" w:hAnsiTheme="minorHAnsi" w:cstheme="minorHAnsi"/>
          <w:b/>
          <w:bCs/>
        </w:rPr>
        <w:t>dotacj</w:t>
      </w:r>
      <w:r w:rsidR="00497BBA" w:rsidRPr="003D1E88">
        <w:rPr>
          <w:rFonts w:asciiTheme="minorHAnsi" w:hAnsiTheme="minorHAnsi" w:cstheme="minorHAnsi"/>
          <w:b/>
          <w:bCs/>
        </w:rPr>
        <w:t xml:space="preserve">i </w:t>
      </w:r>
      <w:r w:rsidR="00B677C2" w:rsidRPr="003D1E88">
        <w:rPr>
          <w:rFonts w:asciiTheme="minorHAnsi" w:hAnsiTheme="minorHAnsi" w:cstheme="minorHAnsi"/>
          <w:b/>
          <w:bCs/>
        </w:rPr>
        <w:t>celow</w:t>
      </w:r>
      <w:r w:rsidR="00497BBA" w:rsidRPr="003D1E88">
        <w:rPr>
          <w:rFonts w:asciiTheme="minorHAnsi" w:hAnsiTheme="minorHAnsi" w:cstheme="minorHAnsi"/>
          <w:b/>
          <w:bCs/>
        </w:rPr>
        <w:t>ych</w:t>
      </w:r>
      <w:r w:rsidR="00B677C2" w:rsidRPr="003D1E88">
        <w:rPr>
          <w:rFonts w:asciiTheme="minorHAnsi" w:hAnsiTheme="minorHAnsi" w:cstheme="minorHAnsi"/>
          <w:b/>
          <w:bCs/>
        </w:rPr>
        <w:t xml:space="preserve"> dla członków i członkiń K</w:t>
      </w:r>
      <w:r w:rsidR="00497BBA" w:rsidRPr="003D1E88">
        <w:rPr>
          <w:rFonts w:asciiTheme="minorHAnsi" w:hAnsiTheme="minorHAnsi" w:cstheme="minorHAnsi"/>
          <w:b/>
          <w:bCs/>
        </w:rPr>
        <w:t>omitetów Monitorujących ze środków Pomocy Technicznej Programów Regionalnych</w:t>
      </w:r>
    </w:p>
    <w:p w14:paraId="1A4B9738" w14:textId="77777777" w:rsidR="00325272" w:rsidRPr="003D1E88" w:rsidRDefault="00325272" w:rsidP="003D1E88">
      <w:pPr>
        <w:spacing w:after="120"/>
        <w:rPr>
          <w:rFonts w:cstheme="minorHAnsi"/>
          <w:b/>
          <w:bCs/>
          <w:sz w:val="22"/>
          <w:szCs w:val="22"/>
        </w:rPr>
      </w:pPr>
    </w:p>
    <w:p w14:paraId="60F50D0B" w14:textId="77777777" w:rsidR="00325272" w:rsidRPr="003D1E88" w:rsidRDefault="00325272" w:rsidP="003D1E88">
      <w:pPr>
        <w:spacing w:after="120"/>
        <w:jc w:val="center"/>
        <w:rPr>
          <w:rFonts w:eastAsia="Times New Roman" w:cstheme="minorHAnsi"/>
          <w:b/>
          <w:color w:val="000000"/>
          <w:sz w:val="22"/>
          <w:szCs w:val="22"/>
          <w:lang w:eastAsia="pl-PL"/>
        </w:rPr>
      </w:pPr>
    </w:p>
    <w:p w14:paraId="340246B3" w14:textId="77777777" w:rsidR="00325272" w:rsidRPr="003D1E88" w:rsidRDefault="00325272" w:rsidP="003D1E88">
      <w:pPr>
        <w:spacing w:after="120"/>
        <w:jc w:val="center"/>
        <w:rPr>
          <w:rFonts w:eastAsia="Times New Roman" w:cstheme="minorHAnsi"/>
          <w:b/>
          <w:color w:val="000000"/>
          <w:sz w:val="22"/>
          <w:szCs w:val="22"/>
          <w:lang w:eastAsia="pl-PL"/>
        </w:rPr>
      </w:pPr>
      <w:r w:rsidRPr="003D1E88">
        <w:rPr>
          <w:rFonts w:eastAsia="Times New Roman" w:cstheme="minorHAnsi"/>
          <w:b/>
          <w:color w:val="000000"/>
          <w:sz w:val="22"/>
          <w:szCs w:val="22"/>
          <w:lang w:eastAsia="pl-PL"/>
        </w:rPr>
        <w:t>§ 1</w:t>
      </w:r>
    </w:p>
    <w:p w14:paraId="565F037D" w14:textId="5FD3AC6C" w:rsidR="00325272" w:rsidRPr="003D1E88" w:rsidRDefault="00325272" w:rsidP="003D1E88">
      <w:pPr>
        <w:spacing w:after="120"/>
        <w:jc w:val="both"/>
        <w:rPr>
          <w:rStyle w:val="FontStyle43"/>
          <w:rFonts w:asciiTheme="minorHAnsi" w:hAnsiTheme="minorHAnsi" w:cstheme="minorHAnsi"/>
        </w:rPr>
      </w:pPr>
      <w:bookmarkStart w:id="0" w:name="_Hlk145926208"/>
      <w:r w:rsidRPr="003D1E88">
        <w:rPr>
          <w:rFonts w:eastAsia="Times New Roman" w:cstheme="minorHAnsi"/>
          <w:color w:val="000000"/>
          <w:sz w:val="22"/>
          <w:szCs w:val="22"/>
          <w:lang w:eastAsia="pl-PL"/>
        </w:rPr>
        <w:t xml:space="preserve">Podkomitet do spraw rozwoju partnerstwa </w:t>
      </w:r>
      <w:bookmarkEnd w:id="0"/>
      <w:r w:rsidRPr="003D1E88">
        <w:rPr>
          <w:rFonts w:eastAsia="Times New Roman" w:cstheme="minorHAnsi"/>
          <w:color w:val="000000"/>
          <w:sz w:val="22"/>
          <w:szCs w:val="22"/>
          <w:lang w:eastAsia="pl-PL"/>
        </w:rPr>
        <w:t>na lata 2021-2027</w:t>
      </w:r>
      <w:r w:rsidR="00E863CE" w:rsidRPr="003D1E88">
        <w:rPr>
          <w:rFonts w:eastAsia="Times New Roman" w:cstheme="minorHAnsi"/>
          <w:color w:val="000000"/>
          <w:sz w:val="22"/>
          <w:szCs w:val="22"/>
          <w:lang w:eastAsia="pl-PL"/>
        </w:rPr>
        <w:t xml:space="preserve"> (dalej: </w:t>
      </w:r>
      <w:r w:rsidRPr="003D1E88">
        <w:rPr>
          <w:rStyle w:val="FontStyle43"/>
          <w:rFonts w:asciiTheme="minorHAnsi" w:hAnsiTheme="minorHAnsi" w:cstheme="minorHAnsi"/>
        </w:rPr>
        <w:t>Podkomitet</w:t>
      </w:r>
      <w:r w:rsidR="00E863CE" w:rsidRPr="003D1E88">
        <w:rPr>
          <w:rStyle w:val="FontStyle43"/>
          <w:rFonts w:asciiTheme="minorHAnsi" w:hAnsiTheme="minorHAnsi" w:cstheme="minorHAnsi"/>
        </w:rPr>
        <w:t>)</w:t>
      </w:r>
      <w:r w:rsidRPr="003D1E88">
        <w:rPr>
          <w:rStyle w:val="FontStyle43"/>
          <w:rFonts w:asciiTheme="minorHAnsi" w:hAnsiTheme="minorHAnsi" w:cstheme="minorHAnsi"/>
        </w:rPr>
        <w:t xml:space="preserve">,  po analizie stanu prawnego dotyczącego możliwości przyznania </w:t>
      </w:r>
      <w:r w:rsidRPr="003D1E88">
        <w:rPr>
          <w:rStyle w:val="FontStyle43"/>
          <w:rFonts w:asciiTheme="minorHAnsi" w:hAnsiTheme="minorHAnsi" w:cstheme="minorHAnsi"/>
          <w:bCs/>
        </w:rPr>
        <w:t>dotacji celowych</w:t>
      </w:r>
      <w:r w:rsidRPr="003D1E88">
        <w:rPr>
          <w:rStyle w:val="FontStyle43"/>
          <w:rFonts w:asciiTheme="minorHAnsi" w:hAnsiTheme="minorHAnsi" w:cstheme="minorHAnsi"/>
        </w:rPr>
        <w:t xml:space="preserve"> dla organizacji społeczeństwa obywatelskiego oraz partnerów społecznych</w:t>
      </w:r>
      <w:r w:rsidR="00E863CE" w:rsidRPr="003D1E88">
        <w:rPr>
          <w:rStyle w:val="FontStyle43"/>
          <w:rFonts w:asciiTheme="minorHAnsi" w:hAnsiTheme="minorHAnsi" w:cstheme="minorHAnsi"/>
        </w:rPr>
        <w:t xml:space="preserve"> delegujących swoich przedstawicieli do</w:t>
      </w:r>
      <w:r w:rsidRPr="003D1E88">
        <w:rPr>
          <w:rStyle w:val="FontStyle43"/>
          <w:rFonts w:asciiTheme="minorHAnsi" w:hAnsiTheme="minorHAnsi" w:cstheme="minorHAnsi"/>
        </w:rPr>
        <w:t xml:space="preserve"> Komitetów Monitorujących Programów Regionalnych</w:t>
      </w:r>
      <w:r w:rsidR="00E863CE" w:rsidRPr="003D1E88">
        <w:rPr>
          <w:rStyle w:val="FontStyle43"/>
          <w:rFonts w:asciiTheme="minorHAnsi" w:hAnsiTheme="minorHAnsi" w:cstheme="minorHAnsi"/>
        </w:rPr>
        <w:t xml:space="preserve"> (dalej Komitety)</w:t>
      </w:r>
      <w:r w:rsidRPr="003D1E88">
        <w:rPr>
          <w:rStyle w:val="FontStyle43"/>
          <w:rFonts w:asciiTheme="minorHAnsi" w:hAnsiTheme="minorHAnsi" w:cstheme="minorHAnsi"/>
        </w:rPr>
        <w:t xml:space="preserve">, </w:t>
      </w:r>
      <w:r w:rsidR="00E863CE" w:rsidRPr="003D1E88">
        <w:rPr>
          <w:rStyle w:val="FontStyle43"/>
          <w:rFonts w:asciiTheme="minorHAnsi" w:hAnsiTheme="minorHAnsi" w:cstheme="minorHAnsi"/>
        </w:rPr>
        <w:t>stwierdza, że</w:t>
      </w:r>
      <w:r w:rsidRPr="003D1E88">
        <w:rPr>
          <w:rStyle w:val="FontStyle43"/>
          <w:rFonts w:asciiTheme="minorHAnsi" w:hAnsiTheme="minorHAnsi" w:cstheme="minorHAnsi"/>
        </w:rPr>
        <w:t xml:space="preserve"> </w:t>
      </w:r>
      <w:r w:rsidRPr="003D1E88">
        <w:rPr>
          <w:rStyle w:val="FontStyle43"/>
          <w:rFonts w:asciiTheme="minorHAnsi" w:hAnsiTheme="minorHAnsi" w:cstheme="minorHAnsi"/>
          <w:bCs/>
        </w:rPr>
        <w:t>aktualne regulacje prawa krajowego</w:t>
      </w:r>
      <w:r w:rsidR="00E863CE" w:rsidRPr="003D1E88">
        <w:rPr>
          <w:rStyle w:val="FontStyle43"/>
          <w:rFonts w:asciiTheme="minorHAnsi" w:hAnsiTheme="minorHAnsi" w:cstheme="minorHAnsi"/>
        </w:rPr>
        <w:t xml:space="preserve">, w tym szczególnie </w:t>
      </w:r>
      <w:r w:rsidR="00E863CE" w:rsidRPr="003D1E88">
        <w:rPr>
          <w:rFonts w:cstheme="minorHAnsi"/>
          <w:bCs/>
          <w:sz w:val="22"/>
          <w:szCs w:val="22"/>
        </w:rPr>
        <w:t xml:space="preserve">artykuły: </w:t>
      </w:r>
      <w:r w:rsidR="00E863CE" w:rsidRPr="003D1E88">
        <w:rPr>
          <w:rFonts w:cstheme="minorHAnsi"/>
          <w:b/>
          <w:bCs/>
          <w:sz w:val="22"/>
          <w:szCs w:val="22"/>
        </w:rPr>
        <w:t>127</w:t>
      </w:r>
      <w:r w:rsidR="00E863CE" w:rsidRPr="003D1E88">
        <w:rPr>
          <w:rFonts w:cstheme="minorHAnsi"/>
          <w:b/>
          <w:sz w:val="22"/>
          <w:szCs w:val="22"/>
        </w:rPr>
        <w:t xml:space="preserve">, </w:t>
      </w:r>
      <w:r w:rsidR="00E863CE" w:rsidRPr="003D1E88">
        <w:rPr>
          <w:rFonts w:cstheme="minorHAnsi"/>
          <w:b/>
          <w:bCs/>
          <w:sz w:val="22"/>
          <w:szCs w:val="22"/>
        </w:rPr>
        <w:t>150</w:t>
      </w:r>
      <w:r w:rsidR="00E863CE" w:rsidRPr="003D1E88">
        <w:rPr>
          <w:rFonts w:cstheme="minorHAnsi"/>
          <w:b/>
          <w:sz w:val="22"/>
          <w:szCs w:val="22"/>
        </w:rPr>
        <w:t xml:space="preserve"> i </w:t>
      </w:r>
      <w:r w:rsidR="00E863CE" w:rsidRPr="003D1E88">
        <w:rPr>
          <w:rFonts w:cstheme="minorHAnsi"/>
          <w:b/>
          <w:bCs/>
          <w:sz w:val="22"/>
          <w:szCs w:val="22"/>
        </w:rPr>
        <w:t>221</w:t>
      </w:r>
      <w:r w:rsidR="00E863CE" w:rsidRPr="003D1E88">
        <w:rPr>
          <w:rFonts w:cstheme="minorHAnsi"/>
          <w:b/>
          <w:sz w:val="22"/>
          <w:szCs w:val="22"/>
        </w:rPr>
        <w:t xml:space="preserve"> ustawy z dnia 27 sierpnia 2009 r. </w:t>
      </w:r>
      <w:r w:rsidR="00E863CE" w:rsidRPr="003D1E88">
        <w:rPr>
          <w:rFonts w:cstheme="minorHAnsi"/>
          <w:b/>
          <w:bCs/>
          <w:sz w:val="22"/>
          <w:szCs w:val="22"/>
        </w:rPr>
        <w:t>o finansach publicznych</w:t>
      </w:r>
      <w:r w:rsidR="00E863CE" w:rsidRPr="003D1E88">
        <w:rPr>
          <w:rFonts w:cstheme="minorHAnsi"/>
          <w:sz w:val="22"/>
          <w:szCs w:val="22"/>
        </w:rPr>
        <w:t xml:space="preserve"> (Dz. U. z 2023 r. poz. 1270 z późn. zm.) </w:t>
      </w:r>
      <w:r w:rsidR="00E863CE" w:rsidRPr="003D1E88">
        <w:rPr>
          <w:rStyle w:val="FontStyle43"/>
          <w:rFonts w:asciiTheme="minorHAnsi" w:hAnsiTheme="minorHAnsi" w:cstheme="minorHAnsi"/>
        </w:rPr>
        <w:t xml:space="preserve">oraz prawa unijnego, w tym szczególnie </w:t>
      </w:r>
      <w:r w:rsidRPr="003D1E88">
        <w:rPr>
          <w:rStyle w:val="FontStyle43"/>
          <w:rFonts w:asciiTheme="minorHAnsi" w:hAnsiTheme="minorHAnsi" w:cstheme="minorHAnsi"/>
          <w:b/>
        </w:rPr>
        <w:t xml:space="preserve">art. 15 i 17 ust. 1 </w:t>
      </w:r>
      <w:r w:rsidRPr="003D1E88">
        <w:rPr>
          <w:rStyle w:val="FontStyle43"/>
          <w:rFonts w:asciiTheme="minorHAnsi" w:hAnsiTheme="minorHAnsi" w:cstheme="minorHAnsi"/>
          <w:b/>
          <w:bCs/>
        </w:rPr>
        <w:t>Rozporządzenia delegowanego</w:t>
      </w:r>
      <w:r w:rsidRPr="003D1E88">
        <w:rPr>
          <w:rStyle w:val="FontStyle43"/>
          <w:rFonts w:asciiTheme="minorHAnsi" w:hAnsiTheme="minorHAnsi" w:cstheme="minorHAnsi"/>
          <w:b/>
        </w:rPr>
        <w:t xml:space="preserve"> Komisji (UE) nr 240/2014 z dnia 7 stycznia 2014</w:t>
      </w:r>
      <w:r w:rsidRPr="003D1E88">
        <w:rPr>
          <w:rStyle w:val="FontStyle43"/>
          <w:rFonts w:asciiTheme="minorHAnsi" w:hAnsiTheme="minorHAnsi" w:cstheme="minorHAnsi"/>
        </w:rPr>
        <w:t xml:space="preserve"> r. w sprawie europejskiego kodeksu postępowania w zakresie partnerstwa w ramach europejskich funduszy strukturalnych i inwestycyjnych, </w:t>
      </w:r>
      <w:r w:rsidRPr="003D1E88">
        <w:rPr>
          <w:rStyle w:val="FontStyle43"/>
          <w:rFonts w:asciiTheme="minorHAnsi" w:hAnsiTheme="minorHAnsi" w:cstheme="minorHAnsi"/>
          <w:bCs/>
        </w:rPr>
        <w:t>są wystarczającą podstawą prawną</w:t>
      </w:r>
      <w:r w:rsidRPr="003D1E88">
        <w:rPr>
          <w:rStyle w:val="FontStyle43"/>
          <w:rFonts w:asciiTheme="minorHAnsi" w:hAnsiTheme="minorHAnsi" w:cstheme="minorHAnsi"/>
        </w:rPr>
        <w:t xml:space="preserve"> do przyznania </w:t>
      </w:r>
      <w:r w:rsidR="00E863CE" w:rsidRPr="003D1E88">
        <w:rPr>
          <w:rStyle w:val="FontStyle43"/>
          <w:rFonts w:asciiTheme="minorHAnsi" w:hAnsiTheme="minorHAnsi" w:cstheme="minorHAnsi"/>
        </w:rPr>
        <w:t xml:space="preserve">wyżej </w:t>
      </w:r>
      <w:r w:rsidRPr="003D1E88">
        <w:rPr>
          <w:rStyle w:val="FontStyle43"/>
          <w:rFonts w:asciiTheme="minorHAnsi" w:hAnsiTheme="minorHAnsi" w:cstheme="minorHAnsi"/>
        </w:rPr>
        <w:t xml:space="preserve">wymienionym podmiotom dotacji celowej i podpisania </w:t>
      </w:r>
      <w:r w:rsidR="00E863CE" w:rsidRPr="003D1E88">
        <w:rPr>
          <w:rStyle w:val="FontStyle43"/>
          <w:rFonts w:asciiTheme="minorHAnsi" w:hAnsiTheme="minorHAnsi" w:cstheme="minorHAnsi"/>
        </w:rPr>
        <w:t xml:space="preserve"> z nimi </w:t>
      </w:r>
      <w:r w:rsidRPr="003D1E88">
        <w:rPr>
          <w:rStyle w:val="FontStyle43"/>
          <w:rFonts w:asciiTheme="minorHAnsi" w:hAnsiTheme="minorHAnsi" w:cstheme="minorHAnsi"/>
        </w:rPr>
        <w:t xml:space="preserve">umowy </w:t>
      </w:r>
      <w:r w:rsidR="00E863CE" w:rsidRPr="003D1E88">
        <w:rPr>
          <w:rStyle w:val="FontStyle43"/>
          <w:rFonts w:asciiTheme="minorHAnsi" w:hAnsiTheme="minorHAnsi" w:cstheme="minorHAnsi"/>
        </w:rPr>
        <w:t xml:space="preserve">z </w:t>
      </w:r>
      <w:r w:rsidR="001D5F87" w:rsidRPr="003D1E88">
        <w:rPr>
          <w:rStyle w:val="FontStyle43"/>
          <w:rFonts w:asciiTheme="minorHAnsi" w:hAnsiTheme="minorHAnsi" w:cstheme="minorHAnsi"/>
        </w:rPr>
        <w:t xml:space="preserve">wykorzystaniem </w:t>
      </w:r>
      <w:r w:rsidR="001D5F87" w:rsidRPr="003D1E88">
        <w:rPr>
          <w:rFonts w:cstheme="minorHAnsi"/>
          <w:sz w:val="22"/>
          <w:szCs w:val="22"/>
        </w:rPr>
        <w:t>uproszczonych metod rozliczania kosztów</w:t>
      </w:r>
      <w:r w:rsidR="00E863CE" w:rsidRPr="003D1E88">
        <w:rPr>
          <w:rFonts w:cstheme="minorHAnsi"/>
          <w:sz w:val="22"/>
          <w:szCs w:val="22"/>
        </w:rPr>
        <w:t xml:space="preserve"> związanych z ich pracą w Komitetach. </w:t>
      </w:r>
    </w:p>
    <w:p w14:paraId="1615B0AC" w14:textId="77777777" w:rsidR="00B677C2" w:rsidRPr="003D1E88" w:rsidRDefault="00B677C2" w:rsidP="003D1E88">
      <w:pPr>
        <w:spacing w:after="120"/>
        <w:rPr>
          <w:rStyle w:val="FontStyle43"/>
          <w:rFonts w:asciiTheme="minorHAnsi" w:hAnsiTheme="minorHAnsi" w:cstheme="minorHAnsi"/>
          <w:shd w:val="clear" w:color="auto" w:fill="FFFFFF"/>
        </w:rPr>
      </w:pPr>
    </w:p>
    <w:p w14:paraId="3EA34E8B" w14:textId="77777777" w:rsidR="004001D2" w:rsidRPr="003D1E88" w:rsidRDefault="004001D2" w:rsidP="003D1E88">
      <w:pPr>
        <w:spacing w:after="120"/>
        <w:jc w:val="center"/>
        <w:rPr>
          <w:rStyle w:val="FontStyle43"/>
          <w:rFonts w:asciiTheme="minorHAnsi" w:eastAsia="Times New Roman" w:hAnsiTheme="minorHAnsi" w:cstheme="minorHAnsi"/>
          <w:b/>
          <w:color w:val="000000"/>
          <w:lang w:eastAsia="pl-PL"/>
        </w:rPr>
      </w:pPr>
      <w:r w:rsidRPr="003D1E88">
        <w:rPr>
          <w:rFonts w:eastAsia="Times New Roman" w:cstheme="minorHAnsi"/>
          <w:b/>
          <w:color w:val="000000"/>
          <w:sz w:val="22"/>
          <w:szCs w:val="22"/>
          <w:lang w:eastAsia="pl-PL"/>
        </w:rPr>
        <w:t>§ 2</w:t>
      </w:r>
    </w:p>
    <w:p w14:paraId="485612D9" w14:textId="686DB413" w:rsidR="00497BBA" w:rsidRPr="003D1E88" w:rsidRDefault="004001D2" w:rsidP="003D1E88">
      <w:pPr>
        <w:spacing w:after="120"/>
        <w:jc w:val="both"/>
        <w:rPr>
          <w:rFonts w:cstheme="minorHAnsi"/>
          <w:sz w:val="22"/>
          <w:szCs w:val="22"/>
          <w:shd w:val="clear" w:color="auto" w:fill="FFFFFF"/>
        </w:rPr>
      </w:pPr>
      <w:r w:rsidRPr="003D1E88">
        <w:rPr>
          <w:rFonts w:cstheme="minorHAnsi"/>
          <w:sz w:val="22"/>
          <w:szCs w:val="22"/>
          <w:shd w:val="clear" w:color="auto" w:fill="FFFFFF"/>
        </w:rPr>
        <w:t xml:space="preserve">Podkomitet zwraca </w:t>
      </w:r>
      <w:r w:rsidR="0094037D" w:rsidRPr="003D1E88">
        <w:rPr>
          <w:rFonts w:cstheme="minorHAnsi"/>
          <w:sz w:val="22"/>
          <w:szCs w:val="22"/>
          <w:shd w:val="clear" w:color="auto" w:fill="FFFFFF"/>
        </w:rPr>
        <w:t>u</w:t>
      </w:r>
      <w:r w:rsidRPr="003D1E88">
        <w:rPr>
          <w:rFonts w:cstheme="minorHAnsi"/>
          <w:sz w:val="22"/>
          <w:szCs w:val="22"/>
          <w:shd w:val="clear" w:color="auto" w:fill="FFFFFF"/>
        </w:rPr>
        <w:t xml:space="preserve">wagę, że </w:t>
      </w:r>
      <w:r w:rsidR="001D5F87" w:rsidRPr="003D1E88">
        <w:rPr>
          <w:rFonts w:cstheme="minorHAnsi"/>
          <w:i/>
          <w:iCs/>
          <w:sz w:val="22"/>
          <w:szCs w:val="22"/>
          <w:shd w:val="clear" w:color="auto" w:fill="FFFFFF"/>
        </w:rPr>
        <w:t>Wytyczne dotyczące komitetów monitorujących na lata 2021-2027</w:t>
      </w:r>
      <w:r w:rsidRPr="003D1E88">
        <w:rPr>
          <w:rFonts w:cstheme="minorHAnsi"/>
          <w:sz w:val="22"/>
          <w:szCs w:val="22"/>
          <w:shd w:val="clear" w:color="auto" w:fill="FFFFFF"/>
        </w:rPr>
        <w:t>, wskazywane przez niektóre I</w:t>
      </w:r>
      <w:r w:rsidR="0094037D" w:rsidRPr="003D1E88">
        <w:rPr>
          <w:rFonts w:cstheme="minorHAnsi"/>
          <w:sz w:val="22"/>
          <w:szCs w:val="22"/>
          <w:shd w:val="clear" w:color="auto" w:fill="FFFFFF"/>
        </w:rPr>
        <w:t>nstytucje Zarządzające Programów Regionalnych</w:t>
      </w:r>
      <w:r w:rsidRPr="003D1E88">
        <w:rPr>
          <w:rFonts w:cstheme="minorHAnsi"/>
          <w:sz w:val="22"/>
          <w:szCs w:val="22"/>
          <w:shd w:val="clear" w:color="auto" w:fill="FFFFFF"/>
        </w:rPr>
        <w:t xml:space="preserve"> jako</w:t>
      </w:r>
      <w:r w:rsidR="0094037D" w:rsidRPr="003D1E88">
        <w:rPr>
          <w:rFonts w:cstheme="minorHAnsi"/>
          <w:sz w:val="22"/>
          <w:szCs w:val="22"/>
          <w:shd w:val="clear" w:color="auto" w:fill="FFFFFF"/>
        </w:rPr>
        <w:t xml:space="preserve"> brak podstawy do zawarcia z podmiotami delegującymi swoich przedstawicieli do Komitetów Monitorujących  umowy na wypłatę dotacji celowych ze środków </w:t>
      </w:r>
      <w:r w:rsidR="001D5F87" w:rsidRPr="003D1E88">
        <w:rPr>
          <w:rFonts w:cstheme="minorHAnsi"/>
          <w:sz w:val="22"/>
          <w:szCs w:val="22"/>
          <w:shd w:val="clear" w:color="auto" w:fill="FFFFFF"/>
        </w:rPr>
        <w:t>Pomocy Technicznej</w:t>
      </w:r>
      <w:r w:rsidR="0094037D" w:rsidRPr="003D1E88">
        <w:rPr>
          <w:rFonts w:cstheme="minorHAnsi"/>
          <w:sz w:val="22"/>
          <w:szCs w:val="22"/>
          <w:shd w:val="clear" w:color="auto" w:fill="FFFFFF"/>
        </w:rPr>
        <w:t>,</w:t>
      </w:r>
      <w:r w:rsidR="00AC77EF" w:rsidRPr="003D1E88">
        <w:rPr>
          <w:rFonts w:cstheme="minorHAnsi"/>
          <w:sz w:val="22"/>
          <w:szCs w:val="22"/>
          <w:shd w:val="clear" w:color="auto" w:fill="FFFFFF"/>
        </w:rPr>
        <w:t xml:space="preserve"> nie mają </w:t>
      </w:r>
      <w:r w:rsidR="001D5F87" w:rsidRPr="003D1E88">
        <w:rPr>
          <w:rFonts w:cstheme="minorHAnsi"/>
          <w:sz w:val="22"/>
          <w:szCs w:val="22"/>
          <w:shd w:val="clear" w:color="auto" w:fill="FFFFFF"/>
        </w:rPr>
        <w:t>mocy wiążącego aktu prawnego</w:t>
      </w:r>
      <w:r w:rsidR="0094037D" w:rsidRPr="003D1E88">
        <w:rPr>
          <w:rFonts w:cstheme="minorHAnsi"/>
          <w:sz w:val="22"/>
          <w:szCs w:val="22"/>
          <w:shd w:val="clear" w:color="auto" w:fill="FFFFFF"/>
        </w:rPr>
        <w:t>, a</w:t>
      </w:r>
      <w:r w:rsidR="00AC77EF" w:rsidRPr="003D1E88">
        <w:rPr>
          <w:rFonts w:cstheme="minorHAnsi"/>
          <w:sz w:val="22"/>
          <w:szCs w:val="22"/>
          <w:shd w:val="clear" w:color="auto" w:fill="FFFFFF"/>
        </w:rPr>
        <w:t xml:space="preserve"> ujęta</w:t>
      </w:r>
      <w:r w:rsidR="0094037D" w:rsidRPr="003D1E88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AC77EF" w:rsidRPr="003D1E88">
        <w:rPr>
          <w:rFonts w:cstheme="minorHAnsi"/>
          <w:sz w:val="22"/>
          <w:szCs w:val="22"/>
          <w:shd w:val="clear" w:color="auto" w:fill="FFFFFF"/>
        </w:rPr>
        <w:t xml:space="preserve">w nich formuła refundacji poniesionych wydatków </w:t>
      </w:r>
      <w:r w:rsidR="001D5F87" w:rsidRPr="003D1E88">
        <w:rPr>
          <w:rFonts w:cstheme="minorHAnsi"/>
          <w:sz w:val="22"/>
          <w:szCs w:val="22"/>
          <w:shd w:val="clear" w:color="auto" w:fill="FFFFFF"/>
        </w:rPr>
        <w:t>nie jest jedyną formą dopuszcz</w:t>
      </w:r>
      <w:r w:rsidR="0094037D" w:rsidRPr="003D1E88">
        <w:rPr>
          <w:rFonts w:cstheme="minorHAnsi"/>
          <w:sz w:val="22"/>
          <w:szCs w:val="22"/>
          <w:shd w:val="clear" w:color="auto" w:fill="FFFFFF"/>
        </w:rPr>
        <w:t>on</w:t>
      </w:r>
      <w:r w:rsidR="001D5F87" w:rsidRPr="003D1E88">
        <w:rPr>
          <w:rFonts w:cstheme="minorHAnsi"/>
          <w:sz w:val="22"/>
          <w:szCs w:val="22"/>
          <w:shd w:val="clear" w:color="auto" w:fill="FFFFFF"/>
        </w:rPr>
        <w:t>ą polskim prawem</w:t>
      </w:r>
      <w:r w:rsidR="00497BBA" w:rsidRPr="003D1E88">
        <w:rPr>
          <w:rFonts w:cstheme="minorHAnsi"/>
          <w:sz w:val="22"/>
          <w:szCs w:val="22"/>
          <w:shd w:val="clear" w:color="auto" w:fill="FFFFFF"/>
        </w:rPr>
        <w:t>. C</w:t>
      </w:r>
      <w:r w:rsidR="0094037D" w:rsidRPr="003D1E88">
        <w:rPr>
          <w:rFonts w:cstheme="minorHAnsi"/>
          <w:sz w:val="22"/>
          <w:szCs w:val="22"/>
          <w:shd w:val="clear" w:color="auto" w:fill="FFFFFF"/>
        </w:rPr>
        <w:t>o za tym idzie</w:t>
      </w:r>
      <w:r w:rsidR="00497BBA" w:rsidRPr="003D1E88">
        <w:rPr>
          <w:rFonts w:cstheme="minorHAnsi"/>
          <w:sz w:val="22"/>
          <w:szCs w:val="22"/>
          <w:shd w:val="clear" w:color="auto" w:fill="FFFFFF"/>
        </w:rPr>
        <w:t>,</w:t>
      </w:r>
      <w:r w:rsidR="0094037D" w:rsidRPr="003D1E88">
        <w:rPr>
          <w:rFonts w:cstheme="minorHAnsi"/>
          <w:sz w:val="22"/>
          <w:szCs w:val="22"/>
          <w:shd w:val="clear" w:color="auto" w:fill="FFFFFF"/>
        </w:rPr>
        <w:t xml:space="preserve"> s</w:t>
      </w:r>
      <w:r w:rsidR="001D5F87" w:rsidRPr="003D1E88">
        <w:rPr>
          <w:rFonts w:cstheme="minorHAnsi"/>
          <w:sz w:val="22"/>
          <w:szCs w:val="22"/>
          <w:shd w:val="clear" w:color="auto" w:fill="FFFFFF"/>
        </w:rPr>
        <w:t>tosowanie innych</w:t>
      </w:r>
      <w:r w:rsidR="0094037D" w:rsidRPr="003D1E88">
        <w:rPr>
          <w:rFonts w:cstheme="minorHAnsi"/>
          <w:sz w:val="22"/>
          <w:szCs w:val="22"/>
          <w:shd w:val="clear" w:color="auto" w:fill="FFFFFF"/>
        </w:rPr>
        <w:t xml:space="preserve"> niż refundacja</w:t>
      </w:r>
      <w:r w:rsidR="001D5F87" w:rsidRPr="003D1E88">
        <w:rPr>
          <w:rFonts w:cstheme="minorHAnsi"/>
          <w:sz w:val="22"/>
          <w:szCs w:val="22"/>
          <w:shd w:val="clear" w:color="auto" w:fill="FFFFFF"/>
        </w:rPr>
        <w:t xml:space="preserve"> form</w:t>
      </w:r>
      <w:r w:rsidR="0094037D" w:rsidRPr="003D1E88">
        <w:rPr>
          <w:rFonts w:cstheme="minorHAnsi"/>
          <w:sz w:val="22"/>
          <w:szCs w:val="22"/>
          <w:shd w:val="clear" w:color="auto" w:fill="FFFFFF"/>
        </w:rPr>
        <w:t xml:space="preserve"> przekazywania środków partnerom spoza administracji delegującymi swoich przedstawicieli do Komitetów Monitorujących</w:t>
      </w:r>
      <w:r w:rsidR="00497BBA" w:rsidRPr="003D1E88">
        <w:rPr>
          <w:rFonts w:cstheme="minorHAnsi"/>
          <w:sz w:val="22"/>
          <w:szCs w:val="22"/>
          <w:shd w:val="clear" w:color="auto" w:fill="FFFFFF"/>
        </w:rPr>
        <w:t xml:space="preserve"> w żadnym wypadku</w:t>
      </w:r>
      <w:r w:rsidR="0094037D" w:rsidRPr="003D1E88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1D5F87" w:rsidRPr="003D1E88">
        <w:rPr>
          <w:rFonts w:cstheme="minorHAnsi"/>
          <w:sz w:val="22"/>
          <w:szCs w:val="22"/>
          <w:shd w:val="clear" w:color="auto" w:fill="FFFFFF"/>
        </w:rPr>
        <w:t>nie stanowi naruszenia prawa.</w:t>
      </w:r>
      <w:r w:rsidR="0094037D" w:rsidRPr="003D1E88">
        <w:rPr>
          <w:rFonts w:cstheme="minorHAnsi"/>
          <w:sz w:val="22"/>
          <w:szCs w:val="22"/>
          <w:shd w:val="clear" w:color="auto" w:fill="FFFFFF"/>
        </w:rPr>
        <w:t xml:space="preserve"> </w:t>
      </w:r>
    </w:p>
    <w:p w14:paraId="2A441A37" w14:textId="77777777" w:rsidR="00497BBA" w:rsidRPr="003D1E88" w:rsidRDefault="00497BBA" w:rsidP="003D1E88">
      <w:pPr>
        <w:spacing w:after="120"/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68CF93B4" w14:textId="3A8A7998" w:rsidR="001D5F87" w:rsidRPr="003D1E88" w:rsidRDefault="00497BBA" w:rsidP="003D1E88">
      <w:pPr>
        <w:spacing w:after="120"/>
        <w:jc w:val="both"/>
        <w:rPr>
          <w:rFonts w:cstheme="minorHAnsi"/>
          <w:sz w:val="22"/>
          <w:szCs w:val="22"/>
          <w:shd w:val="clear" w:color="auto" w:fill="FFFFFF"/>
        </w:rPr>
      </w:pPr>
      <w:r w:rsidRPr="003D1E88">
        <w:rPr>
          <w:rFonts w:cstheme="minorHAnsi"/>
          <w:sz w:val="22"/>
          <w:szCs w:val="22"/>
          <w:shd w:val="clear" w:color="auto" w:fill="FFFFFF"/>
        </w:rPr>
        <w:t xml:space="preserve">Podkomitet stwierdza, że </w:t>
      </w:r>
      <w:r w:rsidR="0094037D" w:rsidRPr="003D1E88">
        <w:rPr>
          <w:rFonts w:cstheme="minorHAnsi"/>
          <w:sz w:val="22"/>
          <w:szCs w:val="22"/>
          <w:shd w:val="clear" w:color="auto" w:fill="FFFFFF"/>
        </w:rPr>
        <w:t xml:space="preserve"> w/w w</w:t>
      </w:r>
      <w:r w:rsidR="001D5F87" w:rsidRPr="003D1E88">
        <w:rPr>
          <w:rFonts w:cstheme="minorHAnsi"/>
          <w:sz w:val="22"/>
          <w:szCs w:val="22"/>
          <w:shd w:val="clear" w:color="auto" w:fill="FFFFFF"/>
        </w:rPr>
        <w:t>ytyczne powinny</w:t>
      </w:r>
      <w:r w:rsidRPr="003D1E88">
        <w:rPr>
          <w:rFonts w:cstheme="minorHAnsi"/>
          <w:sz w:val="22"/>
          <w:szCs w:val="22"/>
          <w:shd w:val="clear" w:color="auto" w:fill="FFFFFF"/>
        </w:rPr>
        <w:t xml:space="preserve"> </w:t>
      </w:r>
      <w:r w:rsidR="001D5F87" w:rsidRPr="003D1E88">
        <w:rPr>
          <w:rFonts w:cstheme="minorHAnsi"/>
          <w:sz w:val="22"/>
          <w:szCs w:val="22"/>
          <w:shd w:val="clear" w:color="auto" w:fill="FFFFFF"/>
        </w:rPr>
        <w:t>obejmowa</w:t>
      </w:r>
      <w:r w:rsidRPr="003D1E88">
        <w:rPr>
          <w:rFonts w:cstheme="minorHAnsi"/>
          <w:sz w:val="22"/>
          <w:szCs w:val="22"/>
          <w:shd w:val="clear" w:color="auto" w:fill="FFFFFF"/>
        </w:rPr>
        <w:t>ć</w:t>
      </w:r>
      <w:r w:rsidR="001D5F87" w:rsidRPr="003D1E88">
        <w:rPr>
          <w:rFonts w:cstheme="minorHAnsi"/>
          <w:sz w:val="22"/>
          <w:szCs w:val="22"/>
          <w:shd w:val="clear" w:color="auto" w:fill="FFFFFF"/>
        </w:rPr>
        <w:t xml:space="preserve"> cały katalog możliwych form przekazania środków przewidzianych prawem w tym te, które umożliwiają wdrażanie w większym stopniu </w:t>
      </w:r>
      <w:r w:rsidR="001D5F87" w:rsidRPr="003D1E88">
        <w:rPr>
          <w:rFonts w:cstheme="minorHAnsi"/>
          <w:sz w:val="22"/>
          <w:szCs w:val="22"/>
        </w:rPr>
        <w:t>uproszczonych metod rozliczania kosztów.</w:t>
      </w:r>
    </w:p>
    <w:p w14:paraId="7E624876" w14:textId="77777777" w:rsidR="00C54970" w:rsidRPr="003D1E88" w:rsidRDefault="00C54970" w:rsidP="003D1E88">
      <w:pPr>
        <w:spacing w:after="120"/>
        <w:rPr>
          <w:rFonts w:eastAsia="Times New Roman" w:cstheme="minorHAnsi"/>
          <w:b/>
          <w:color w:val="000000"/>
          <w:sz w:val="22"/>
          <w:szCs w:val="22"/>
          <w:lang w:eastAsia="pl-PL"/>
        </w:rPr>
      </w:pPr>
    </w:p>
    <w:p w14:paraId="1B82E289" w14:textId="77777777" w:rsidR="00B677C2" w:rsidRPr="003D1E88" w:rsidRDefault="00325272" w:rsidP="003D1E88">
      <w:pPr>
        <w:spacing w:after="120"/>
        <w:jc w:val="center"/>
        <w:rPr>
          <w:rFonts w:eastAsia="Times New Roman" w:cstheme="minorHAnsi"/>
          <w:b/>
          <w:color w:val="000000"/>
          <w:sz w:val="22"/>
          <w:szCs w:val="22"/>
          <w:lang w:eastAsia="pl-PL"/>
        </w:rPr>
      </w:pPr>
      <w:r w:rsidRPr="003D1E88">
        <w:rPr>
          <w:rFonts w:eastAsia="Times New Roman" w:cstheme="minorHAnsi"/>
          <w:b/>
          <w:color w:val="000000"/>
          <w:sz w:val="22"/>
          <w:szCs w:val="22"/>
          <w:lang w:eastAsia="pl-PL"/>
        </w:rPr>
        <w:t xml:space="preserve">§ </w:t>
      </w:r>
      <w:r w:rsidR="00AC77EF" w:rsidRPr="003D1E88">
        <w:rPr>
          <w:rFonts w:eastAsia="Times New Roman" w:cstheme="minorHAnsi"/>
          <w:b/>
          <w:color w:val="000000"/>
          <w:sz w:val="22"/>
          <w:szCs w:val="22"/>
          <w:lang w:eastAsia="pl-PL"/>
        </w:rPr>
        <w:t>3</w:t>
      </w:r>
    </w:p>
    <w:p w14:paraId="6BF0ADC0" w14:textId="10296FF6" w:rsidR="00E12F8B" w:rsidRPr="003D1E88" w:rsidRDefault="00B677C2" w:rsidP="003D1E88">
      <w:pPr>
        <w:pStyle w:val="Style4"/>
        <w:widowControl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3D1E88">
        <w:rPr>
          <w:rFonts w:asciiTheme="minorHAnsi" w:hAnsiTheme="minorHAnsi" w:cstheme="minorHAnsi"/>
          <w:sz w:val="22"/>
          <w:szCs w:val="22"/>
        </w:rPr>
        <w:t xml:space="preserve">Podkomitet </w:t>
      </w:r>
      <w:r w:rsidR="0094037D" w:rsidRPr="003D1E88">
        <w:rPr>
          <w:rFonts w:asciiTheme="minorHAnsi" w:hAnsiTheme="minorHAnsi" w:cstheme="minorHAnsi"/>
          <w:sz w:val="22"/>
          <w:szCs w:val="22"/>
        </w:rPr>
        <w:t xml:space="preserve">wskazując na brak </w:t>
      </w:r>
      <w:r w:rsidRPr="003D1E88">
        <w:rPr>
          <w:rFonts w:asciiTheme="minorHAnsi" w:hAnsiTheme="minorHAnsi" w:cstheme="minorHAnsi"/>
          <w:sz w:val="22"/>
          <w:szCs w:val="22"/>
        </w:rPr>
        <w:t xml:space="preserve">przeciwwskazań prawnych dla uruchamiania w ramach Programów Regionalnych dotacji celowych dla podmiotów reprezentujących w Komitetach Monitorujących Programów Regionalnych </w:t>
      </w:r>
      <w:r w:rsidR="0094037D" w:rsidRPr="003D1E88">
        <w:rPr>
          <w:rFonts w:asciiTheme="minorHAnsi" w:hAnsiTheme="minorHAnsi" w:cstheme="minorHAnsi"/>
          <w:sz w:val="22"/>
          <w:szCs w:val="22"/>
        </w:rPr>
        <w:t xml:space="preserve">partnerów spoza administracji </w:t>
      </w:r>
      <w:r w:rsidRPr="003D1E88">
        <w:rPr>
          <w:rFonts w:asciiTheme="minorHAnsi" w:hAnsiTheme="minorHAnsi" w:cstheme="minorHAnsi"/>
          <w:sz w:val="22"/>
          <w:szCs w:val="22"/>
        </w:rPr>
        <w:t>oraz apeluje</w:t>
      </w:r>
      <w:r w:rsidR="0094037D" w:rsidRPr="003D1E88">
        <w:rPr>
          <w:rFonts w:asciiTheme="minorHAnsi" w:hAnsiTheme="minorHAnsi" w:cstheme="minorHAnsi"/>
          <w:sz w:val="22"/>
          <w:szCs w:val="22"/>
        </w:rPr>
        <w:t xml:space="preserve"> do Instytucji Zarządzających</w:t>
      </w:r>
      <w:r w:rsidRPr="003D1E88">
        <w:rPr>
          <w:rFonts w:asciiTheme="minorHAnsi" w:hAnsiTheme="minorHAnsi" w:cstheme="minorHAnsi"/>
          <w:sz w:val="22"/>
          <w:szCs w:val="22"/>
        </w:rPr>
        <w:t xml:space="preserve"> o </w:t>
      </w:r>
      <w:r w:rsidR="0021606F" w:rsidRPr="003D1E88">
        <w:rPr>
          <w:rFonts w:asciiTheme="minorHAnsi" w:hAnsiTheme="minorHAnsi" w:cstheme="minorHAnsi"/>
          <w:sz w:val="22"/>
          <w:szCs w:val="22"/>
        </w:rPr>
        <w:t xml:space="preserve">jak najszybsze </w:t>
      </w:r>
      <w:r w:rsidRPr="003D1E88">
        <w:rPr>
          <w:rFonts w:asciiTheme="minorHAnsi" w:hAnsiTheme="minorHAnsi" w:cstheme="minorHAnsi"/>
          <w:sz w:val="22"/>
          <w:szCs w:val="22"/>
        </w:rPr>
        <w:t>uruchomienie dotacji</w:t>
      </w:r>
      <w:r w:rsidR="00E12F8B" w:rsidRPr="003D1E88">
        <w:rPr>
          <w:rFonts w:asciiTheme="minorHAnsi" w:hAnsiTheme="minorHAnsi" w:cstheme="minorHAnsi"/>
          <w:sz w:val="22"/>
          <w:szCs w:val="22"/>
        </w:rPr>
        <w:t xml:space="preserve"> celowych </w:t>
      </w:r>
      <w:r w:rsidR="0094037D" w:rsidRPr="003D1E88">
        <w:rPr>
          <w:rFonts w:asciiTheme="minorHAnsi" w:hAnsiTheme="minorHAnsi" w:cstheme="minorHAnsi"/>
          <w:sz w:val="22"/>
          <w:szCs w:val="22"/>
        </w:rPr>
        <w:t>i powiadomienie o możliwości ubiegania się o nie partneró</w:t>
      </w:r>
      <w:r w:rsidR="00E12F8B" w:rsidRPr="003D1E88">
        <w:rPr>
          <w:rFonts w:asciiTheme="minorHAnsi" w:hAnsiTheme="minorHAnsi" w:cstheme="minorHAnsi"/>
          <w:sz w:val="22"/>
          <w:szCs w:val="22"/>
        </w:rPr>
        <w:t>w</w:t>
      </w:r>
      <w:r w:rsidR="0094037D" w:rsidRPr="003D1E88">
        <w:rPr>
          <w:rFonts w:asciiTheme="minorHAnsi" w:hAnsiTheme="minorHAnsi" w:cstheme="minorHAnsi"/>
          <w:sz w:val="22"/>
          <w:szCs w:val="22"/>
        </w:rPr>
        <w:t xml:space="preserve"> spoza administracji </w:t>
      </w:r>
      <w:r w:rsidR="00E12F8B" w:rsidRPr="003D1E88">
        <w:rPr>
          <w:rFonts w:asciiTheme="minorHAnsi" w:hAnsiTheme="minorHAnsi" w:cstheme="minorHAnsi"/>
          <w:sz w:val="22"/>
          <w:szCs w:val="22"/>
        </w:rPr>
        <w:t>pełniących funkcje członków Komitetów Monitorujących we</w:t>
      </w:r>
      <w:r w:rsidRPr="003D1E88">
        <w:rPr>
          <w:rFonts w:asciiTheme="minorHAnsi" w:hAnsiTheme="minorHAnsi" w:cstheme="minorHAnsi"/>
          <w:sz w:val="22"/>
          <w:szCs w:val="22"/>
        </w:rPr>
        <w:t xml:space="preserve"> wszystkich Program</w:t>
      </w:r>
      <w:r w:rsidR="00E12F8B" w:rsidRPr="003D1E88">
        <w:rPr>
          <w:rFonts w:asciiTheme="minorHAnsi" w:hAnsiTheme="minorHAnsi" w:cstheme="minorHAnsi"/>
          <w:sz w:val="22"/>
          <w:szCs w:val="22"/>
        </w:rPr>
        <w:t xml:space="preserve">ach </w:t>
      </w:r>
      <w:r w:rsidRPr="003D1E88">
        <w:rPr>
          <w:rFonts w:asciiTheme="minorHAnsi" w:hAnsiTheme="minorHAnsi" w:cstheme="minorHAnsi"/>
          <w:sz w:val="22"/>
          <w:szCs w:val="22"/>
        </w:rPr>
        <w:t>Regionalnych.</w:t>
      </w:r>
      <w:r w:rsidR="0021606F" w:rsidRPr="003D1E88">
        <w:rPr>
          <w:rFonts w:asciiTheme="minorHAnsi" w:hAnsiTheme="minorHAnsi" w:cstheme="minorHAnsi"/>
          <w:sz w:val="22"/>
          <w:szCs w:val="22"/>
        </w:rPr>
        <w:t xml:space="preserve"> </w:t>
      </w:r>
      <w:r w:rsidR="00E12F8B" w:rsidRPr="003D1E88">
        <w:rPr>
          <w:rFonts w:asciiTheme="minorHAnsi" w:hAnsiTheme="minorHAnsi" w:cstheme="minorHAnsi"/>
          <w:sz w:val="22"/>
          <w:szCs w:val="22"/>
        </w:rPr>
        <w:t xml:space="preserve">Taka forma przekazywania środków daje partnerom spoza administracji możliwość skutecznego i efektywnego wypełniania zadań członków Komitetów Monitorujących </w:t>
      </w:r>
      <w:r w:rsidR="00E12F8B" w:rsidRPr="003D1E88">
        <w:rPr>
          <w:rFonts w:asciiTheme="minorHAnsi" w:hAnsiTheme="minorHAnsi" w:cstheme="minorHAnsi"/>
          <w:sz w:val="22"/>
          <w:szCs w:val="22"/>
        </w:rPr>
        <w:lastRenderedPageBreak/>
        <w:t xml:space="preserve">poprzez </w:t>
      </w:r>
      <w:r w:rsidR="00046BB6" w:rsidRPr="003D1E88">
        <w:rPr>
          <w:rFonts w:asciiTheme="minorHAnsi" w:hAnsiTheme="minorHAnsi" w:cstheme="minorHAnsi"/>
          <w:sz w:val="22"/>
          <w:szCs w:val="22"/>
        </w:rPr>
        <w:t>prowadzenia konsultacji</w:t>
      </w:r>
      <w:r w:rsidR="00E12F8B" w:rsidRPr="003D1E88">
        <w:rPr>
          <w:rFonts w:asciiTheme="minorHAnsi" w:hAnsiTheme="minorHAnsi" w:cstheme="minorHAnsi"/>
          <w:sz w:val="22"/>
          <w:szCs w:val="22"/>
        </w:rPr>
        <w:t xml:space="preserve"> w </w:t>
      </w:r>
      <w:r w:rsidR="00046BB6" w:rsidRPr="003D1E88">
        <w:rPr>
          <w:rFonts w:asciiTheme="minorHAnsi" w:hAnsiTheme="minorHAnsi" w:cstheme="minorHAnsi"/>
          <w:sz w:val="22"/>
          <w:szCs w:val="22"/>
        </w:rPr>
        <w:t>środowisku</w:t>
      </w:r>
      <w:r w:rsidR="00E12F8B" w:rsidRPr="003D1E88">
        <w:rPr>
          <w:rFonts w:asciiTheme="minorHAnsi" w:hAnsiTheme="minorHAnsi" w:cstheme="minorHAnsi"/>
          <w:sz w:val="22"/>
          <w:szCs w:val="22"/>
        </w:rPr>
        <w:t xml:space="preserve"> i sprawowanie</w:t>
      </w:r>
      <w:r w:rsidR="007C76CD" w:rsidRPr="003D1E88">
        <w:rPr>
          <w:rFonts w:asciiTheme="minorHAnsi" w:hAnsiTheme="minorHAnsi" w:cstheme="minorHAnsi"/>
          <w:sz w:val="22"/>
          <w:szCs w:val="22"/>
        </w:rPr>
        <w:t xml:space="preserve"> kontroli społecznej nad </w:t>
      </w:r>
      <w:r w:rsidR="00E12F8B" w:rsidRPr="003D1E88">
        <w:rPr>
          <w:rFonts w:asciiTheme="minorHAnsi" w:hAnsiTheme="minorHAnsi" w:cstheme="minorHAnsi"/>
          <w:sz w:val="22"/>
          <w:szCs w:val="22"/>
        </w:rPr>
        <w:t xml:space="preserve">sposobem </w:t>
      </w:r>
      <w:r w:rsidR="007C76CD" w:rsidRPr="003D1E88">
        <w:rPr>
          <w:rFonts w:asciiTheme="minorHAnsi" w:hAnsiTheme="minorHAnsi" w:cstheme="minorHAnsi"/>
          <w:sz w:val="22"/>
          <w:szCs w:val="22"/>
        </w:rPr>
        <w:t>wydatkowan</w:t>
      </w:r>
      <w:r w:rsidR="00E12F8B" w:rsidRPr="003D1E88">
        <w:rPr>
          <w:rFonts w:asciiTheme="minorHAnsi" w:hAnsiTheme="minorHAnsi" w:cstheme="minorHAnsi"/>
          <w:sz w:val="22"/>
          <w:szCs w:val="22"/>
        </w:rPr>
        <w:t>ia funduszy unijnych.</w:t>
      </w:r>
    </w:p>
    <w:p w14:paraId="4C0ED9D9" w14:textId="35ADCB07" w:rsidR="007C76CD" w:rsidRPr="003D1E88" w:rsidRDefault="007C76CD" w:rsidP="003D1E88">
      <w:pPr>
        <w:pStyle w:val="Style4"/>
        <w:widowControl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4E7BEE0B" w14:textId="4585AD78" w:rsidR="00E12F8B" w:rsidRPr="003D1E88" w:rsidRDefault="00E12F8B" w:rsidP="003D1E88">
      <w:pPr>
        <w:spacing w:after="120"/>
        <w:jc w:val="center"/>
        <w:rPr>
          <w:rFonts w:eastAsia="Times New Roman" w:cstheme="minorHAnsi"/>
          <w:b/>
          <w:color w:val="000000"/>
          <w:sz w:val="22"/>
          <w:szCs w:val="22"/>
          <w:lang w:eastAsia="pl-PL"/>
        </w:rPr>
      </w:pPr>
      <w:r w:rsidRPr="003D1E88">
        <w:rPr>
          <w:rFonts w:eastAsia="Times New Roman" w:cstheme="minorHAnsi"/>
          <w:b/>
          <w:color w:val="000000"/>
          <w:sz w:val="22"/>
          <w:szCs w:val="22"/>
          <w:lang w:eastAsia="pl-PL"/>
        </w:rPr>
        <w:t>§ 4</w:t>
      </w:r>
    </w:p>
    <w:p w14:paraId="1EA8E549" w14:textId="702F8386" w:rsidR="00304C42" w:rsidRPr="003D1E88" w:rsidRDefault="00304C42" w:rsidP="003D1E88">
      <w:pPr>
        <w:spacing w:after="120"/>
        <w:jc w:val="both"/>
        <w:rPr>
          <w:rFonts w:cstheme="minorHAnsi"/>
          <w:bCs/>
          <w:sz w:val="22"/>
          <w:szCs w:val="22"/>
        </w:rPr>
      </w:pPr>
      <w:r w:rsidRPr="003D1E88">
        <w:rPr>
          <w:rFonts w:cstheme="minorHAnsi"/>
          <w:bCs/>
          <w:sz w:val="22"/>
          <w:szCs w:val="22"/>
        </w:rPr>
        <w:t>W związku z informacjami od członków i członkiń Komitetów Monitorujących i przedstawicieli niektórych Instytucji Zarządzających Programami Regionalnymi o braku środków w Pomocy Technicznej na wsparcie udziału partnerów spoza administracji w pracach Komitetów Monitorujących, Podkomitet zwraca uwagę, że w ramach wdrażania funduszy europejskich zabezpieczenie środków na uczestnictwo partnerów spoza administracji w budżetach Instytucji Zarządzających jest prawnym obowiązkiem.</w:t>
      </w:r>
    </w:p>
    <w:p w14:paraId="17C3551D" w14:textId="77777777" w:rsidR="00304C42" w:rsidRPr="003D1E88" w:rsidRDefault="00304C42" w:rsidP="003D1E88">
      <w:pPr>
        <w:spacing w:after="120"/>
        <w:rPr>
          <w:rFonts w:cstheme="minorHAnsi"/>
          <w:bCs/>
          <w:sz w:val="22"/>
          <w:szCs w:val="22"/>
        </w:rPr>
      </w:pPr>
    </w:p>
    <w:p w14:paraId="17F4FAC8" w14:textId="5A8E9093" w:rsidR="00304C42" w:rsidRPr="003D1E88" w:rsidRDefault="00304C42" w:rsidP="003D1E88">
      <w:pPr>
        <w:spacing w:after="120"/>
        <w:jc w:val="center"/>
        <w:rPr>
          <w:rFonts w:cstheme="minorHAnsi"/>
          <w:bCs/>
          <w:sz w:val="22"/>
          <w:szCs w:val="22"/>
        </w:rPr>
      </w:pPr>
      <w:r w:rsidRPr="003D1E88">
        <w:rPr>
          <w:rFonts w:eastAsia="Times New Roman" w:cstheme="minorHAnsi"/>
          <w:b/>
          <w:color w:val="000000"/>
          <w:sz w:val="22"/>
          <w:szCs w:val="22"/>
          <w:lang w:eastAsia="pl-PL"/>
        </w:rPr>
        <w:t>§ 5</w:t>
      </w:r>
    </w:p>
    <w:p w14:paraId="23984D8E" w14:textId="40B4581A" w:rsidR="00F12FC3" w:rsidRPr="003D1E88" w:rsidRDefault="00F12FC3" w:rsidP="003D1E88">
      <w:pPr>
        <w:spacing w:after="120"/>
        <w:jc w:val="both"/>
        <w:rPr>
          <w:rFonts w:cstheme="minorHAnsi"/>
          <w:bCs/>
          <w:sz w:val="22"/>
          <w:szCs w:val="22"/>
        </w:rPr>
      </w:pPr>
      <w:r w:rsidRPr="003D1E88">
        <w:rPr>
          <w:rFonts w:cstheme="minorHAnsi"/>
          <w:bCs/>
          <w:sz w:val="22"/>
          <w:szCs w:val="22"/>
        </w:rPr>
        <w:t>Podkomitet wnosi o przekazanie niniejszej uchwał</w:t>
      </w:r>
      <w:r w:rsidR="00E12F8B" w:rsidRPr="003D1E88">
        <w:rPr>
          <w:rFonts w:cstheme="minorHAnsi"/>
          <w:bCs/>
          <w:sz w:val="22"/>
          <w:szCs w:val="22"/>
        </w:rPr>
        <w:t xml:space="preserve">y </w:t>
      </w:r>
      <w:r w:rsidR="00497BBA" w:rsidRPr="003D1E88">
        <w:rPr>
          <w:rFonts w:cstheme="minorHAnsi"/>
          <w:bCs/>
          <w:sz w:val="22"/>
          <w:szCs w:val="22"/>
        </w:rPr>
        <w:t xml:space="preserve">wraz z uzasadnieniem </w:t>
      </w:r>
      <w:r w:rsidR="00E12F8B" w:rsidRPr="003D1E88">
        <w:rPr>
          <w:rFonts w:cstheme="minorHAnsi"/>
          <w:bCs/>
          <w:sz w:val="22"/>
          <w:szCs w:val="22"/>
        </w:rPr>
        <w:t xml:space="preserve">wszystkim Instytucjom Zarządzającym </w:t>
      </w:r>
      <w:r w:rsidR="00497BBA" w:rsidRPr="003D1E88">
        <w:rPr>
          <w:rFonts w:cstheme="minorHAnsi"/>
          <w:bCs/>
          <w:sz w:val="22"/>
          <w:szCs w:val="22"/>
        </w:rPr>
        <w:t xml:space="preserve">oraz </w:t>
      </w:r>
      <w:r w:rsidRPr="003D1E88">
        <w:rPr>
          <w:rFonts w:cstheme="minorHAnsi"/>
          <w:bCs/>
          <w:sz w:val="22"/>
          <w:szCs w:val="22"/>
        </w:rPr>
        <w:t>Radzie Działalności Pożytku Publicznego</w:t>
      </w:r>
      <w:r w:rsidR="00497BBA" w:rsidRPr="003D1E88">
        <w:rPr>
          <w:rFonts w:cstheme="minorHAnsi"/>
          <w:bCs/>
          <w:sz w:val="22"/>
          <w:szCs w:val="22"/>
        </w:rPr>
        <w:t xml:space="preserve"> i </w:t>
      </w:r>
      <w:r w:rsidRPr="003D1E88">
        <w:rPr>
          <w:rFonts w:cstheme="minorHAnsi"/>
          <w:bCs/>
          <w:sz w:val="22"/>
          <w:szCs w:val="22"/>
        </w:rPr>
        <w:t>Radzie Dialogu Społecznego</w:t>
      </w:r>
      <w:r w:rsidR="003D1E88">
        <w:rPr>
          <w:rFonts w:cstheme="minorHAnsi"/>
          <w:bCs/>
          <w:sz w:val="22"/>
          <w:szCs w:val="22"/>
        </w:rPr>
        <w:t>.</w:t>
      </w:r>
    </w:p>
    <w:p w14:paraId="24E410FC" w14:textId="77777777" w:rsidR="00F12FC3" w:rsidRPr="003D1E88" w:rsidRDefault="00F12FC3" w:rsidP="003D1E88">
      <w:pPr>
        <w:pStyle w:val="Style4"/>
        <w:widowControl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C6C6990" w14:textId="77777777" w:rsidR="00325272" w:rsidRPr="003D1E88" w:rsidRDefault="00325272" w:rsidP="003D1E88">
      <w:pPr>
        <w:pStyle w:val="Akapitzlist"/>
        <w:spacing w:after="120"/>
        <w:rPr>
          <w:rFonts w:eastAsia="Times New Roman" w:cstheme="minorHAnsi"/>
          <w:b/>
          <w:color w:val="000000"/>
          <w:sz w:val="22"/>
          <w:szCs w:val="22"/>
          <w:lang w:eastAsia="pl-PL"/>
        </w:rPr>
      </w:pPr>
    </w:p>
    <w:p w14:paraId="461AA73B" w14:textId="77777777" w:rsidR="00325272" w:rsidRPr="003D1E88" w:rsidRDefault="00325272" w:rsidP="003D1E88">
      <w:pPr>
        <w:spacing w:after="120"/>
        <w:jc w:val="center"/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3D1E88">
        <w:rPr>
          <w:rFonts w:eastAsia="Times New Roman" w:cstheme="minorHAnsi"/>
          <w:b/>
          <w:color w:val="000000"/>
          <w:sz w:val="22"/>
          <w:szCs w:val="22"/>
          <w:lang w:eastAsia="pl-PL"/>
        </w:rPr>
        <w:t xml:space="preserve">§ </w:t>
      </w:r>
      <w:r w:rsidR="0021606F" w:rsidRPr="003D1E88">
        <w:rPr>
          <w:rFonts w:eastAsia="Times New Roman" w:cstheme="minorHAnsi"/>
          <w:b/>
          <w:color w:val="000000"/>
          <w:sz w:val="22"/>
          <w:szCs w:val="22"/>
          <w:lang w:eastAsia="pl-PL"/>
        </w:rPr>
        <w:t>5</w:t>
      </w:r>
    </w:p>
    <w:p w14:paraId="078E6E2F" w14:textId="77777777" w:rsidR="00325272" w:rsidRPr="003D1E88" w:rsidRDefault="00325272" w:rsidP="003D1E88">
      <w:pPr>
        <w:spacing w:after="120"/>
        <w:rPr>
          <w:rFonts w:eastAsia="Times New Roman" w:cstheme="minorHAnsi"/>
          <w:color w:val="000000"/>
          <w:sz w:val="22"/>
          <w:szCs w:val="22"/>
          <w:lang w:eastAsia="pl-PL"/>
        </w:rPr>
      </w:pPr>
      <w:r w:rsidRPr="003D1E88">
        <w:rPr>
          <w:rFonts w:eastAsia="Times New Roman" w:cstheme="minorHAnsi"/>
          <w:color w:val="000000"/>
          <w:sz w:val="22"/>
          <w:szCs w:val="22"/>
          <w:lang w:eastAsia="pl-PL"/>
        </w:rPr>
        <w:t>Uchwała wchodzi w życie z dniem podjęcia.</w:t>
      </w:r>
    </w:p>
    <w:p w14:paraId="7E25BC30" w14:textId="77777777" w:rsidR="00325272" w:rsidRPr="003D1E88" w:rsidRDefault="00325272" w:rsidP="003D1E88">
      <w:pPr>
        <w:spacing w:after="120"/>
        <w:rPr>
          <w:rFonts w:cstheme="minorHAnsi"/>
          <w:sz w:val="22"/>
          <w:szCs w:val="22"/>
        </w:rPr>
      </w:pPr>
    </w:p>
    <w:p w14:paraId="08B189B5" w14:textId="77777777" w:rsidR="00325272" w:rsidRPr="003D1E88" w:rsidRDefault="00325272" w:rsidP="003D1E88">
      <w:pPr>
        <w:spacing w:after="120"/>
        <w:rPr>
          <w:rFonts w:cstheme="minorHAnsi"/>
          <w:sz w:val="22"/>
          <w:szCs w:val="22"/>
        </w:rPr>
      </w:pPr>
    </w:p>
    <w:p w14:paraId="1DFC996E" w14:textId="77777777" w:rsidR="00325272" w:rsidRPr="003D1E88" w:rsidRDefault="00325272" w:rsidP="003D1E88">
      <w:pPr>
        <w:spacing w:after="120"/>
        <w:rPr>
          <w:rFonts w:cstheme="minorHAnsi"/>
          <w:sz w:val="22"/>
          <w:szCs w:val="22"/>
        </w:rPr>
      </w:pPr>
      <w:bookmarkStart w:id="1" w:name="_Hlk146530318"/>
      <w:r w:rsidRPr="003D1E88">
        <w:rPr>
          <w:rFonts w:cstheme="minorHAnsi"/>
          <w:sz w:val="22"/>
          <w:szCs w:val="22"/>
        </w:rPr>
        <w:t>……………………………………</w:t>
      </w:r>
    </w:p>
    <w:p w14:paraId="7E96DF08" w14:textId="77777777" w:rsidR="00325272" w:rsidRPr="003D1E88" w:rsidRDefault="00325272" w:rsidP="003D1E88">
      <w:pPr>
        <w:spacing w:after="120"/>
        <w:rPr>
          <w:rFonts w:cstheme="minorHAnsi"/>
          <w:sz w:val="22"/>
          <w:szCs w:val="22"/>
        </w:rPr>
      </w:pPr>
      <w:r w:rsidRPr="003D1E88">
        <w:rPr>
          <w:rFonts w:cstheme="minorHAnsi"/>
          <w:sz w:val="22"/>
          <w:szCs w:val="22"/>
        </w:rPr>
        <w:t>Pan Zygmunt Mierzejewski</w:t>
      </w:r>
    </w:p>
    <w:p w14:paraId="7CF74072" w14:textId="77777777" w:rsidR="00325272" w:rsidRPr="003D1E88" w:rsidRDefault="00325272" w:rsidP="003D1E88">
      <w:pPr>
        <w:spacing w:after="120"/>
        <w:rPr>
          <w:rFonts w:cstheme="minorHAnsi"/>
          <w:sz w:val="22"/>
          <w:szCs w:val="22"/>
        </w:rPr>
      </w:pPr>
      <w:r w:rsidRPr="003D1E88">
        <w:rPr>
          <w:rFonts w:cstheme="minorHAnsi"/>
          <w:sz w:val="22"/>
          <w:szCs w:val="22"/>
        </w:rPr>
        <w:t>Przewodniczący Podkomitetu do spraw rozwoju partnerstwa na lata 2021-2027</w:t>
      </w:r>
      <w:bookmarkEnd w:id="1"/>
    </w:p>
    <w:p w14:paraId="34705013" w14:textId="6F0DB77E" w:rsidR="00412812" w:rsidRPr="003D1E88" w:rsidRDefault="00412812" w:rsidP="003D1E88">
      <w:pPr>
        <w:spacing w:after="120"/>
        <w:rPr>
          <w:rFonts w:cstheme="minorHAnsi"/>
          <w:sz w:val="22"/>
          <w:szCs w:val="22"/>
        </w:rPr>
      </w:pPr>
    </w:p>
    <w:p w14:paraId="7C453D6D" w14:textId="07528B18" w:rsidR="00E863CE" w:rsidRPr="003D1E88" w:rsidRDefault="00E863CE" w:rsidP="003D1E88">
      <w:pPr>
        <w:spacing w:after="120"/>
        <w:rPr>
          <w:rFonts w:cstheme="minorHAnsi"/>
          <w:sz w:val="22"/>
          <w:szCs w:val="22"/>
        </w:rPr>
      </w:pPr>
    </w:p>
    <w:p w14:paraId="3E492AC5" w14:textId="77777777" w:rsidR="00E863CE" w:rsidRPr="003D1E88" w:rsidRDefault="00E863CE" w:rsidP="003D1E88">
      <w:pPr>
        <w:spacing w:after="120"/>
        <w:rPr>
          <w:rFonts w:cstheme="minorHAnsi"/>
          <w:sz w:val="22"/>
          <w:szCs w:val="22"/>
          <w:shd w:val="clear" w:color="auto" w:fill="FFFFFF"/>
        </w:rPr>
      </w:pPr>
    </w:p>
    <w:p w14:paraId="1FFE02BB" w14:textId="77777777" w:rsidR="00D566E1" w:rsidRPr="003D1E88" w:rsidRDefault="00D566E1" w:rsidP="003D1E88">
      <w:pPr>
        <w:spacing w:after="120"/>
        <w:rPr>
          <w:rFonts w:cstheme="minorHAnsi"/>
          <w:b/>
          <w:sz w:val="22"/>
          <w:szCs w:val="22"/>
          <w:shd w:val="clear" w:color="auto" w:fill="FFFFFF"/>
        </w:rPr>
      </w:pPr>
    </w:p>
    <w:p w14:paraId="27D17A1F" w14:textId="77777777" w:rsidR="00D566E1" w:rsidRPr="003D1E88" w:rsidRDefault="00D566E1" w:rsidP="003D1E88">
      <w:pPr>
        <w:spacing w:after="120"/>
        <w:rPr>
          <w:rFonts w:cstheme="minorHAnsi"/>
          <w:b/>
          <w:sz w:val="22"/>
          <w:szCs w:val="22"/>
          <w:shd w:val="clear" w:color="auto" w:fill="FFFFFF"/>
        </w:rPr>
      </w:pPr>
    </w:p>
    <w:p w14:paraId="7A216AA7" w14:textId="77777777" w:rsidR="003D1E88" w:rsidRDefault="003D1E88">
      <w:pPr>
        <w:rPr>
          <w:rFonts w:cstheme="minorHAnsi"/>
          <w:b/>
          <w:sz w:val="22"/>
          <w:szCs w:val="22"/>
          <w:shd w:val="clear" w:color="auto" w:fill="FFFFFF"/>
        </w:rPr>
      </w:pPr>
      <w:r>
        <w:rPr>
          <w:rFonts w:cstheme="minorHAnsi"/>
          <w:b/>
          <w:sz w:val="22"/>
          <w:szCs w:val="22"/>
          <w:shd w:val="clear" w:color="auto" w:fill="FFFFFF"/>
        </w:rPr>
        <w:br w:type="page"/>
      </w:r>
    </w:p>
    <w:p w14:paraId="17FAA8C0" w14:textId="4BD65FAE" w:rsidR="00E863CE" w:rsidRPr="003D1E88" w:rsidRDefault="00E863CE" w:rsidP="003D1E88">
      <w:pPr>
        <w:spacing w:after="120"/>
        <w:jc w:val="center"/>
        <w:rPr>
          <w:rFonts w:cstheme="minorHAnsi"/>
          <w:b/>
          <w:sz w:val="22"/>
          <w:szCs w:val="22"/>
          <w:shd w:val="clear" w:color="auto" w:fill="FFFFFF"/>
        </w:rPr>
      </w:pPr>
      <w:r w:rsidRPr="003D1E88">
        <w:rPr>
          <w:rFonts w:cstheme="minorHAnsi"/>
          <w:b/>
          <w:sz w:val="22"/>
          <w:szCs w:val="22"/>
          <w:shd w:val="clear" w:color="auto" w:fill="FFFFFF"/>
        </w:rPr>
        <w:lastRenderedPageBreak/>
        <w:t>UZASADNIENIE</w:t>
      </w:r>
    </w:p>
    <w:p w14:paraId="48942C71" w14:textId="7779CE2E" w:rsidR="00497BBA" w:rsidRPr="003D1E88" w:rsidRDefault="00497BBA" w:rsidP="003D1E88">
      <w:pPr>
        <w:spacing w:after="120"/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1E71267E" w14:textId="6916482D" w:rsidR="00497BBA" w:rsidRPr="003D1E88" w:rsidRDefault="00497BBA" w:rsidP="003D1E88">
      <w:pPr>
        <w:spacing w:after="120"/>
        <w:jc w:val="both"/>
        <w:rPr>
          <w:rFonts w:cstheme="minorHAnsi"/>
          <w:sz w:val="22"/>
          <w:szCs w:val="22"/>
        </w:rPr>
      </w:pPr>
      <w:r w:rsidRPr="003D1E88">
        <w:rPr>
          <w:rFonts w:cstheme="minorHAnsi"/>
          <w:sz w:val="22"/>
          <w:szCs w:val="22"/>
          <w:shd w:val="clear" w:color="auto" w:fill="FFFFFF"/>
        </w:rPr>
        <w:t xml:space="preserve">Partnerzy spoza administracji pełniący funkcje członków </w:t>
      </w:r>
      <w:r w:rsidR="00084FED" w:rsidRPr="003D1E88">
        <w:rPr>
          <w:rFonts w:cstheme="minorHAnsi"/>
          <w:sz w:val="22"/>
          <w:szCs w:val="22"/>
          <w:shd w:val="clear" w:color="auto" w:fill="FFFFFF"/>
        </w:rPr>
        <w:t xml:space="preserve">i członkiń </w:t>
      </w:r>
      <w:r w:rsidRPr="003D1E88">
        <w:rPr>
          <w:rFonts w:cstheme="minorHAnsi"/>
          <w:sz w:val="22"/>
          <w:szCs w:val="22"/>
          <w:shd w:val="clear" w:color="auto" w:fill="FFFFFF"/>
        </w:rPr>
        <w:t xml:space="preserve">Komitetu ds. Umowy Partnerstwa </w:t>
      </w:r>
      <w:r w:rsidRPr="003D1E88">
        <w:rPr>
          <w:rFonts w:cstheme="minorHAnsi"/>
          <w:sz w:val="22"/>
          <w:szCs w:val="22"/>
        </w:rPr>
        <w:t xml:space="preserve">lata 2021-2027 (dale: Komitet)  a także pierwszych posiedzeń </w:t>
      </w:r>
      <w:r w:rsidRPr="003D1E88">
        <w:rPr>
          <w:rFonts w:eastAsia="Times New Roman" w:cstheme="minorHAnsi"/>
          <w:color w:val="000000"/>
          <w:sz w:val="22"/>
          <w:szCs w:val="22"/>
          <w:lang w:eastAsia="pl-PL"/>
        </w:rPr>
        <w:t xml:space="preserve">Podkomitetu do spraw rozwoju partnerstwa na lata 2021-2027 (dalej: Podkomitet) </w:t>
      </w:r>
      <w:r w:rsidRPr="003D1E88">
        <w:rPr>
          <w:rFonts w:cstheme="minorHAnsi"/>
          <w:sz w:val="22"/>
          <w:szCs w:val="22"/>
        </w:rPr>
        <w:t xml:space="preserve">wnosili od pierwszych posiedzeń postulat uruchomienia przez Instytucje Zarządzające w ramach środków z Pomocy Technicznej  dotacje celowe dla podmiotów </w:t>
      </w:r>
      <w:r w:rsidR="00084FED" w:rsidRPr="003D1E88">
        <w:rPr>
          <w:rFonts w:cstheme="minorHAnsi"/>
          <w:sz w:val="22"/>
          <w:szCs w:val="22"/>
        </w:rPr>
        <w:t xml:space="preserve"> spoza administracji </w:t>
      </w:r>
      <w:r w:rsidRPr="003D1E88">
        <w:rPr>
          <w:rFonts w:cstheme="minorHAnsi"/>
          <w:sz w:val="22"/>
          <w:szCs w:val="22"/>
        </w:rPr>
        <w:t>delegujących</w:t>
      </w:r>
      <w:r w:rsidR="00084FED" w:rsidRPr="003D1E88">
        <w:rPr>
          <w:rFonts w:cstheme="minorHAnsi"/>
          <w:sz w:val="22"/>
          <w:szCs w:val="22"/>
        </w:rPr>
        <w:t xml:space="preserve"> swoich przedstawicieli do pełnienia funkcji członków i członkiń</w:t>
      </w:r>
      <w:r w:rsidRPr="003D1E88">
        <w:rPr>
          <w:rFonts w:cstheme="minorHAnsi"/>
          <w:sz w:val="22"/>
          <w:szCs w:val="22"/>
        </w:rPr>
        <w:t xml:space="preserve"> Komitetów Monitorujących funduszy europejskic</w:t>
      </w:r>
      <w:r w:rsidR="00084FED" w:rsidRPr="003D1E88">
        <w:rPr>
          <w:rFonts w:cstheme="minorHAnsi"/>
          <w:sz w:val="22"/>
          <w:szCs w:val="22"/>
        </w:rPr>
        <w:t>h (dalej KM).  Swój postulat uzasadniali potrzebą wyposażenia członów i członkiń KM w środki umożliwiające im realne i skuteczne pełnienie ich funkcji w KM, a więc nie tylko pokrycie kosztów udziału w posiedzeniach KM, ale przede wszystkim merytoryczne przygotowanie się do dyskusji i decyzji podejmowanych przez KM poprzez organizowanie spotkań i konsultowanie dokumentów w środowisku, które reprezentują, zamawianie analiz i ekspertyz, udział w szkoleniach podnoszących ich kompetencje potrzebne do efektywnego wypełniania ich zadań.</w:t>
      </w:r>
    </w:p>
    <w:p w14:paraId="659B757F" w14:textId="3CAA14CC" w:rsidR="00084FED" w:rsidRPr="003D1E88" w:rsidRDefault="00084FED" w:rsidP="003D1E88">
      <w:pPr>
        <w:spacing w:after="120"/>
        <w:jc w:val="both"/>
        <w:rPr>
          <w:rFonts w:cstheme="minorHAnsi"/>
          <w:sz w:val="22"/>
          <w:szCs w:val="22"/>
        </w:rPr>
      </w:pPr>
    </w:p>
    <w:p w14:paraId="63ECA2AF" w14:textId="1E231B78" w:rsidR="00084FED" w:rsidRPr="003D1E88" w:rsidRDefault="00084FED" w:rsidP="003D1E88">
      <w:pPr>
        <w:spacing w:after="120"/>
        <w:jc w:val="both"/>
        <w:rPr>
          <w:rFonts w:cstheme="minorHAnsi"/>
          <w:sz w:val="22"/>
          <w:szCs w:val="22"/>
        </w:rPr>
      </w:pPr>
      <w:r w:rsidRPr="003D1E88">
        <w:rPr>
          <w:rFonts w:cstheme="minorHAnsi"/>
          <w:sz w:val="22"/>
          <w:szCs w:val="22"/>
        </w:rPr>
        <w:t xml:space="preserve">Mimo wielokrotnych dyskusji na ten temat na posiedzeniach Podkomitetu, prezentowania metodologii wyliczania środków dotacji celowych przez Instytucje Zarządzające programami krajowymi, pokazywania  dobrych praktyk z regionów do dnia dzisiejszego, </w:t>
      </w:r>
      <w:r w:rsidR="00304C42" w:rsidRPr="003D1E88">
        <w:rPr>
          <w:rFonts w:cstheme="minorHAnsi"/>
          <w:sz w:val="22"/>
          <w:szCs w:val="22"/>
        </w:rPr>
        <w:t xml:space="preserve">mimo upływu połowy okresu programowania w dużej części regionów nie wprowadzono możliwości rozliczania ryczałtowego, powołując się na brak zainteresowania ze strony członków KM, </w:t>
      </w:r>
      <w:r w:rsidR="00D566E1" w:rsidRPr="003D1E88">
        <w:rPr>
          <w:rFonts w:cstheme="minorHAnsi"/>
          <w:sz w:val="22"/>
          <w:szCs w:val="22"/>
        </w:rPr>
        <w:t xml:space="preserve"> brak stosownych zapisów w Wytycznych</w:t>
      </w:r>
      <w:r w:rsidR="00D566E1" w:rsidRPr="003D1E88">
        <w:rPr>
          <w:rFonts w:cstheme="minorHAnsi"/>
          <w:iCs/>
          <w:sz w:val="22"/>
          <w:szCs w:val="22"/>
          <w:shd w:val="clear" w:color="auto" w:fill="FFFFFF"/>
        </w:rPr>
        <w:t xml:space="preserve"> dotyczących komitetów monitorujących na lata 2021-2027</w:t>
      </w:r>
      <w:r w:rsidR="00D566E1" w:rsidRPr="003D1E88">
        <w:rPr>
          <w:rFonts w:cstheme="minorHAnsi"/>
          <w:sz w:val="22"/>
          <w:szCs w:val="22"/>
          <w:shd w:val="clear" w:color="auto" w:fill="FFFFFF"/>
        </w:rPr>
        <w:t xml:space="preserve">, </w:t>
      </w:r>
      <w:r w:rsidR="00304C42" w:rsidRPr="003D1E88">
        <w:rPr>
          <w:rFonts w:cstheme="minorHAnsi"/>
          <w:sz w:val="22"/>
          <w:szCs w:val="22"/>
        </w:rPr>
        <w:t>a niekiedy brak podstaw prawnych do takiej formy pokrywania kosztów uczestnictwa</w:t>
      </w:r>
      <w:r w:rsidR="00D566E1" w:rsidRPr="003D1E88">
        <w:rPr>
          <w:rFonts w:cstheme="minorHAnsi"/>
          <w:sz w:val="22"/>
          <w:szCs w:val="22"/>
        </w:rPr>
        <w:t xml:space="preserve"> partnerów </w:t>
      </w:r>
      <w:r w:rsidR="00304C42" w:rsidRPr="003D1E88">
        <w:rPr>
          <w:rFonts w:cstheme="minorHAnsi"/>
          <w:sz w:val="22"/>
          <w:szCs w:val="22"/>
        </w:rPr>
        <w:t>w pracach KM.</w:t>
      </w:r>
      <w:r w:rsidR="00D566E1" w:rsidRPr="003D1E88">
        <w:rPr>
          <w:rFonts w:cstheme="minorHAnsi"/>
          <w:sz w:val="22"/>
          <w:szCs w:val="22"/>
        </w:rPr>
        <w:t xml:space="preserve"> </w:t>
      </w:r>
    </w:p>
    <w:p w14:paraId="75A88F61" w14:textId="0F9A9648" w:rsidR="00D566E1" w:rsidRPr="003D1E88" w:rsidRDefault="00D566E1" w:rsidP="003D1E88">
      <w:pPr>
        <w:spacing w:after="120"/>
        <w:jc w:val="both"/>
        <w:rPr>
          <w:rFonts w:cstheme="minorHAnsi"/>
          <w:sz w:val="22"/>
          <w:szCs w:val="22"/>
        </w:rPr>
      </w:pPr>
      <w:r w:rsidRPr="003D1E88">
        <w:rPr>
          <w:rFonts w:cstheme="minorHAnsi"/>
          <w:sz w:val="22"/>
          <w:szCs w:val="22"/>
        </w:rPr>
        <w:t>Podkomitet otrzymuje też informacje, że w niektórych regionach podstawą odmowy uruchomienia dotacji celowych na wsparcie udziału w pracach KM partnerów spoza administracji jest niewystarczająca zdaniem Instytucji Zarządzających pula środków Pomocy Technicznej na obsługę  programów.</w:t>
      </w:r>
    </w:p>
    <w:p w14:paraId="757E126A" w14:textId="1CF21000" w:rsidR="00304C42" w:rsidRPr="003D1E88" w:rsidRDefault="00304C42" w:rsidP="003D1E88">
      <w:pPr>
        <w:spacing w:after="120"/>
        <w:jc w:val="both"/>
        <w:rPr>
          <w:rFonts w:cstheme="minorHAnsi"/>
          <w:sz w:val="22"/>
          <w:szCs w:val="22"/>
        </w:rPr>
      </w:pPr>
    </w:p>
    <w:p w14:paraId="5F6E339B" w14:textId="7CEB27E7" w:rsidR="00D566E1" w:rsidRPr="003D1E88" w:rsidRDefault="00304C42" w:rsidP="003D1E88">
      <w:pPr>
        <w:spacing w:after="120"/>
        <w:jc w:val="both"/>
        <w:rPr>
          <w:rFonts w:cstheme="minorHAnsi"/>
          <w:iCs/>
          <w:sz w:val="22"/>
          <w:szCs w:val="22"/>
        </w:rPr>
      </w:pPr>
      <w:r w:rsidRPr="003D1E88">
        <w:rPr>
          <w:rFonts w:cstheme="minorHAnsi"/>
          <w:sz w:val="22"/>
          <w:szCs w:val="22"/>
        </w:rPr>
        <w:t xml:space="preserve">W związku z </w:t>
      </w:r>
      <w:r w:rsidR="00D566E1" w:rsidRPr="003D1E88">
        <w:rPr>
          <w:rFonts w:cstheme="minorHAnsi"/>
          <w:sz w:val="22"/>
          <w:szCs w:val="22"/>
        </w:rPr>
        <w:t>powyższym Podkomitet z całą stanowczą stwierdza, że</w:t>
      </w:r>
      <w:r w:rsidR="00D566E1" w:rsidRPr="003D1E88">
        <w:rPr>
          <w:rStyle w:val="FontStyle43"/>
          <w:rFonts w:asciiTheme="minorHAnsi" w:hAnsiTheme="minorHAnsi" w:cstheme="minorHAnsi"/>
        </w:rPr>
        <w:t xml:space="preserve"> </w:t>
      </w:r>
      <w:r w:rsidR="00D566E1" w:rsidRPr="003D1E88">
        <w:rPr>
          <w:rStyle w:val="FontStyle43"/>
          <w:rFonts w:asciiTheme="minorHAnsi" w:hAnsiTheme="minorHAnsi" w:cstheme="minorHAnsi"/>
          <w:bCs/>
        </w:rPr>
        <w:t>aktualne regulacje prawa krajowego</w:t>
      </w:r>
      <w:r w:rsidR="00D566E1" w:rsidRPr="003D1E88">
        <w:rPr>
          <w:rStyle w:val="FontStyle43"/>
          <w:rFonts w:asciiTheme="minorHAnsi" w:hAnsiTheme="minorHAnsi" w:cstheme="minorHAnsi"/>
        </w:rPr>
        <w:t xml:space="preserve">, w tym szczególnie </w:t>
      </w:r>
      <w:r w:rsidR="00D566E1" w:rsidRPr="003D1E88">
        <w:rPr>
          <w:rFonts w:cstheme="minorHAnsi"/>
          <w:bCs/>
          <w:sz w:val="22"/>
          <w:szCs w:val="22"/>
        </w:rPr>
        <w:t>artykuły: 127</w:t>
      </w:r>
      <w:r w:rsidR="00D566E1" w:rsidRPr="003D1E88">
        <w:rPr>
          <w:rFonts w:cstheme="minorHAnsi"/>
          <w:sz w:val="22"/>
          <w:szCs w:val="22"/>
        </w:rPr>
        <w:t xml:space="preserve">, </w:t>
      </w:r>
      <w:r w:rsidR="00D566E1" w:rsidRPr="003D1E88">
        <w:rPr>
          <w:rFonts w:cstheme="minorHAnsi"/>
          <w:bCs/>
          <w:sz w:val="22"/>
          <w:szCs w:val="22"/>
        </w:rPr>
        <w:t>150</w:t>
      </w:r>
      <w:r w:rsidR="00D566E1" w:rsidRPr="003D1E88">
        <w:rPr>
          <w:rFonts w:cstheme="minorHAnsi"/>
          <w:sz w:val="22"/>
          <w:szCs w:val="22"/>
        </w:rPr>
        <w:t xml:space="preserve"> i </w:t>
      </w:r>
      <w:r w:rsidR="00D566E1" w:rsidRPr="003D1E88">
        <w:rPr>
          <w:rFonts w:cstheme="minorHAnsi"/>
          <w:bCs/>
          <w:sz w:val="22"/>
          <w:szCs w:val="22"/>
        </w:rPr>
        <w:t>221</w:t>
      </w:r>
      <w:r w:rsidR="00D566E1" w:rsidRPr="003D1E88">
        <w:rPr>
          <w:rFonts w:cstheme="minorHAnsi"/>
          <w:sz w:val="22"/>
          <w:szCs w:val="22"/>
        </w:rPr>
        <w:t xml:space="preserve"> ustawy z dnia 27 sierpnia 2009 r. </w:t>
      </w:r>
      <w:r w:rsidR="00D566E1" w:rsidRPr="003D1E88">
        <w:rPr>
          <w:rFonts w:cstheme="minorHAnsi"/>
          <w:bCs/>
          <w:sz w:val="22"/>
          <w:szCs w:val="22"/>
        </w:rPr>
        <w:t>o finansach publicznych</w:t>
      </w:r>
      <w:r w:rsidR="00D566E1" w:rsidRPr="003D1E88">
        <w:rPr>
          <w:rFonts w:cstheme="minorHAnsi"/>
          <w:sz w:val="22"/>
          <w:szCs w:val="22"/>
        </w:rPr>
        <w:t xml:space="preserve"> (Dz. U. z 2023 r. poz. 1270 z późn. zm.) </w:t>
      </w:r>
      <w:r w:rsidR="00D566E1" w:rsidRPr="003D1E88">
        <w:rPr>
          <w:rStyle w:val="FontStyle43"/>
          <w:rFonts w:asciiTheme="minorHAnsi" w:hAnsiTheme="minorHAnsi" w:cstheme="minorHAnsi"/>
        </w:rPr>
        <w:t xml:space="preserve">oraz prawa unijnego, w tym szczególnie art. 15 i 17 ust. 1 </w:t>
      </w:r>
      <w:r w:rsidR="00D566E1" w:rsidRPr="003D1E88">
        <w:rPr>
          <w:rStyle w:val="FontStyle43"/>
          <w:rFonts w:asciiTheme="minorHAnsi" w:hAnsiTheme="minorHAnsi" w:cstheme="minorHAnsi"/>
          <w:bCs/>
        </w:rPr>
        <w:t>Rozporządzenia delegowanego</w:t>
      </w:r>
      <w:r w:rsidR="00D566E1" w:rsidRPr="003D1E88">
        <w:rPr>
          <w:rStyle w:val="FontStyle43"/>
          <w:rFonts w:asciiTheme="minorHAnsi" w:hAnsiTheme="minorHAnsi" w:cstheme="minorHAnsi"/>
        </w:rPr>
        <w:t xml:space="preserve"> Komisji (UE) nr 240/2014 z dnia 7 stycznia 2014 r. w sprawie europejskiego kodeksu postępowania w zakresie partnerstwa w ramach europejskich funduszy strukturalnych i inwestycyjnych, </w:t>
      </w:r>
      <w:r w:rsidR="00D566E1" w:rsidRPr="003D1E88">
        <w:rPr>
          <w:rStyle w:val="FontStyle43"/>
          <w:rFonts w:asciiTheme="minorHAnsi" w:hAnsiTheme="minorHAnsi" w:cstheme="minorHAnsi"/>
          <w:bCs/>
        </w:rPr>
        <w:t xml:space="preserve">dają podstawę </w:t>
      </w:r>
      <w:r w:rsidR="00D566E1" w:rsidRPr="003D1E88">
        <w:rPr>
          <w:rStyle w:val="FontStyle43"/>
          <w:rFonts w:asciiTheme="minorHAnsi" w:hAnsiTheme="minorHAnsi" w:cstheme="minorHAnsi"/>
          <w:bCs/>
          <w:u w:val="single"/>
        </w:rPr>
        <w:t>prawną</w:t>
      </w:r>
      <w:r w:rsidR="00D566E1" w:rsidRPr="003D1E88">
        <w:rPr>
          <w:rStyle w:val="FontStyle43"/>
          <w:rFonts w:asciiTheme="minorHAnsi" w:hAnsiTheme="minorHAnsi" w:cstheme="minorHAnsi"/>
        </w:rPr>
        <w:t xml:space="preserve"> do przyznania partnerom spoza administracji uczestniczącym w pracach KM programów regionalnych dotacji celowej i podpisania  z nimi umowy z wykorzystaniem </w:t>
      </w:r>
      <w:r w:rsidR="00D566E1" w:rsidRPr="003D1E88">
        <w:rPr>
          <w:rFonts w:cstheme="minorHAnsi"/>
          <w:sz w:val="22"/>
          <w:szCs w:val="22"/>
        </w:rPr>
        <w:t>uproszczonych metod rozliczania kosztów.  Podstawę</w:t>
      </w:r>
      <w:r w:rsidR="00332BA9" w:rsidRPr="003D1E88">
        <w:rPr>
          <w:rFonts w:cstheme="minorHAnsi"/>
          <w:sz w:val="22"/>
          <w:szCs w:val="22"/>
        </w:rPr>
        <w:t xml:space="preserve"> do zawarcia z organizacją pozarządową umowy na realizację dotacji celowej </w:t>
      </w:r>
      <w:r w:rsidR="00D566E1" w:rsidRPr="003D1E88">
        <w:rPr>
          <w:rFonts w:cstheme="minorHAnsi"/>
          <w:sz w:val="22"/>
          <w:szCs w:val="22"/>
        </w:rPr>
        <w:t xml:space="preserve">daje  </w:t>
      </w:r>
      <w:r w:rsidR="00E863CE" w:rsidRPr="003D1E88">
        <w:rPr>
          <w:rFonts w:cstheme="minorHAnsi"/>
          <w:iCs/>
          <w:sz w:val="22"/>
          <w:szCs w:val="22"/>
        </w:rPr>
        <w:t>Art. 127. Ustawy o finansach publicznych</w:t>
      </w:r>
      <w:r w:rsidR="00D566E1" w:rsidRPr="003D1E88">
        <w:rPr>
          <w:rFonts w:cstheme="minorHAnsi"/>
          <w:iCs/>
          <w:sz w:val="22"/>
          <w:szCs w:val="22"/>
        </w:rPr>
        <w:t>, który  stwierdza że:</w:t>
      </w:r>
    </w:p>
    <w:p w14:paraId="295866B6" w14:textId="77777777" w:rsidR="00D566E1" w:rsidRPr="003D1E88" w:rsidRDefault="00D566E1" w:rsidP="003D1E88">
      <w:pPr>
        <w:spacing w:after="120"/>
        <w:jc w:val="both"/>
        <w:rPr>
          <w:rFonts w:cstheme="minorHAnsi"/>
          <w:i/>
          <w:iCs/>
          <w:sz w:val="22"/>
          <w:szCs w:val="22"/>
        </w:rPr>
      </w:pPr>
    </w:p>
    <w:p w14:paraId="062897C8" w14:textId="2BE51342" w:rsidR="00E863CE" w:rsidRPr="003D1E88" w:rsidRDefault="00E863CE" w:rsidP="003D1E88">
      <w:pPr>
        <w:spacing w:after="120"/>
        <w:jc w:val="both"/>
        <w:rPr>
          <w:rFonts w:cstheme="minorHAnsi"/>
          <w:i/>
          <w:iCs/>
          <w:sz w:val="22"/>
          <w:szCs w:val="22"/>
        </w:rPr>
      </w:pPr>
      <w:r w:rsidRPr="003D1E88">
        <w:rPr>
          <w:rFonts w:cstheme="minorHAnsi"/>
          <w:i/>
          <w:iCs/>
          <w:sz w:val="22"/>
          <w:szCs w:val="22"/>
        </w:rPr>
        <w:t xml:space="preserve"> </w:t>
      </w:r>
      <w:r w:rsidR="00D566E1" w:rsidRPr="003D1E88">
        <w:rPr>
          <w:rFonts w:cstheme="minorHAnsi"/>
          <w:iCs/>
          <w:sz w:val="22"/>
          <w:szCs w:val="22"/>
        </w:rPr>
        <w:t xml:space="preserve">Art. 127 </w:t>
      </w:r>
    </w:p>
    <w:p w14:paraId="5E5398D0" w14:textId="77777777" w:rsidR="00E863CE" w:rsidRPr="003D1E88" w:rsidRDefault="00E863CE" w:rsidP="003D1E88">
      <w:pPr>
        <w:spacing w:after="120"/>
        <w:jc w:val="both"/>
        <w:rPr>
          <w:rFonts w:cstheme="minorHAnsi"/>
          <w:b/>
          <w:bCs/>
          <w:i/>
          <w:iCs/>
          <w:sz w:val="22"/>
          <w:szCs w:val="22"/>
        </w:rPr>
      </w:pPr>
      <w:r w:rsidRPr="003D1E88">
        <w:rPr>
          <w:rFonts w:cstheme="minorHAnsi"/>
          <w:b/>
          <w:bCs/>
          <w:i/>
          <w:iCs/>
          <w:sz w:val="22"/>
          <w:szCs w:val="22"/>
        </w:rPr>
        <w:t>1. Dotacje celowe są to środki przeznaczone na:</w:t>
      </w:r>
    </w:p>
    <w:p w14:paraId="481A5681" w14:textId="77777777" w:rsidR="00E863CE" w:rsidRPr="003D1E88" w:rsidRDefault="00E863CE" w:rsidP="003D1E88">
      <w:pPr>
        <w:pStyle w:val="Akapitzlist"/>
        <w:spacing w:after="120"/>
        <w:ind w:left="0"/>
        <w:jc w:val="both"/>
        <w:rPr>
          <w:rFonts w:cstheme="minorHAnsi"/>
          <w:i/>
          <w:iCs/>
          <w:sz w:val="22"/>
          <w:szCs w:val="22"/>
        </w:rPr>
      </w:pPr>
      <w:r w:rsidRPr="003D1E88">
        <w:rPr>
          <w:rFonts w:cstheme="minorHAnsi"/>
          <w:i/>
          <w:iCs/>
          <w:sz w:val="22"/>
          <w:szCs w:val="22"/>
        </w:rPr>
        <w:t>1) finansowanie lub dofinansowanie:</w:t>
      </w:r>
    </w:p>
    <w:p w14:paraId="35755EC4" w14:textId="77777777" w:rsidR="00E863CE" w:rsidRPr="003D1E88" w:rsidRDefault="00E863CE" w:rsidP="003D1E88">
      <w:pPr>
        <w:pStyle w:val="Akapitzlist"/>
        <w:spacing w:after="120"/>
        <w:ind w:left="0"/>
        <w:jc w:val="both"/>
        <w:rPr>
          <w:rFonts w:cstheme="minorHAnsi"/>
          <w:b/>
          <w:bCs/>
          <w:i/>
          <w:iCs/>
          <w:sz w:val="22"/>
          <w:szCs w:val="22"/>
        </w:rPr>
      </w:pPr>
      <w:r w:rsidRPr="003D1E88">
        <w:rPr>
          <w:rFonts w:cstheme="minorHAnsi"/>
          <w:b/>
          <w:bCs/>
          <w:i/>
          <w:iCs/>
          <w:sz w:val="22"/>
          <w:szCs w:val="22"/>
        </w:rPr>
        <w:t>a) zadań z zakresu administracji rządowej oraz innych zadań zleconych jednostkom samorządu terytorialnego ustawami,</w:t>
      </w:r>
    </w:p>
    <w:p w14:paraId="72C15F1D" w14:textId="77777777" w:rsidR="00E863CE" w:rsidRPr="003D1E88" w:rsidRDefault="00E863CE" w:rsidP="003D1E88">
      <w:pPr>
        <w:pStyle w:val="Akapitzlist"/>
        <w:spacing w:after="120"/>
        <w:ind w:left="0"/>
        <w:jc w:val="both"/>
        <w:rPr>
          <w:rFonts w:cstheme="minorHAnsi"/>
          <w:i/>
          <w:iCs/>
          <w:sz w:val="22"/>
          <w:szCs w:val="22"/>
        </w:rPr>
      </w:pPr>
      <w:r w:rsidRPr="003D1E88">
        <w:rPr>
          <w:rFonts w:cstheme="minorHAnsi"/>
          <w:i/>
          <w:iCs/>
          <w:sz w:val="22"/>
          <w:szCs w:val="22"/>
        </w:rPr>
        <w:t>b) ustawowo określonych zadań, w tym zadań z zakresu mecenatu państwa nad kulturą, realizowanych przez jednostki inne niż jednostki samorządu terytorialnego,</w:t>
      </w:r>
    </w:p>
    <w:p w14:paraId="7F6ADA89" w14:textId="77777777" w:rsidR="00E863CE" w:rsidRPr="003D1E88" w:rsidRDefault="00E863CE" w:rsidP="003D1E88">
      <w:pPr>
        <w:pStyle w:val="Akapitzlist"/>
        <w:spacing w:after="120"/>
        <w:ind w:left="0"/>
        <w:jc w:val="both"/>
        <w:rPr>
          <w:rFonts w:cstheme="minorHAnsi"/>
          <w:i/>
          <w:iCs/>
          <w:sz w:val="22"/>
          <w:szCs w:val="22"/>
        </w:rPr>
      </w:pPr>
      <w:r w:rsidRPr="003D1E88">
        <w:rPr>
          <w:rFonts w:cstheme="minorHAnsi"/>
          <w:i/>
          <w:iCs/>
          <w:sz w:val="22"/>
          <w:szCs w:val="22"/>
        </w:rPr>
        <w:lastRenderedPageBreak/>
        <w:t>c) bieżących zadań własnych jednostek samorządu terytorialnego,</w:t>
      </w:r>
    </w:p>
    <w:p w14:paraId="414EB57A" w14:textId="77777777" w:rsidR="00E863CE" w:rsidRPr="003D1E88" w:rsidRDefault="00E863CE" w:rsidP="003D1E88">
      <w:pPr>
        <w:pStyle w:val="Akapitzlist"/>
        <w:spacing w:after="120"/>
        <w:ind w:left="0"/>
        <w:jc w:val="both"/>
        <w:rPr>
          <w:rFonts w:cstheme="minorHAnsi"/>
          <w:i/>
          <w:iCs/>
          <w:sz w:val="22"/>
          <w:szCs w:val="22"/>
        </w:rPr>
      </w:pPr>
      <w:r w:rsidRPr="003D1E88">
        <w:rPr>
          <w:rFonts w:cstheme="minorHAnsi"/>
          <w:i/>
          <w:iCs/>
          <w:sz w:val="22"/>
          <w:szCs w:val="22"/>
        </w:rPr>
        <w:t>d) zadań agencji wykonawczych, o których mowa w art. 21 plan finansowy agencji wykonawczej ust. 1 pkt 3 lit. b,</w:t>
      </w:r>
    </w:p>
    <w:p w14:paraId="0394DEF8" w14:textId="77777777" w:rsidR="00E863CE" w:rsidRPr="003D1E88" w:rsidRDefault="00E863CE" w:rsidP="003D1E88">
      <w:pPr>
        <w:pStyle w:val="Akapitzlist"/>
        <w:spacing w:after="120"/>
        <w:ind w:left="0"/>
        <w:jc w:val="both"/>
        <w:rPr>
          <w:rFonts w:cstheme="minorHAnsi"/>
          <w:b/>
          <w:bCs/>
          <w:i/>
          <w:iCs/>
          <w:sz w:val="22"/>
          <w:szCs w:val="22"/>
        </w:rPr>
      </w:pPr>
      <w:r w:rsidRPr="003D1E88">
        <w:rPr>
          <w:rFonts w:cstheme="minorHAnsi"/>
          <w:b/>
          <w:bCs/>
          <w:i/>
          <w:iCs/>
          <w:sz w:val="22"/>
          <w:szCs w:val="22"/>
        </w:rPr>
        <w:t>e) zadań zleconych do realizacji organizacjom pozarządowym,</w:t>
      </w:r>
    </w:p>
    <w:p w14:paraId="013A74D0" w14:textId="77777777" w:rsidR="00E863CE" w:rsidRPr="003D1E88" w:rsidRDefault="00E863CE" w:rsidP="003D1E88">
      <w:pPr>
        <w:pStyle w:val="Akapitzlist"/>
        <w:spacing w:after="120"/>
        <w:ind w:left="0"/>
        <w:jc w:val="both"/>
        <w:rPr>
          <w:rFonts w:cstheme="minorHAnsi"/>
          <w:i/>
          <w:iCs/>
          <w:sz w:val="22"/>
          <w:szCs w:val="22"/>
        </w:rPr>
      </w:pPr>
      <w:r w:rsidRPr="003D1E88">
        <w:rPr>
          <w:rFonts w:cstheme="minorHAnsi"/>
          <w:i/>
          <w:iCs/>
          <w:sz w:val="22"/>
          <w:szCs w:val="22"/>
        </w:rPr>
        <w:t>f) kosztów realizacji inwestycji;</w:t>
      </w:r>
    </w:p>
    <w:p w14:paraId="3AA00330" w14:textId="77777777" w:rsidR="00E863CE" w:rsidRPr="003D1E88" w:rsidRDefault="00E863CE" w:rsidP="003D1E88">
      <w:pPr>
        <w:pStyle w:val="Akapitzlist"/>
        <w:spacing w:after="120"/>
        <w:ind w:left="0"/>
        <w:jc w:val="both"/>
        <w:rPr>
          <w:rFonts w:cstheme="minorHAnsi"/>
          <w:i/>
          <w:iCs/>
          <w:sz w:val="22"/>
          <w:szCs w:val="22"/>
        </w:rPr>
      </w:pPr>
      <w:r w:rsidRPr="003D1E88">
        <w:rPr>
          <w:rFonts w:cstheme="minorHAnsi"/>
          <w:i/>
          <w:iCs/>
          <w:sz w:val="22"/>
          <w:szCs w:val="22"/>
        </w:rPr>
        <w:t>2) dopłaty do oprocentowania kredytów bankowych w zakresie określonym w odrębnych ustawach.</w:t>
      </w:r>
    </w:p>
    <w:p w14:paraId="27A7280D" w14:textId="77777777" w:rsidR="00E863CE" w:rsidRPr="003D1E88" w:rsidRDefault="00E863CE" w:rsidP="003D1E88">
      <w:pPr>
        <w:pStyle w:val="Akapitzlist"/>
        <w:spacing w:after="120"/>
        <w:ind w:left="0"/>
        <w:jc w:val="both"/>
        <w:rPr>
          <w:rFonts w:cstheme="minorHAnsi"/>
          <w:b/>
          <w:bCs/>
          <w:i/>
          <w:iCs/>
          <w:sz w:val="22"/>
          <w:szCs w:val="22"/>
        </w:rPr>
      </w:pPr>
      <w:r w:rsidRPr="003D1E88">
        <w:rPr>
          <w:rFonts w:cstheme="minorHAnsi"/>
          <w:b/>
          <w:bCs/>
          <w:i/>
          <w:iCs/>
          <w:sz w:val="22"/>
          <w:szCs w:val="22"/>
        </w:rPr>
        <w:t>2. Dotacjami celowymi są także środki przeznaczone na:</w:t>
      </w:r>
    </w:p>
    <w:p w14:paraId="52B830F8" w14:textId="77777777" w:rsidR="00E863CE" w:rsidRPr="003D1E88" w:rsidRDefault="00E863CE" w:rsidP="003D1E88">
      <w:pPr>
        <w:pStyle w:val="Akapitzlist"/>
        <w:spacing w:after="120"/>
        <w:ind w:left="0"/>
        <w:jc w:val="both"/>
        <w:rPr>
          <w:rFonts w:cstheme="minorHAnsi"/>
          <w:i/>
          <w:iCs/>
          <w:sz w:val="22"/>
          <w:szCs w:val="22"/>
        </w:rPr>
      </w:pPr>
      <w:r w:rsidRPr="003D1E88">
        <w:rPr>
          <w:rFonts w:cstheme="minorHAnsi"/>
          <w:i/>
          <w:iCs/>
          <w:sz w:val="22"/>
          <w:szCs w:val="22"/>
        </w:rPr>
        <w:t>1) realizację programów finansowanych z udziałem środków, o których mowa w art. 5 pojęcie środków publicznych i dochodów publicznych ust. 1 pkt 3 i ust. 3 pkt 6, wydatkowane przez podmioty realizujące te programy, inne niż państwowe jednostki budżetowe;</w:t>
      </w:r>
    </w:p>
    <w:p w14:paraId="7F3B8769" w14:textId="77777777" w:rsidR="00E863CE" w:rsidRPr="003D1E88" w:rsidRDefault="00E863CE" w:rsidP="003D1E88">
      <w:pPr>
        <w:pStyle w:val="Akapitzlist"/>
        <w:spacing w:after="120"/>
        <w:ind w:left="0"/>
        <w:jc w:val="both"/>
        <w:rPr>
          <w:rFonts w:cstheme="minorHAnsi"/>
          <w:b/>
          <w:bCs/>
          <w:i/>
          <w:iCs/>
          <w:sz w:val="22"/>
          <w:szCs w:val="22"/>
        </w:rPr>
      </w:pPr>
      <w:r w:rsidRPr="003D1E88">
        <w:rPr>
          <w:rFonts w:cstheme="minorHAnsi"/>
          <w:b/>
          <w:bCs/>
          <w:i/>
          <w:iCs/>
          <w:sz w:val="22"/>
          <w:szCs w:val="22"/>
        </w:rPr>
        <w:t>2) realizację projektów pomocy technicznej finansowanych z udziałem środków europejskich i środków, o których mowa w art. 5 pojęcie środków publicznych i dochodów publicznych ust. 3 pkt 5 lit. a i b;</w:t>
      </w:r>
    </w:p>
    <w:p w14:paraId="29C6C7DF" w14:textId="77777777" w:rsidR="00E863CE" w:rsidRPr="003D1E88" w:rsidRDefault="00E863CE" w:rsidP="003D1E88">
      <w:pPr>
        <w:pStyle w:val="Akapitzlist"/>
        <w:spacing w:after="120"/>
        <w:ind w:left="0"/>
        <w:jc w:val="both"/>
        <w:rPr>
          <w:rFonts w:cstheme="minorHAnsi"/>
          <w:i/>
          <w:iCs/>
          <w:sz w:val="22"/>
          <w:szCs w:val="22"/>
        </w:rPr>
      </w:pPr>
      <w:r w:rsidRPr="003D1E88">
        <w:rPr>
          <w:rFonts w:cstheme="minorHAnsi"/>
          <w:i/>
          <w:iCs/>
          <w:sz w:val="22"/>
          <w:szCs w:val="22"/>
        </w:rPr>
        <w:t>3) finansowanie lub dofinansowanie zadań realizowanych przez jednostki samorządu terytorialnego oraz inne podmioty, ze środków przekazywanych przez jednostki, o których mowa w art. 9 podmioty wchodzące w skład sektora finansów publicznych pkt 5, 7 i 14;</w:t>
      </w:r>
    </w:p>
    <w:p w14:paraId="49EE9240" w14:textId="77777777" w:rsidR="00E863CE" w:rsidRPr="003D1E88" w:rsidRDefault="00E863CE" w:rsidP="003D1E88">
      <w:pPr>
        <w:pStyle w:val="Akapitzlist"/>
        <w:spacing w:after="120"/>
        <w:ind w:left="0"/>
        <w:jc w:val="both"/>
        <w:rPr>
          <w:rFonts w:cstheme="minorHAnsi"/>
          <w:i/>
          <w:iCs/>
          <w:sz w:val="22"/>
          <w:szCs w:val="22"/>
        </w:rPr>
      </w:pPr>
      <w:r w:rsidRPr="003D1E88">
        <w:rPr>
          <w:rFonts w:cstheme="minorHAnsi"/>
          <w:i/>
          <w:iCs/>
          <w:sz w:val="22"/>
          <w:szCs w:val="22"/>
        </w:rPr>
        <w:t>4) realizację programów finansowanych z udziałem środków, o których mowa w art. 5 pojęcie środków publicznych i dochodów publicznych ust. 3 pkt 5;</w:t>
      </w:r>
    </w:p>
    <w:p w14:paraId="606D6BBA" w14:textId="77777777" w:rsidR="00E863CE" w:rsidRPr="003D1E88" w:rsidRDefault="00E863CE" w:rsidP="003D1E88">
      <w:pPr>
        <w:pStyle w:val="Akapitzlist"/>
        <w:spacing w:after="120"/>
        <w:ind w:left="0"/>
        <w:jc w:val="both"/>
        <w:rPr>
          <w:rFonts w:cstheme="minorHAnsi"/>
          <w:i/>
          <w:iCs/>
          <w:sz w:val="22"/>
          <w:szCs w:val="22"/>
        </w:rPr>
      </w:pPr>
      <w:r w:rsidRPr="003D1E88">
        <w:rPr>
          <w:rFonts w:cstheme="minorHAnsi"/>
          <w:i/>
          <w:iCs/>
          <w:sz w:val="22"/>
          <w:szCs w:val="22"/>
        </w:rPr>
        <w:t>5) współfinansowanie realizacji programów finansowanych z udziałem środków europejskich;</w:t>
      </w:r>
    </w:p>
    <w:p w14:paraId="60CAAD8A" w14:textId="77777777" w:rsidR="00E863CE" w:rsidRPr="003D1E88" w:rsidRDefault="00E863CE" w:rsidP="003D1E88">
      <w:pPr>
        <w:pStyle w:val="Akapitzlist"/>
        <w:spacing w:after="120"/>
        <w:ind w:left="0"/>
        <w:jc w:val="both"/>
        <w:rPr>
          <w:rFonts w:cstheme="minorHAnsi"/>
          <w:sz w:val="22"/>
          <w:szCs w:val="22"/>
          <w:shd w:val="clear" w:color="auto" w:fill="FFFFFF"/>
        </w:rPr>
      </w:pPr>
      <w:r w:rsidRPr="003D1E88">
        <w:rPr>
          <w:rFonts w:cstheme="minorHAnsi"/>
          <w:i/>
          <w:iCs/>
          <w:sz w:val="22"/>
          <w:szCs w:val="22"/>
        </w:rPr>
        <w:t>6) wyprzedzające finansowanie Wspólnej Polityki Rolnej, o którym mowa w odrębnych przepisach, w części podlegającej refundacji ze środków Unii Europejskiej.</w:t>
      </w:r>
    </w:p>
    <w:p w14:paraId="04AEBB04" w14:textId="48E73997" w:rsidR="00E863CE" w:rsidRPr="003D1E88" w:rsidRDefault="00E863CE" w:rsidP="003D1E88">
      <w:pPr>
        <w:spacing w:after="120"/>
        <w:jc w:val="both"/>
        <w:rPr>
          <w:rFonts w:cstheme="minorHAnsi"/>
          <w:sz w:val="22"/>
          <w:szCs w:val="22"/>
        </w:rPr>
      </w:pPr>
    </w:p>
    <w:p w14:paraId="389FCC40" w14:textId="53837DF7" w:rsidR="00E863CE" w:rsidRPr="003D1E88" w:rsidRDefault="00332BA9" w:rsidP="003D1E88">
      <w:pPr>
        <w:pStyle w:val="Style4"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3D1E88">
        <w:rPr>
          <w:rFonts w:asciiTheme="minorHAnsi" w:hAnsiTheme="minorHAnsi" w:cstheme="minorHAnsi"/>
          <w:sz w:val="22"/>
          <w:szCs w:val="22"/>
        </w:rPr>
        <w:t>A</w:t>
      </w:r>
      <w:r w:rsidR="00E863CE" w:rsidRPr="003D1E88">
        <w:rPr>
          <w:rFonts w:asciiTheme="minorHAnsi" w:hAnsiTheme="minorHAnsi" w:cstheme="minorHAnsi"/>
          <w:b/>
          <w:bCs/>
          <w:sz w:val="22"/>
          <w:szCs w:val="22"/>
        </w:rPr>
        <w:t>rt. 221</w:t>
      </w:r>
      <w:r w:rsidRPr="003D1E88">
        <w:rPr>
          <w:rFonts w:asciiTheme="minorHAnsi" w:hAnsiTheme="minorHAnsi" w:cstheme="minorHAnsi"/>
          <w:sz w:val="22"/>
          <w:szCs w:val="22"/>
        </w:rPr>
        <w:t xml:space="preserve"> tej ustawy o</w:t>
      </w:r>
      <w:r w:rsidR="00E863CE" w:rsidRPr="003D1E88">
        <w:rPr>
          <w:rFonts w:asciiTheme="minorHAnsi" w:hAnsiTheme="minorHAnsi" w:cstheme="minorHAnsi"/>
          <w:sz w:val="22"/>
          <w:szCs w:val="22"/>
        </w:rPr>
        <w:t xml:space="preserve">kreśla </w:t>
      </w:r>
      <w:r w:rsidRPr="003D1E88">
        <w:rPr>
          <w:rFonts w:asciiTheme="minorHAnsi" w:hAnsiTheme="minorHAnsi" w:cstheme="minorHAnsi"/>
          <w:sz w:val="22"/>
          <w:szCs w:val="22"/>
        </w:rPr>
        <w:t xml:space="preserve">wprost </w:t>
      </w:r>
      <w:r w:rsidR="00E863CE" w:rsidRPr="003D1E88">
        <w:rPr>
          <w:rFonts w:asciiTheme="minorHAnsi" w:hAnsiTheme="minorHAnsi" w:cstheme="minorHAnsi"/>
          <w:sz w:val="22"/>
          <w:szCs w:val="22"/>
        </w:rPr>
        <w:t>zasady przyznawania dotacji dla podmiotów niezaliczanych do sektora finansów publicznych</w:t>
      </w:r>
      <w:r w:rsidRPr="003D1E88">
        <w:rPr>
          <w:rFonts w:asciiTheme="minorHAnsi" w:hAnsiTheme="minorHAnsi" w:cstheme="minorHAnsi"/>
          <w:sz w:val="22"/>
          <w:szCs w:val="22"/>
        </w:rPr>
        <w:t>, stwierdzając, że:</w:t>
      </w:r>
    </w:p>
    <w:p w14:paraId="68FF6950" w14:textId="77777777" w:rsidR="00E863CE" w:rsidRPr="003D1E88" w:rsidRDefault="00E863CE" w:rsidP="003D1E88">
      <w:pPr>
        <w:pStyle w:val="Style4"/>
        <w:spacing w:after="120" w:line="240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3D1E88">
        <w:rPr>
          <w:rFonts w:asciiTheme="minorHAnsi" w:hAnsiTheme="minorHAnsi" w:cstheme="minorHAnsi"/>
          <w:i/>
          <w:iCs/>
          <w:sz w:val="22"/>
          <w:szCs w:val="22"/>
        </w:rPr>
        <w:t xml:space="preserve">1.  Podmioty niezaliczane do sektora finansów publicznych i niedziałające w celu osiągnięcia zysku mogą otrzymywać </w:t>
      </w:r>
      <w:r w:rsidRPr="003D1E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z budżetu jednostki samorządu terytorialnego</w:t>
      </w:r>
      <w:r w:rsidRPr="003D1E88">
        <w:rPr>
          <w:rFonts w:asciiTheme="minorHAnsi" w:hAnsiTheme="minorHAnsi" w:cstheme="minorHAnsi"/>
          <w:i/>
          <w:iCs/>
          <w:sz w:val="22"/>
          <w:szCs w:val="22"/>
        </w:rPr>
        <w:t xml:space="preserve"> dotacje celowe na cele publiczne, związane z realizacją zadań tej jednostki, a także na dofinansowanie inwestycji związanych z realizacją tych zadań.</w:t>
      </w:r>
    </w:p>
    <w:p w14:paraId="29780352" w14:textId="77777777" w:rsidR="00E863CE" w:rsidRPr="003D1E88" w:rsidRDefault="00E863CE" w:rsidP="003D1E88">
      <w:pPr>
        <w:pStyle w:val="Style4"/>
        <w:spacing w:after="120" w:line="240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3D1E88">
        <w:rPr>
          <w:rFonts w:asciiTheme="minorHAnsi" w:hAnsiTheme="minorHAnsi" w:cstheme="minorHAnsi"/>
          <w:i/>
          <w:iCs/>
          <w:sz w:val="22"/>
          <w:szCs w:val="22"/>
        </w:rPr>
        <w:t xml:space="preserve">2.  Zlecenie zadania i udzielenie dotacji następuje zgodnie z przepisami ustawy z dnia 24 kwietnia 2003 r. o działalności pożytku publicznego i o wolontariacie, </w:t>
      </w:r>
      <w:r w:rsidRPr="003D1E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a jeżeli dotyczy ono innych zadań niż określone w tej ustawie - na podstawie umowy jednostki samorządu terytorialnego z podmiotem, o którym mowa w ust. 1.</w:t>
      </w:r>
    </w:p>
    <w:p w14:paraId="7C2431C8" w14:textId="77777777" w:rsidR="00E863CE" w:rsidRPr="003D1E88" w:rsidRDefault="00E863CE" w:rsidP="003D1E88">
      <w:pPr>
        <w:pStyle w:val="Style4"/>
        <w:spacing w:after="120" w:line="240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3D1E88">
        <w:rPr>
          <w:rFonts w:asciiTheme="minorHAnsi" w:hAnsiTheme="minorHAnsi" w:cstheme="minorHAnsi"/>
          <w:i/>
          <w:iCs/>
          <w:sz w:val="22"/>
          <w:szCs w:val="22"/>
        </w:rPr>
        <w:t>3.  Umowa, o której mowa w ust. 2, powinna określać:</w:t>
      </w:r>
    </w:p>
    <w:p w14:paraId="1396D36C" w14:textId="77777777" w:rsidR="00E863CE" w:rsidRPr="003D1E88" w:rsidRDefault="00E863CE" w:rsidP="003D1E88">
      <w:pPr>
        <w:pStyle w:val="Style4"/>
        <w:spacing w:after="120" w:line="240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3D1E88">
        <w:rPr>
          <w:rFonts w:asciiTheme="minorHAnsi" w:hAnsiTheme="minorHAnsi" w:cstheme="minorHAnsi"/>
          <w:i/>
          <w:iCs/>
          <w:sz w:val="22"/>
          <w:szCs w:val="22"/>
        </w:rPr>
        <w:t>1) szczegółowy opis zadania, w tym cel, na jaki dotacja została przyznana, i termin jego wykonania;</w:t>
      </w:r>
    </w:p>
    <w:p w14:paraId="1C39A330" w14:textId="77777777" w:rsidR="00E863CE" w:rsidRPr="003D1E88" w:rsidRDefault="00E863CE" w:rsidP="003D1E88">
      <w:pPr>
        <w:pStyle w:val="Style4"/>
        <w:spacing w:after="120" w:line="240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3D1E88">
        <w:rPr>
          <w:rFonts w:asciiTheme="minorHAnsi" w:hAnsiTheme="minorHAnsi" w:cstheme="minorHAnsi"/>
          <w:i/>
          <w:iCs/>
          <w:sz w:val="22"/>
          <w:szCs w:val="22"/>
        </w:rPr>
        <w:t>2) wysokość dotacji udzielanej podmiotowi wykonującemu zadanie i tryb płatności;</w:t>
      </w:r>
    </w:p>
    <w:p w14:paraId="6A3630D1" w14:textId="77777777" w:rsidR="00E863CE" w:rsidRPr="003D1E88" w:rsidRDefault="00E863CE" w:rsidP="003D1E88">
      <w:pPr>
        <w:pStyle w:val="Style4"/>
        <w:spacing w:after="120" w:line="240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3D1E88">
        <w:rPr>
          <w:rFonts w:asciiTheme="minorHAnsi" w:hAnsiTheme="minorHAnsi" w:cstheme="minorHAnsi"/>
          <w:i/>
          <w:iCs/>
          <w:sz w:val="22"/>
          <w:szCs w:val="22"/>
        </w:rPr>
        <w:t>3) termin wykorzystania dotacji, nie dłuższy niż do dnia 31 grudnia danego roku budżetowego;</w:t>
      </w:r>
    </w:p>
    <w:p w14:paraId="3BFBAD99" w14:textId="77777777" w:rsidR="00E863CE" w:rsidRPr="003D1E88" w:rsidRDefault="00E863CE" w:rsidP="003D1E88">
      <w:pPr>
        <w:pStyle w:val="Style4"/>
        <w:spacing w:after="120" w:line="240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3D1E88">
        <w:rPr>
          <w:rFonts w:asciiTheme="minorHAnsi" w:hAnsiTheme="minorHAnsi" w:cstheme="minorHAnsi"/>
          <w:i/>
          <w:iCs/>
          <w:sz w:val="22"/>
          <w:szCs w:val="22"/>
        </w:rPr>
        <w:t>4) tryb kontroli wykonywania zadania;</w:t>
      </w:r>
    </w:p>
    <w:p w14:paraId="413FA118" w14:textId="77777777" w:rsidR="00E863CE" w:rsidRPr="003D1E88" w:rsidRDefault="00E863CE" w:rsidP="003D1E88">
      <w:pPr>
        <w:pStyle w:val="Style4"/>
        <w:spacing w:after="120" w:line="240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3D1E88">
        <w:rPr>
          <w:rFonts w:asciiTheme="minorHAnsi" w:hAnsiTheme="minorHAnsi" w:cstheme="minorHAnsi"/>
          <w:i/>
          <w:iCs/>
          <w:sz w:val="22"/>
          <w:szCs w:val="22"/>
        </w:rPr>
        <w:t>5) termin i sposób rozliczenia udzielonej dotacji;</w:t>
      </w:r>
    </w:p>
    <w:p w14:paraId="4113FFBE" w14:textId="77777777" w:rsidR="00E863CE" w:rsidRPr="003D1E88" w:rsidRDefault="00E863CE" w:rsidP="003D1E88">
      <w:pPr>
        <w:pStyle w:val="Style4"/>
        <w:spacing w:after="120" w:line="240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3D1E88">
        <w:rPr>
          <w:rFonts w:asciiTheme="minorHAnsi" w:hAnsiTheme="minorHAnsi" w:cstheme="minorHAnsi"/>
          <w:i/>
          <w:iCs/>
          <w:sz w:val="22"/>
          <w:szCs w:val="22"/>
        </w:rPr>
        <w:t>6) termin zwrotu niewykorzystanej części dotacji, nie dłuższy niż terminy zwrotu dotacji określone w niniejszym dziale.</w:t>
      </w:r>
    </w:p>
    <w:p w14:paraId="3746F6B0" w14:textId="77777777" w:rsidR="00E863CE" w:rsidRPr="003D1E88" w:rsidRDefault="00E863CE" w:rsidP="003D1E88">
      <w:pPr>
        <w:pStyle w:val="Style4"/>
        <w:spacing w:after="120" w:line="240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3D1E88">
        <w:rPr>
          <w:rFonts w:asciiTheme="minorHAnsi" w:hAnsiTheme="minorHAnsi" w:cstheme="minorHAnsi"/>
          <w:i/>
          <w:iCs/>
          <w:sz w:val="22"/>
          <w:szCs w:val="22"/>
        </w:rPr>
        <w:t>4.  Tryb postępowania o udzielenie dotacji na inne zadania niż określone w ustawie, o której mowa w ust. 2, sposób jej rozliczania oraz sposób kontroli wykonywania zleconego zadania określa, w drodze uchwały, organ stanowiący jednostki samorządu terytorialnego, mając na uwadze zapewnienie jawności postępowania o udzielenie dotacji i jej rozliczenia.</w:t>
      </w:r>
    </w:p>
    <w:p w14:paraId="38728F89" w14:textId="77777777" w:rsidR="00E863CE" w:rsidRPr="003D1E88" w:rsidRDefault="00E863CE" w:rsidP="003D1E88">
      <w:pPr>
        <w:pStyle w:val="Style4"/>
        <w:spacing w:after="120" w:line="240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</w:p>
    <w:p w14:paraId="1DF94D31" w14:textId="0492BC8C" w:rsidR="00E863CE" w:rsidRPr="003D1E88" w:rsidRDefault="00332BA9" w:rsidP="003D1E88">
      <w:pPr>
        <w:pStyle w:val="Style4"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3D1E88">
        <w:rPr>
          <w:rFonts w:asciiTheme="minorHAnsi" w:hAnsiTheme="minorHAnsi" w:cstheme="minorHAnsi"/>
          <w:sz w:val="22"/>
          <w:szCs w:val="22"/>
        </w:rPr>
        <w:t>R</w:t>
      </w:r>
      <w:r w:rsidR="00E863CE" w:rsidRPr="003D1E88">
        <w:rPr>
          <w:rFonts w:asciiTheme="minorHAnsi" w:hAnsiTheme="minorHAnsi" w:cstheme="minorHAnsi"/>
          <w:sz w:val="22"/>
          <w:szCs w:val="22"/>
        </w:rPr>
        <w:t>ównież</w:t>
      </w:r>
      <w:r w:rsidRPr="003D1E88">
        <w:rPr>
          <w:rFonts w:asciiTheme="minorHAnsi" w:hAnsiTheme="minorHAnsi" w:cstheme="minorHAnsi"/>
          <w:sz w:val="22"/>
          <w:szCs w:val="22"/>
        </w:rPr>
        <w:t xml:space="preserve"> </w:t>
      </w:r>
      <w:r w:rsidR="00E863CE" w:rsidRPr="003D1E88">
        <w:rPr>
          <w:rFonts w:asciiTheme="minorHAnsi" w:hAnsiTheme="minorHAnsi" w:cstheme="minorHAnsi"/>
          <w:b/>
          <w:bCs/>
          <w:sz w:val="22"/>
          <w:szCs w:val="22"/>
        </w:rPr>
        <w:t>art. 44 ustawy z dnia 28 kwietnia 2022 r. o zasadach realizacji zadań finansowanych ze środków europejskich w perspektywie finansowej 2021–2027</w:t>
      </w:r>
      <w:r w:rsidR="00E863CE" w:rsidRPr="003D1E88">
        <w:rPr>
          <w:rFonts w:asciiTheme="minorHAnsi" w:hAnsiTheme="minorHAnsi" w:cstheme="minorHAnsi"/>
          <w:sz w:val="22"/>
          <w:szCs w:val="22"/>
        </w:rPr>
        <w:t xml:space="preserve"> (Dz. U.z 2022 r. poz. 1079, z 2024 r. poz. 1717 z późn. zm.), stwierdza, że</w:t>
      </w:r>
      <w:r w:rsidRPr="003D1E88">
        <w:rPr>
          <w:rFonts w:asciiTheme="minorHAnsi" w:hAnsiTheme="minorHAnsi" w:cstheme="minorHAnsi"/>
          <w:sz w:val="22"/>
          <w:szCs w:val="22"/>
        </w:rPr>
        <w:t>:</w:t>
      </w:r>
    </w:p>
    <w:p w14:paraId="0C5800DB" w14:textId="77777777" w:rsidR="00332BA9" w:rsidRPr="003D1E88" w:rsidRDefault="00332BA9" w:rsidP="003D1E88">
      <w:pPr>
        <w:pStyle w:val="Style4"/>
        <w:spacing w:after="120" w:line="240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</w:p>
    <w:p w14:paraId="00132327" w14:textId="77777777" w:rsidR="00E863CE" w:rsidRPr="003D1E88" w:rsidRDefault="00E863CE" w:rsidP="003D1E88">
      <w:pPr>
        <w:pStyle w:val="Style4"/>
        <w:spacing w:after="120" w:line="240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3D1E88">
        <w:rPr>
          <w:rFonts w:asciiTheme="minorHAnsi" w:hAnsiTheme="minorHAnsi" w:cstheme="minorHAnsi"/>
          <w:i/>
          <w:iCs/>
          <w:sz w:val="22"/>
          <w:szCs w:val="22"/>
        </w:rPr>
        <w:lastRenderedPageBreak/>
        <w:t>Art. 44. 1. Właściwa instytucja wybiera projekty do dofinansowania w sposób konkurencyjny lub niekonkurencyjny.</w:t>
      </w:r>
    </w:p>
    <w:p w14:paraId="7938342E" w14:textId="77777777" w:rsidR="00E863CE" w:rsidRPr="003D1E88" w:rsidRDefault="00E863CE" w:rsidP="003D1E88">
      <w:pPr>
        <w:pStyle w:val="Style4"/>
        <w:spacing w:after="120" w:line="240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3D1E88">
        <w:rPr>
          <w:rFonts w:asciiTheme="minorHAnsi" w:hAnsiTheme="minorHAnsi" w:cstheme="minorHAnsi"/>
          <w:i/>
          <w:iCs/>
          <w:sz w:val="22"/>
          <w:szCs w:val="22"/>
        </w:rPr>
        <w:t>2. W sposób niekonkurencyjny mogą być wybrane projekty, których wnioskodawcami, ze względu na charakter lub cel projektu, będą podmioty jednoznacznie określone przed złożeniem wniosku o dofinansowanie projektu oraz które:</w:t>
      </w:r>
    </w:p>
    <w:p w14:paraId="7C36BE92" w14:textId="77777777" w:rsidR="00E863CE" w:rsidRPr="003D1E88" w:rsidRDefault="00E863CE" w:rsidP="003D1E88">
      <w:pPr>
        <w:pStyle w:val="Style4"/>
        <w:spacing w:after="120" w:line="240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3D1E88">
        <w:rPr>
          <w:rFonts w:asciiTheme="minorHAnsi" w:hAnsiTheme="minorHAnsi" w:cstheme="minorHAnsi"/>
          <w:i/>
          <w:iCs/>
          <w:sz w:val="22"/>
          <w:szCs w:val="22"/>
        </w:rPr>
        <w:t>1) polegają na realizacji zadań publicznych wynikających z przepisów odrębnych lub</w:t>
      </w:r>
    </w:p>
    <w:p w14:paraId="5B39EA3D" w14:textId="77777777" w:rsidR="00E863CE" w:rsidRPr="003D1E88" w:rsidRDefault="00E863CE" w:rsidP="003D1E88">
      <w:pPr>
        <w:pStyle w:val="Style4"/>
        <w:spacing w:after="120" w:line="240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3D1E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2) mają strategiczne znaczenie dla społeczno-gospodarczego rozwoju kraju, regionu lub obszaru objętego realizacją ZIT, IIT lub terytorialnego planu sprawiedliwej transformacji</w:t>
      </w:r>
      <w:r w:rsidRPr="003D1E88">
        <w:rPr>
          <w:rFonts w:asciiTheme="minorHAnsi" w:hAnsiTheme="minorHAnsi" w:cstheme="minorHAnsi"/>
          <w:i/>
          <w:iCs/>
          <w:sz w:val="22"/>
          <w:szCs w:val="22"/>
        </w:rPr>
        <w:t>, o którym mowa w art. 11 rozporządzenia FST,</w:t>
      </w:r>
    </w:p>
    <w:p w14:paraId="57DC0219" w14:textId="77777777" w:rsidR="00E863CE" w:rsidRPr="003D1E88" w:rsidRDefault="00E863CE" w:rsidP="003D1E88">
      <w:pPr>
        <w:pStyle w:val="Style4"/>
        <w:spacing w:after="120" w:line="240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3D1E88">
        <w:rPr>
          <w:rFonts w:asciiTheme="minorHAnsi" w:hAnsiTheme="minorHAnsi" w:cstheme="minorHAnsi"/>
          <w:i/>
          <w:iCs/>
          <w:sz w:val="22"/>
          <w:szCs w:val="22"/>
        </w:rPr>
        <w:t>Lub</w:t>
      </w:r>
    </w:p>
    <w:p w14:paraId="2E494E0D" w14:textId="77777777" w:rsidR="00E863CE" w:rsidRPr="003D1E88" w:rsidRDefault="00E863CE" w:rsidP="003D1E88">
      <w:pPr>
        <w:pStyle w:val="Style4"/>
        <w:spacing w:after="120" w:line="240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3D1E88">
        <w:rPr>
          <w:rFonts w:asciiTheme="minorHAnsi" w:hAnsiTheme="minorHAnsi" w:cstheme="minorHAnsi"/>
          <w:i/>
          <w:iCs/>
          <w:sz w:val="22"/>
          <w:szCs w:val="22"/>
        </w:rPr>
        <w:t>3) będą realizowane w formie instrumentu finansowego, lub</w:t>
      </w:r>
    </w:p>
    <w:p w14:paraId="4D4421D0" w14:textId="77777777" w:rsidR="00E863CE" w:rsidRPr="003D1E88" w:rsidRDefault="00E863CE" w:rsidP="003D1E88">
      <w:pPr>
        <w:pStyle w:val="Style4"/>
        <w:spacing w:after="120" w:line="240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3D1E88">
        <w:rPr>
          <w:rFonts w:asciiTheme="minorHAnsi" w:hAnsiTheme="minorHAnsi" w:cstheme="minorHAnsi"/>
          <w:b/>
          <w:bCs/>
          <w:i/>
          <w:iCs/>
          <w:sz w:val="22"/>
          <w:szCs w:val="22"/>
        </w:rPr>
        <w:t>4) dotyczą pomocy technicznej.</w:t>
      </w:r>
    </w:p>
    <w:p w14:paraId="49D20147" w14:textId="77777777" w:rsidR="00E863CE" w:rsidRPr="003D1E88" w:rsidRDefault="00E863CE" w:rsidP="003D1E88">
      <w:pPr>
        <w:pStyle w:val="Style4"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3D1E88">
        <w:rPr>
          <w:rFonts w:asciiTheme="minorHAnsi" w:hAnsiTheme="minorHAnsi" w:cstheme="minorHAnsi"/>
          <w:sz w:val="22"/>
          <w:szCs w:val="22"/>
        </w:rPr>
        <w:t xml:space="preserve">Podmioty wchodzące w skład Komitetów Monitorujących z uwagi na pełnione funkcje niewątpliwie uznać można za te o strategicznym znaczeniu dla społeczno-gospodarczego rozwoju regionu, dlatego należy zwrócić uwagę na możliwość wykorzystania trybu niekonkurencyjnego w przypadku podmiotów członkowskich Komitetów Monitorujących. </w:t>
      </w:r>
    </w:p>
    <w:p w14:paraId="1887DD08" w14:textId="77777777" w:rsidR="00E863CE" w:rsidRPr="003D1E88" w:rsidRDefault="00E863CE" w:rsidP="003D1E88">
      <w:pPr>
        <w:spacing w:after="120"/>
        <w:jc w:val="both"/>
        <w:rPr>
          <w:rFonts w:eastAsia="Times New Roman" w:cstheme="minorHAnsi"/>
          <w:b/>
          <w:color w:val="000000"/>
          <w:sz w:val="22"/>
          <w:szCs w:val="22"/>
          <w:lang w:eastAsia="pl-PL"/>
        </w:rPr>
      </w:pPr>
    </w:p>
    <w:p w14:paraId="0717C9A6" w14:textId="3F089E4F" w:rsidR="0094037D" w:rsidRPr="003D1E88" w:rsidRDefault="00332BA9" w:rsidP="003D1E88">
      <w:pPr>
        <w:spacing w:after="120"/>
        <w:jc w:val="both"/>
        <w:rPr>
          <w:rFonts w:cstheme="minorHAnsi"/>
          <w:sz w:val="22"/>
          <w:szCs w:val="22"/>
        </w:rPr>
      </w:pPr>
      <w:r w:rsidRPr="003D1E88">
        <w:rPr>
          <w:rFonts w:eastAsia="Times New Roman" w:cstheme="minorHAnsi"/>
          <w:bCs/>
          <w:color w:val="000000"/>
          <w:sz w:val="22"/>
          <w:szCs w:val="22"/>
          <w:lang w:eastAsia="pl-PL"/>
        </w:rPr>
        <w:t xml:space="preserve">Jak wskazano powyżej </w:t>
      </w:r>
      <w:r w:rsidR="0094037D" w:rsidRPr="003D1E88">
        <w:rPr>
          <w:rFonts w:eastAsia="Times New Roman" w:cstheme="minorHAnsi"/>
          <w:bCs/>
          <w:color w:val="000000"/>
          <w:sz w:val="22"/>
          <w:szCs w:val="22"/>
          <w:lang w:eastAsia="pl-PL"/>
        </w:rPr>
        <w:t xml:space="preserve"> aktualnie obowiązujące w Polsce regulacje prawne</w:t>
      </w:r>
      <w:r w:rsidRPr="003D1E88">
        <w:rPr>
          <w:rFonts w:eastAsia="Times New Roman" w:cstheme="minorHAnsi"/>
          <w:bCs/>
          <w:color w:val="000000"/>
          <w:sz w:val="22"/>
          <w:szCs w:val="22"/>
          <w:lang w:eastAsia="pl-PL"/>
        </w:rPr>
        <w:t xml:space="preserve">, </w:t>
      </w:r>
      <w:r w:rsidR="0094037D" w:rsidRPr="003D1E88">
        <w:rPr>
          <w:rFonts w:eastAsia="Times New Roman" w:cstheme="minorHAnsi"/>
          <w:bCs/>
          <w:color w:val="000000"/>
          <w:sz w:val="22"/>
          <w:szCs w:val="22"/>
          <w:lang w:eastAsia="pl-PL"/>
        </w:rPr>
        <w:t>w tym te ujęte w ustawie o finansach publicznych w zakresie dotacji celowej</w:t>
      </w:r>
      <w:r w:rsidRPr="003D1E88">
        <w:rPr>
          <w:rFonts w:eastAsia="Times New Roman" w:cstheme="minorHAnsi"/>
          <w:bCs/>
          <w:color w:val="000000"/>
          <w:sz w:val="22"/>
          <w:szCs w:val="22"/>
          <w:lang w:eastAsia="pl-PL"/>
        </w:rPr>
        <w:t xml:space="preserve">, </w:t>
      </w:r>
      <w:r w:rsidR="0094037D" w:rsidRPr="003D1E88">
        <w:rPr>
          <w:rFonts w:eastAsia="Times New Roman" w:cstheme="minorHAnsi"/>
          <w:bCs/>
          <w:color w:val="000000"/>
          <w:sz w:val="22"/>
          <w:szCs w:val="22"/>
          <w:lang w:eastAsia="pl-PL"/>
        </w:rPr>
        <w:t xml:space="preserve">umożliwiają wprowadzenie </w:t>
      </w:r>
      <w:r w:rsidR="0094037D" w:rsidRPr="003D1E88">
        <w:rPr>
          <w:rFonts w:cstheme="minorHAnsi"/>
          <w:sz w:val="22"/>
          <w:szCs w:val="22"/>
        </w:rPr>
        <w:t>uproszczonych metod rozliczania kosztów (</w:t>
      </w:r>
      <w:r w:rsidR="0094037D" w:rsidRPr="003D1E88">
        <w:rPr>
          <w:rFonts w:cstheme="minorHAnsi"/>
          <w:i/>
          <w:iCs/>
          <w:sz w:val="22"/>
          <w:szCs w:val="22"/>
        </w:rPr>
        <w:t>Simplified Cost Options</w:t>
      </w:r>
      <w:r w:rsidR="0094037D" w:rsidRPr="003D1E88">
        <w:rPr>
          <w:rFonts w:cstheme="minorHAnsi"/>
          <w:sz w:val="22"/>
          <w:szCs w:val="22"/>
        </w:rPr>
        <w:t xml:space="preserve"> – SCOs). Wskazanie w umowie dotacji zgodnie z </w:t>
      </w:r>
      <w:r w:rsidR="0094037D" w:rsidRPr="003D1E88">
        <w:rPr>
          <w:rFonts w:cstheme="minorHAnsi"/>
          <w:b/>
          <w:sz w:val="22"/>
          <w:szCs w:val="22"/>
        </w:rPr>
        <w:t>art. 150 pkt 4 ustawy o finansach publicznych</w:t>
      </w:r>
      <w:r w:rsidR="0094037D" w:rsidRPr="003D1E88">
        <w:rPr>
          <w:rFonts w:cstheme="minorHAnsi"/>
          <w:sz w:val="22"/>
          <w:szCs w:val="22"/>
        </w:rPr>
        <w:t xml:space="preserve"> informacji na temat terminu i sposobu rozliczenia udzielonej dotacji w przypadku chęci zastosowania wprowadzenia uproszczonych metod rozliczania kosztów, powinno przewidywać uzależnienie rozliczenia od osiągniętego rezultatu, wyniku lub procesu, zgodnie z metodologią SCOs. Europejski Trybunał Obrachunkowy nie stwierdził żadnych błędów w transakcjach wykorzystujących uproszczone metody rozliczania kosztów, co powinno zachęcać państwa członkowskie w tym Polskę oraz poszczególne regiony do stosowanie tej metody.</w:t>
      </w:r>
    </w:p>
    <w:p w14:paraId="369F8FB7" w14:textId="4EE850D0" w:rsidR="0094037D" w:rsidRPr="003D1E88" w:rsidRDefault="0094037D" w:rsidP="003D1E88">
      <w:pPr>
        <w:spacing w:after="120"/>
        <w:jc w:val="both"/>
        <w:rPr>
          <w:rFonts w:cstheme="minorHAnsi"/>
          <w:sz w:val="22"/>
          <w:szCs w:val="22"/>
        </w:rPr>
      </w:pPr>
    </w:p>
    <w:p w14:paraId="2DCCD9DF" w14:textId="66468B86" w:rsidR="00D566E1" w:rsidRPr="003D1E88" w:rsidRDefault="00332BA9" w:rsidP="003D1E88">
      <w:pPr>
        <w:spacing w:after="120"/>
        <w:jc w:val="both"/>
        <w:rPr>
          <w:rFonts w:cstheme="minorHAnsi"/>
          <w:sz w:val="22"/>
          <w:szCs w:val="22"/>
        </w:rPr>
      </w:pPr>
      <w:r w:rsidRPr="003D1E88">
        <w:rPr>
          <w:rFonts w:cstheme="minorHAnsi"/>
          <w:sz w:val="22"/>
          <w:szCs w:val="22"/>
          <w:shd w:val="clear" w:color="auto" w:fill="FFFFFF"/>
        </w:rPr>
        <w:t xml:space="preserve">Jednocześnie, </w:t>
      </w:r>
      <w:r w:rsidR="00D566E1" w:rsidRPr="003D1E88">
        <w:rPr>
          <w:rFonts w:cstheme="minorHAnsi"/>
          <w:i/>
          <w:iCs/>
          <w:sz w:val="22"/>
          <w:szCs w:val="22"/>
          <w:shd w:val="clear" w:color="auto" w:fill="FFFFFF"/>
        </w:rPr>
        <w:t>Wytyczne dotyczące komitetów monitorujących na lata 2021-2027</w:t>
      </w:r>
      <w:r w:rsidR="00D566E1" w:rsidRPr="003D1E88">
        <w:rPr>
          <w:rFonts w:cstheme="minorHAnsi"/>
          <w:sz w:val="22"/>
          <w:szCs w:val="22"/>
          <w:shd w:val="clear" w:color="auto" w:fill="FFFFFF"/>
        </w:rPr>
        <w:t>, wskazywane przez niektóre Instytucje Zarządzające Programów Regionalnych jako brak podstawy do zawarcia z podmiotami delegującymi swoich przedstawicieli do Komitetów Monitorujących  umowy na wypłatę dotacji celowych ze środków Pomocy Technicznej, nie mają mocy wiążącego aktu prawnego</w:t>
      </w:r>
      <w:r w:rsidRPr="003D1E88">
        <w:rPr>
          <w:rFonts w:cstheme="minorHAnsi"/>
          <w:sz w:val="22"/>
          <w:szCs w:val="22"/>
          <w:shd w:val="clear" w:color="auto" w:fill="FFFFFF"/>
        </w:rPr>
        <w:t>. Również wskazana</w:t>
      </w:r>
      <w:r w:rsidR="00D566E1" w:rsidRPr="003D1E88">
        <w:rPr>
          <w:rFonts w:cstheme="minorHAnsi"/>
          <w:sz w:val="22"/>
          <w:szCs w:val="22"/>
          <w:shd w:val="clear" w:color="auto" w:fill="FFFFFF"/>
        </w:rPr>
        <w:t xml:space="preserve"> w nich formuła </w:t>
      </w:r>
      <w:r w:rsidRPr="003D1E88">
        <w:rPr>
          <w:rFonts w:cstheme="minorHAnsi"/>
          <w:sz w:val="22"/>
          <w:szCs w:val="22"/>
          <w:shd w:val="clear" w:color="auto" w:fill="FFFFFF"/>
        </w:rPr>
        <w:t xml:space="preserve">pokrywania kosztów uczestnictwa partnerów w pracach KM na zasadzie </w:t>
      </w:r>
      <w:r w:rsidR="00D566E1" w:rsidRPr="003D1E88">
        <w:rPr>
          <w:rFonts w:cstheme="minorHAnsi"/>
          <w:sz w:val="22"/>
          <w:szCs w:val="22"/>
          <w:shd w:val="clear" w:color="auto" w:fill="FFFFFF"/>
        </w:rPr>
        <w:t>refundacji poniesionych wydatków nie jest jedyną formą dopuszczoną polskim praw</w:t>
      </w:r>
      <w:r w:rsidRPr="003D1E88">
        <w:rPr>
          <w:rFonts w:cstheme="minorHAnsi"/>
          <w:sz w:val="22"/>
          <w:szCs w:val="22"/>
          <w:shd w:val="clear" w:color="auto" w:fill="FFFFFF"/>
        </w:rPr>
        <w:t xml:space="preserve">a. Oznacza to, że </w:t>
      </w:r>
      <w:r w:rsidR="00D566E1" w:rsidRPr="003D1E88">
        <w:rPr>
          <w:rFonts w:cstheme="minorHAnsi"/>
          <w:sz w:val="22"/>
          <w:szCs w:val="22"/>
          <w:shd w:val="clear" w:color="auto" w:fill="FFFFFF"/>
        </w:rPr>
        <w:t xml:space="preserve">, stosowanie innych niż refundacja form przekazywania środków partnerom spoza administracji delegującymi swoich przedstawicieli do Komitetów Monitorujących </w:t>
      </w:r>
      <w:r w:rsidRPr="003D1E88">
        <w:rPr>
          <w:rFonts w:cstheme="minorHAnsi"/>
          <w:sz w:val="22"/>
          <w:szCs w:val="22"/>
          <w:shd w:val="clear" w:color="auto" w:fill="FFFFFF"/>
        </w:rPr>
        <w:t xml:space="preserve">w żadnym wypadku </w:t>
      </w:r>
      <w:r w:rsidR="00D566E1" w:rsidRPr="003D1E88">
        <w:rPr>
          <w:rFonts w:cstheme="minorHAnsi"/>
          <w:sz w:val="22"/>
          <w:szCs w:val="22"/>
          <w:shd w:val="clear" w:color="auto" w:fill="FFFFFF"/>
        </w:rPr>
        <w:t>nie stanowi naruszenia prawa</w:t>
      </w:r>
      <w:r w:rsidRPr="003D1E88">
        <w:rPr>
          <w:rFonts w:cstheme="minorHAnsi"/>
          <w:sz w:val="22"/>
          <w:szCs w:val="22"/>
          <w:shd w:val="clear" w:color="auto" w:fill="FFFFFF"/>
        </w:rPr>
        <w:t xml:space="preserve"> a powołanie się na brak zapisów o dotacji celowej w Wytycznych nie jest wystarczającym powodem odmowy wypłaty środków z Pomocy Technicznej z zastosowaniem ryczałtu. Podkomitet uważa, że nic nie stoi na przeszkodzie, aby IZ zmieniły Wytyczne tak, by uzupełnić </w:t>
      </w:r>
      <w:r w:rsidR="00D566E1" w:rsidRPr="003D1E88">
        <w:rPr>
          <w:rFonts w:cstheme="minorHAnsi"/>
          <w:sz w:val="22"/>
          <w:szCs w:val="22"/>
          <w:shd w:val="clear" w:color="auto" w:fill="FFFFFF"/>
        </w:rPr>
        <w:t xml:space="preserve"> katalog możliwych form przekazania środków </w:t>
      </w:r>
      <w:r w:rsidRPr="003D1E88">
        <w:rPr>
          <w:rFonts w:cstheme="minorHAnsi"/>
          <w:sz w:val="22"/>
          <w:szCs w:val="22"/>
          <w:shd w:val="clear" w:color="auto" w:fill="FFFFFF"/>
        </w:rPr>
        <w:t>o te</w:t>
      </w:r>
      <w:r w:rsidR="00D566E1" w:rsidRPr="003D1E88">
        <w:rPr>
          <w:rFonts w:cstheme="minorHAnsi"/>
          <w:sz w:val="22"/>
          <w:szCs w:val="22"/>
          <w:shd w:val="clear" w:color="auto" w:fill="FFFFFF"/>
        </w:rPr>
        <w:t xml:space="preserve">, które umożliwiają wdrażanie w większym stopniu </w:t>
      </w:r>
      <w:r w:rsidR="00D566E1" w:rsidRPr="003D1E88">
        <w:rPr>
          <w:rFonts w:cstheme="minorHAnsi"/>
          <w:sz w:val="22"/>
          <w:szCs w:val="22"/>
        </w:rPr>
        <w:t>uproszczonych metod rozliczania kosztów.</w:t>
      </w:r>
    </w:p>
    <w:p w14:paraId="3B636F3E" w14:textId="77777777" w:rsidR="002E0B3B" w:rsidRPr="003D1E88" w:rsidRDefault="002E0B3B" w:rsidP="003D1E88">
      <w:pPr>
        <w:spacing w:after="120"/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3CAFE0A1" w14:textId="73C94FC6" w:rsidR="00332BA9" w:rsidRPr="003D1E88" w:rsidRDefault="00E12F8B" w:rsidP="003D1E88">
      <w:pPr>
        <w:pStyle w:val="Style4"/>
        <w:widowControl/>
        <w:spacing w:after="12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3D1E88">
        <w:rPr>
          <w:rFonts w:asciiTheme="minorHAnsi" w:hAnsiTheme="minorHAnsi" w:cstheme="minorHAnsi"/>
          <w:sz w:val="22"/>
          <w:szCs w:val="22"/>
        </w:rPr>
        <w:t xml:space="preserve">Podkomitet </w:t>
      </w:r>
      <w:r w:rsidR="00332BA9" w:rsidRPr="003D1E88">
        <w:rPr>
          <w:rFonts w:asciiTheme="minorHAnsi" w:hAnsiTheme="minorHAnsi" w:cstheme="minorHAnsi"/>
          <w:sz w:val="22"/>
          <w:szCs w:val="22"/>
        </w:rPr>
        <w:t>apeluje do re</w:t>
      </w:r>
      <w:r w:rsidRPr="003D1E88">
        <w:rPr>
          <w:rFonts w:asciiTheme="minorHAnsi" w:hAnsiTheme="minorHAnsi" w:cstheme="minorHAnsi"/>
          <w:sz w:val="22"/>
          <w:szCs w:val="22"/>
        </w:rPr>
        <w:t>gionaln</w:t>
      </w:r>
      <w:r w:rsidR="002E0B3B" w:rsidRPr="003D1E88">
        <w:rPr>
          <w:rFonts w:asciiTheme="minorHAnsi" w:hAnsiTheme="minorHAnsi" w:cstheme="minorHAnsi"/>
          <w:sz w:val="22"/>
          <w:szCs w:val="22"/>
        </w:rPr>
        <w:t>ych</w:t>
      </w:r>
      <w:r w:rsidRPr="003D1E88">
        <w:rPr>
          <w:rFonts w:asciiTheme="minorHAnsi" w:hAnsiTheme="minorHAnsi" w:cstheme="minorHAnsi"/>
          <w:sz w:val="22"/>
          <w:szCs w:val="22"/>
        </w:rPr>
        <w:t xml:space="preserve"> Instytucj</w:t>
      </w:r>
      <w:r w:rsidR="002E0B3B" w:rsidRPr="003D1E88">
        <w:rPr>
          <w:rFonts w:asciiTheme="minorHAnsi" w:hAnsiTheme="minorHAnsi" w:cstheme="minorHAnsi"/>
          <w:sz w:val="22"/>
          <w:szCs w:val="22"/>
        </w:rPr>
        <w:t>i</w:t>
      </w:r>
      <w:r w:rsidRPr="003D1E88">
        <w:rPr>
          <w:rFonts w:asciiTheme="minorHAnsi" w:hAnsiTheme="minorHAnsi" w:cstheme="minorHAnsi"/>
          <w:sz w:val="22"/>
          <w:szCs w:val="22"/>
        </w:rPr>
        <w:t xml:space="preserve"> Zarządzając</w:t>
      </w:r>
      <w:r w:rsidR="002E0B3B" w:rsidRPr="003D1E88">
        <w:rPr>
          <w:rFonts w:asciiTheme="minorHAnsi" w:hAnsiTheme="minorHAnsi" w:cstheme="minorHAnsi"/>
          <w:sz w:val="22"/>
          <w:szCs w:val="22"/>
        </w:rPr>
        <w:t>h</w:t>
      </w:r>
      <w:r w:rsidRPr="003D1E88">
        <w:rPr>
          <w:rFonts w:asciiTheme="minorHAnsi" w:hAnsiTheme="minorHAnsi" w:cstheme="minorHAnsi"/>
          <w:sz w:val="22"/>
          <w:szCs w:val="22"/>
        </w:rPr>
        <w:t xml:space="preserve"> do podjęcia pra z członkami i członkiniami KM nad wypracowaniem zasad i wdrożeniem dotacji celowych w ramach Pomocy Technicznej</w:t>
      </w:r>
      <w:r w:rsidR="00332BA9" w:rsidRPr="003D1E88">
        <w:rPr>
          <w:rFonts w:asciiTheme="minorHAnsi" w:hAnsiTheme="minorHAnsi" w:cstheme="minorHAnsi"/>
          <w:sz w:val="22"/>
          <w:szCs w:val="22"/>
        </w:rPr>
        <w:t xml:space="preserve"> w duchu kultury dialogu </w:t>
      </w:r>
      <w:r w:rsidR="002E0B3B" w:rsidRPr="003D1E88">
        <w:rPr>
          <w:rFonts w:asciiTheme="minorHAnsi" w:hAnsiTheme="minorHAnsi" w:cstheme="minorHAnsi"/>
          <w:sz w:val="22"/>
          <w:szCs w:val="22"/>
        </w:rPr>
        <w:t>i</w:t>
      </w:r>
      <w:r w:rsidR="00332BA9" w:rsidRPr="003D1E88">
        <w:rPr>
          <w:rFonts w:asciiTheme="minorHAnsi" w:hAnsiTheme="minorHAnsi" w:cstheme="minorHAnsi"/>
          <w:sz w:val="22"/>
          <w:szCs w:val="22"/>
        </w:rPr>
        <w:t xml:space="preserve"> partnerstwa</w:t>
      </w:r>
      <w:r w:rsidR="002E0B3B" w:rsidRPr="003D1E88">
        <w:rPr>
          <w:rFonts w:asciiTheme="minorHAnsi" w:hAnsiTheme="minorHAnsi" w:cstheme="minorHAnsi"/>
          <w:sz w:val="22"/>
          <w:szCs w:val="22"/>
        </w:rPr>
        <w:t>. N</w:t>
      </w:r>
      <w:r w:rsidR="00332BA9" w:rsidRPr="003D1E88">
        <w:rPr>
          <w:rFonts w:asciiTheme="minorHAnsi" w:hAnsiTheme="minorHAnsi" w:cstheme="minorHAnsi"/>
          <w:sz w:val="22"/>
          <w:szCs w:val="22"/>
        </w:rPr>
        <w:t>ieuruch</w:t>
      </w:r>
      <w:r w:rsidR="002E0B3B" w:rsidRPr="003D1E88">
        <w:rPr>
          <w:rFonts w:asciiTheme="minorHAnsi" w:hAnsiTheme="minorHAnsi" w:cstheme="minorHAnsi"/>
          <w:sz w:val="22"/>
          <w:szCs w:val="22"/>
        </w:rPr>
        <w:t>o</w:t>
      </w:r>
      <w:r w:rsidR="00332BA9" w:rsidRPr="003D1E88">
        <w:rPr>
          <w:rFonts w:asciiTheme="minorHAnsi" w:hAnsiTheme="minorHAnsi" w:cstheme="minorHAnsi"/>
          <w:sz w:val="22"/>
          <w:szCs w:val="22"/>
        </w:rPr>
        <w:t xml:space="preserve">mianie </w:t>
      </w:r>
      <w:r w:rsidR="002E0B3B" w:rsidRPr="003D1E88">
        <w:rPr>
          <w:rFonts w:asciiTheme="minorHAnsi" w:hAnsiTheme="minorHAnsi" w:cstheme="minorHAnsi"/>
          <w:sz w:val="22"/>
          <w:szCs w:val="22"/>
        </w:rPr>
        <w:t xml:space="preserve">tej formy wsparci udziału partnerów spoza administracji </w:t>
      </w:r>
      <w:r w:rsidR="00332BA9" w:rsidRPr="003D1E88">
        <w:rPr>
          <w:rFonts w:asciiTheme="minorHAnsi" w:hAnsiTheme="minorHAnsi" w:cstheme="minorHAnsi"/>
          <w:sz w:val="22"/>
          <w:szCs w:val="22"/>
        </w:rPr>
        <w:t xml:space="preserve">mimo upływu połowy okresu programowania </w:t>
      </w:r>
      <w:r w:rsidR="002E0B3B" w:rsidRPr="003D1E88">
        <w:rPr>
          <w:rFonts w:asciiTheme="minorHAnsi" w:hAnsiTheme="minorHAnsi" w:cstheme="minorHAnsi"/>
          <w:sz w:val="22"/>
          <w:szCs w:val="22"/>
        </w:rPr>
        <w:t xml:space="preserve">i wielokrotnych zachęt ze strony członków reprezentujących w Podkomitecie partnerów społecznych, gospodarczych i społeczeństwa </w:t>
      </w:r>
      <w:r w:rsidR="002E0B3B" w:rsidRPr="003D1E88">
        <w:rPr>
          <w:rFonts w:asciiTheme="minorHAnsi" w:hAnsiTheme="minorHAnsi" w:cstheme="minorHAnsi"/>
          <w:sz w:val="22"/>
          <w:szCs w:val="22"/>
        </w:rPr>
        <w:lastRenderedPageBreak/>
        <w:t xml:space="preserve">obywatelskiego </w:t>
      </w:r>
      <w:r w:rsidR="00332BA9" w:rsidRPr="003D1E88">
        <w:rPr>
          <w:rFonts w:asciiTheme="minorHAnsi" w:hAnsiTheme="minorHAnsi" w:cstheme="minorHAnsi"/>
          <w:sz w:val="22"/>
          <w:szCs w:val="22"/>
        </w:rPr>
        <w:t>wydaje się</w:t>
      </w:r>
      <w:r w:rsidR="002E0B3B" w:rsidRPr="003D1E88">
        <w:rPr>
          <w:rFonts w:asciiTheme="minorHAnsi" w:hAnsiTheme="minorHAnsi" w:cstheme="minorHAnsi"/>
          <w:sz w:val="22"/>
          <w:szCs w:val="22"/>
        </w:rPr>
        <w:t xml:space="preserve"> wysoce</w:t>
      </w:r>
      <w:r w:rsidR="00332BA9" w:rsidRPr="003D1E88">
        <w:rPr>
          <w:rFonts w:asciiTheme="minorHAnsi" w:hAnsiTheme="minorHAnsi" w:cstheme="minorHAnsi"/>
          <w:sz w:val="22"/>
          <w:szCs w:val="22"/>
        </w:rPr>
        <w:t xml:space="preserve"> niepokojące</w:t>
      </w:r>
      <w:r w:rsidR="002E0B3B" w:rsidRPr="003D1E88">
        <w:rPr>
          <w:rFonts w:asciiTheme="minorHAnsi" w:hAnsiTheme="minorHAnsi" w:cstheme="minorHAnsi"/>
          <w:sz w:val="22"/>
          <w:szCs w:val="22"/>
        </w:rPr>
        <w:t xml:space="preserve"> i nie daje nadziei na</w:t>
      </w:r>
      <w:r w:rsidR="00332BA9" w:rsidRPr="003D1E88">
        <w:rPr>
          <w:rFonts w:asciiTheme="minorHAnsi" w:hAnsiTheme="minorHAnsi" w:cstheme="minorHAnsi"/>
          <w:sz w:val="22"/>
          <w:szCs w:val="22"/>
        </w:rPr>
        <w:t xml:space="preserve"> budowani</w:t>
      </w:r>
      <w:r w:rsidR="002E0B3B" w:rsidRPr="003D1E88">
        <w:rPr>
          <w:rFonts w:asciiTheme="minorHAnsi" w:hAnsiTheme="minorHAnsi" w:cstheme="minorHAnsi"/>
          <w:sz w:val="22"/>
          <w:szCs w:val="22"/>
        </w:rPr>
        <w:t xml:space="preserve">e dobrych </w:t>
      </w:r>
      <w:r w:rsidR="00332BA9" w:rsidRPr="003D1E88">
        <w:rPr>
          <w:rFonts w:asciiTheme="minorHAnsi" w:hAnsiTheme="minorHAnsi" w:cstheme="minorHAnsi"/>
          <w:sz w:val="22"/>
          <w:szCs w:val="22"/>
        </w:rPr>
        <w:t xml:space="preserve">podstaw </w:t>
      </w:r>
      <w:r w:rsidR="002E0B3B" w:rsidRPr="003D1E88">
        <w:rPr>
          <w:rFonts w:asciiTheme="minorHAnsi" w:hAnsiTheme="minorHAnsi" w:cstheme="minorHAnsi"/>
          <w:sz w:val="22"/>
          <w:szCs w:val="22"/>
        </w:rPr>
        <w:t>dla realizacji z</w:t>
      </w:r>
      <w:r w:rsidR="00332BA9" w:rsidRPr="003D1E88">
        <w:rPr>
          <w:rFonts w:asciiTheme="minorHAnsi" w:hAnsiTheme="minorHAnsi" w:cstheme="minorHAnsi"/>
          <w:sz w:val="22"/>
          <w:szCs w:val="22"/>
        </w:rPr>
        <w:t>asady partnerstwa w</w:t>
      </w:r>
      <w:r w:rsidR="002E0B3B" w:rsidRPr="003D1E88">
        <w:rPr>
          <w:rFonts w:asciiTheme="minorHAnsi" w:hAnsiTheme="minorHAnsi" w:cstheme="minorHAnsi"/>
          <w:sz w:val="22"/>
          <w:szCs w:val="22"/>
        </w:rPr>
        <w:t xml:space="preserve">e wdrażaniu programów </w:t>
      </w:r>
      <w:r w:rsidR="00332BA9" w:rsidRPr="003D1E88">
        <w:rPr>
          <w:rFonts w:asciiTheme="minorHAnsi" w:hAnsiTheme="minorHAnsi" w:cstheme="minorHAnsi"/>
          <w:sz w:val="22"/>
          <w:szCs w:val="22"/>
        </w:rPr>
        <w:t xml:space="preserve">regionalnych </w:t>
      </w:r>
      <w:r w:rsidR="002E0B3B" w:rsidRPr="003D1E88">
        <w:rPr>
          <w:rFonts w:asciiTheme="minorHAnsi" w:hAnsiTheme="minorHAnsi" w:cstheme="minorHAnsi"/>
          <w:sz w:val="22"/>
          <w:szCs w:val="22"/>
        </w:rPr>
        <w:t>obecnej perspektywy.</w:t>
      </w:r>
    </w:p>
    <w:sectPr w:rsidR="00332BA9" w:rsidRPr="003D1E8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613FE" w14:textId="77777777" w:rsidR="009C05CF" w:rsidRDefault="009C05CF" w:rsidP="00E05EF4">
      <w:r>
        <w:separator/>
      </w:r>
    </w:p>
  </w:endnote>
  <w:endnote w:type="continuationSeparator" w:id="0">
    <w:p w14:paraId="1B6C27A6" w14:textId="77777777" w:rsidR="009C05CF" w:rsidRDefault="009C05CF" w:rsidP="00E0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5903" w14:textId="4EC9B932" w:rsidR="00E05EF4" w:rsidRDefault="00E05EF4">
    <w:pPr>
      <w:pStyle w:val="Stopka"/>
    </w:pPr>
    <w:r>
      <w:rPr>
        <w:noProof/>
      </w:rPr>
      <w:drawing>
        <wp:inline distT="114300" distB="114300" distL="114300" distR="114300" wp14:anchorId="2BD29386" wp14:editId="487245C9">
          <wp:extent cx="5731200" cy="787400"/>
          <wp:effectExtent l="0" t="0" r="0" b="0"/>
          <wp:docPr id="1" name="image2.jpg" descr="Obraz zawierający tekst, zrzut ekranu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Obraz zawierający tekst, zrzut ekranu, Czcion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7298F" w14:textId="77777777" w:rsidR="009C05CF" w:rsidRDefault="009C05CF" w:rsidP="00E05EF4">
      <w:r>
        <w:separator/>
      </w:r>
    </w:p>
  </w:footnote>
  <w:footnote w:type="continuationSeparator" w:id="0">
    <w:p w14:paraId="1FB9767E" w14:textId="77777777" w:rsidR="009C05CF" w:rsidRDefault="009C05CF" w:rsidP="00E05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FDB"/>
    <w:multiLevelType w:val="hybridMultilevel"/>
    <w:tmpl w:val="8EE43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E10"/>
    <w:multiLevelType w:val="hybridMultilevel"/>
    <w:tmpl w:val="D374849E"/>
    <w:lvl w:ilvl="0" w:tplc="1C36C5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C358B"/>
    <w:multiLevelType w:val="hybridMultilevel"/>
    <w:tmpl w:val="BB4C0058"/>
    <w:lvl w:ilvl="0" w:tplc="2D7C3F7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810AE"/>
    <w:multiLevelType w:val="hybridMultilevel"/>
    <w:tmpl w:val="D374849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7774">
    <w:abstractNumId w:val="2"/>
  </w:num>
  <w:num w:numId="2" w16cid:durableId="391974046">
    <w:abstractNumId w:val="1"/>
  </w:num>
  <w:num w:numId="3" w16cid:durableId="1399088382">
    <w:abstractNumId w:val="3"/>
  </w:num>
  <w:num w:numId="4" w16cid:durableId="82512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72"/>
    <w:rsid w:val="00046BB6"/>
    <w:rsid w:val="0006033C"/>
    <w:rsid w:val="000710E2"/>
    <w:rsid w:val="00084FED"/>
    <w:rsid w:val="001D4F01"/>
    <w:rsid w:val="001D5F87"/>
    <w:rsid w:val="0021606F"/>
    <w:rsid w:val="00240C14"/>
    <w:rsid w:val="002C29F9"/>
    <w:rsid w:val="002E0B3B"/>
    <w:rsid w:val="00304C42"/>
    <w:rsid w:val="00325272"/>
    <w:rsid w:val="00332BA9"/>
    <w:rsid w:val="003D1E88"/>
    <w:rsid w:val="003F4657"/>
    <w:rsid w:val="004001D2"/>
    <w:rsid w:val="00412812"/>
    <w:rsid w:val="00413892"/>
    <w:rsid w:val="0041541A"/>
    <w:rsid w:val="004826DC"/>
    <w:rsid w:val="00497BBA"/>
    <w:rsid w:val="00526DDD"/>
    <w:rsid w:val="005E5ED5"/>
    <w:rsid w:val="007018FD"/>
    <w:rsid w:val="00766401"/>
    <w:rsid w:val="007C76CD"/>
    <w:rsid w:val="00811F4F"/>
    <w:rsid w:val="008C5E09"/>
    <w:rsid w:val="009056A2"/>
    <w:rsid w:val="0094037D"/>
    <w:rsid w:val="009C05CF"/>
    <w:rsid w:val="00AC77EF"/>
    <w:rsid w:val="00B677C2"/>
    <w:rsid w:val="00C03F9C"/>
    <w:rsid w:val="00C54970"/>
    <w:rsid w:val="00C77AB7"/>
    <w:rsid w:val="00D36A51"/>
    <w:rsid w:val="00D566E1"/>
    <w:rsid w:val="00E05EF4"/>
    <w:rsid w:val="00E11329"/>
    <w:rsid w:val="00E12F8B"/>
    <w:rsid w:val="00E4643D"/>
    <w:rsid w:val="00E863CE"/>
    <w:rsid w:val="00EB6AAA"/>
    <w:rsid w:val="00F1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C505"/>
  <w15:chartTrackingRefBased/>
  <w15:docId w15:val="{C3929011-F756-FC45-AB6E-C5383849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27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5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5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52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5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52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52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52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52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52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5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5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52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52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52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52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52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52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52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52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5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52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5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52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52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52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52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5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52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5272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25272"/>
    <w:rPr>
      <w:rFonts w:ascii="Aptos" w:eastAsia="Aptos" w:hAnsi="Aptos" w:cs="Aptos"/>
      <w:kern w:val="0"/>
      <w:sz w:val="22"/>
      <w:szCs w:val="22"/>
      <w:lang w:eastAsia="pl-PL"/>
      <w14:ligatures w14:val="none"/>
    </w:rPr>
  </w:style>
  <w:style w:type="paragraph" w:customStyle="1" w:styleId="Style4">
    <w:name w:val="Style4"/>
    <w:basedOn w:val="Normalny"/>
    <w:uiPriority w:val="99"/>
    <w:rsid w:val="00325272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Times New Roman" w:eastAsiaTheme="minorEastAsia" w:hAnsi="Times New Roman" w:cs="Times New Roman"/>
      <w:lang w:eastAsia="pl-PL"/>
    </w:rPr>
  </w:style>
  <w:style w:type="character" w:customStyle="1" w:styleId="FontStyle43">
    <w:name w:val="Font Style43"/>
    <w:basedOn w:val="Domylnaczcionkaakapitu"/>
    <w:uiPriority w:val="99"/>
    <w:rsid w:val="00325272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7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B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BB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BBA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BBA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05E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EF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5E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EF4"/>
    <w:rPr>
      <w:kern w:val="0"/>
      <w14:ligatures w14:val="none"/>
    </w:rPr>
  </w:style>
  <w:style w:type="paragraph" w:styleId="Poprawka">
    <w:name w:val="Revision"/>
    <w:hidden/>
    <w:uiPriority w:val="99"/>
    <w:semiHidden/>
    <w:rsid w:val="00C77AB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0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A925C1CC3484BA941F51C8FF40B8E" ma:contentTypeVersion="18" ma:contentTypeDescription="Create a new document." ma:contentTypeScope="" ma:versionID="782552b3b37a50bb499b2e51468dbbdb">
  <xsd:schema xmlns:xsd="http://www.w3.org/2001/XMLSchema" xmlns:xs="http://www.w3.org/2001/XMLSchema" xmlns:p="http://schemas.microsoft.com/office/2006/metadata/properties" xmlns:ns3="05701f74-39bd-438a-a1a4-bf395d169d42" xmlns:ns4="84657868-15ac-40c6-bbbf-68c24e9d0a49" targetNamespace="http://schemas.microsoft.com/office/2006/metadata/properties" ma:root="true" ma:fieldsID="47025f7f55912e0502bc952844417150" ns3:_="" ns4:_="">
    <xsd:import namespace="05701f74-39bd-438a-a1a4-bf395d169d42"/>
    <xsd:import namespace="84657868-15ac-40c6-bbbf-68c24e9d0a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01f74-39bd-438a-a1a4-bf395d169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57868-15ac-40c6-bbbf-68c24e9d0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701f74-39bd-438a-a1a4-bf395d169d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2EEC35-DE03-4C34-B9E0-01A9A7C77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701f74-39bd-438a-a1a4-bf395d169d42"/>
    <ds:schemaRef ds:uri="84657868-15ac-40c6-bbbf-68c24e9d0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61E0BB-7763-4083-9640-60F0D56413B0}">
  <ds:schemaRefs>
    <ds:schemaRef ds:uri="http://schemas.microsoft.com/office/2006/metadata/properties"/>
    <ds:schemaRef ds:uri="http://schemas.microsoft.com/office/infopath/2007/PartnerControls"/>
    <ds:schemaRef ds:uri="05701f74-39bd-438a-a1a4-bf395d169d42"/>
  </ds:schemaRefs>
</ds:datastoreItem>
</file>

<file path=customXml/itemProps3.xml><?xml version="1.0" encoding="utf-8"?>
<ds:datastoreItem xmlns:ds="http://schemas.openxmlformats.org/officeDocument/2006/customXml" ds:itemID="{3DF909EB-9D09-48F6-877B-83E8A869E2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2030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Och</dc:creator>
  <cp:keywords/>
  <dc:description/>
  <cp:lastModifiedBy>Ewa Adamczak</cp:lastModifiedBy>
  <cp:revision>7</cp:revision>
  <dcterms:created xsi:type="dcterms:W3CDTF">2025-02-26T07:13:00Z</dcterms:created>
  <dcterms:modified xsi:type="dcterms:W3CDTF">2025-03-10T09:18:00Z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0x010100E3BA925C1CC3484BA941F51C8FF40B8E</vt:lpwstr>
  </property>
</Properties>
</file>