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305" w:right="0" w:firstLine="0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1368546</wp:posOffset>
            </wp:positionH>
            <wp:positionV relativeFrom="page">
              <wp:posOffset>10079913</wp:posOffset>
            </wp:positionV>
            <wp:extent cx="4883986" cy="6122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986" cy="61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Uchwała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nr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2/2024</w:t>
      </w:r>
    </w:p>
    <w:p>
      <w:pPr>
        <w:spacing w:before="276"/>
        <w:ind w:left="30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Podkomitetu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spraw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rozwoju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lokalnego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kierowanego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przez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społeczność</w:t>
      </w:r>
    </w:p>
    <w:p>
      <w:pPr>
        <w:spacing w:before="276"/>
        <w:ind w:left="305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dnia 7 czerwca 2024 </w:t>
      </w:r>
      <w:r>
        <w:rPr>
          <w:rFonts w:ascii="Times New Roman"/>
          <w:b/>
          <w:spacing w:val="-5"/>
          <w:sz w:val="24"/>
        </w:rPr>
        <w:t>r.</w:t>
      </w:r>
    </w:p>
    <w:p>
      <w:pPr>
        <w:spacing w:line="480" w:lineRule="auto" w:before="276"/>
        <w:ind w:left="305" w:right="223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przyjęcia Zasad informacyjno-promocyjnych dla wielofunduszowego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instrumentu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Rozwój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Lokalny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Kierowany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przez </w:t>
      </w:r>
      <w:r>
        <w:rPr>
          <w:rFonts w:ascii="Times New Roman" w:hAnsi="Times New Roman"/>
          <w:b/>
          <w:spacing w:val="-2"/>
          <w:sz w:val="24"/>
        </w:rPr>
        <w:t>Społeczność</w:t>
      </w:r>
    </w:p>
    <w:p>
      <w:pPr>
        <w:pStyle w:val="BodyText"/>
        <w:ind w:left="0"/>
        <w:rPr>
          <w:rFonts w:ascii="Times New Roman"/>
          <w:b/>
        </w:rPr>
      </w:pPr>
    </w:p>
    <w:p>
      <w:pPr>
        <w:pStyle w:val="BodyText"/>
        <w:spacing w:before="67"/>
        <w:ind w:left="0"/>
        <w:rPr>
          <w:rFonts w:ascii="Times New Roman"/>
          <w:b/>
        </w:rPr>
      </w:pPr>
    </w:p>
    <w:p>
      <w:pPr>
        <w:pStyle w:val="BodyText"/>
      </w:pPr>
      <w:r>
        <w:rPr>
          <w:spacing w:val="-5"/>
        </w:rPr>
        <w:t>§1</w:t>
      </w:r>
    </w:p>
    <w:p>
      <w:pPr>
        <w:pStyle w:val="BodyText"/>
        <w:spacing w:line="360" w:lineRule="auto" w:before="267"/>
        <w:ind w:right="1105"/>
        <w:jc w:val="both"/>
      </w:pPr>
      <w:r>
        <w:rPr/>
        <w:t>Podkomitet do spraw rozwoju lokalnego kierowanego przez społeczność rekomenduje uzupełnienie „Zasad</w:t>
      </w:r>
      <w:r>
        <w:rPr>
          <w:spacing w:val="-1"/>
        </w:rPr>
        <w:t> </w:t>
      </w:r>
      <w:r>
        <w:rPr/>
        <w:t>realizacji instrumentów terytorialnych w</w:t>
      </w:r>
      <w:r>
        <w:rPr>
          <w:spacing w:val="-4"/>
        </w:rPr>
        <w:t> </w:t>
      </w:r>
      <w:r>
        <w:rPr/>
        <w:t>Polsce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perspektywie</w:t>
      </w:r>
      <w:r>
        <w:rPr>
          <w:spacing w:val="-3"/>
        </w:rPr>
        <w:t> </w:t>
      </w:r>
      <w:r>
        <w:rPr/>
        <w:t>finansowej</w:t>
      </w:r>
      <w:r>
        <w:rPr>
          <w:spacing w:val="-4"/>
        </w:rPr>
        <w:t> </w:t>
      </w:r>
      <w:r>
        <w:rPr/>
        <w:t>UE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lata</w:t>
      </w:r>
      <w:r>
        <w:rPr>
          <w:spacing w:val="-4"/>
        </w:rPr>
        <w:t> </w:t>
      </w:r>
      <w:r>
        <w:rPr/>
        <w:t>2021-2027”</w:t>
      </w:r>
      <w:r>
        <w:rPr>
          <w:spacing w:val="-2"/>
        </w:rPr>
        <w:t> Ministerstwa</w:t>
      </w:r>
    </w:p>
    <w:p>
      <w:pPr>
        <w:pStyle w:val="BodyText"/>
        <w:spacing w:line="360" w:lineRule="auto"/>
        <w:ind w:right="639"/>
        <w:jc w:val="both"/>
      </w:pPr>
      <w:r>
        <w:rPr/>
        <w:t>Funduszy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Polityki</w:t>
      </w:r>
      <w:r>
        <w:rPr>
          <w:spacing w:val="-5"/>
        </w:rPr>
        <w:t> </w:t>
      </w:r>
      <w:r>
        <w:rPr/>
        <w:t>Regionalnej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zasady</w:t>
      </w:r>
      <w:r>
        <w:rPr>
          <w:spacing w:val="-5"/>
        </w:rPr>
        <w:t> </w:t>
      </w:r>
      <w:r>
        <w:rPr/>
        <w:t>dotyczące</w:t>
      </w:r>
      <w:r>
        <w:rPr>
          <w:spacing w:val="-4"/>
        </w:rPr>
        <w:t> </w:t>
      </w:r>
      <w:r>
        <w:rPr/>
        <w:t>obowiązków</w:t>
      </w:r>
      <w:r>
        <w:rPr>
          <w:spacing w:val="-4"/>
        </w:rPr>
        <w:t> </w:t>
      </w:r>
      <w:r>
        <w:rPr/>
        <w:t>informacyjno- promocyjnych dla wielofunduszowego instrumentu RLKS, wypracowane</w:t>
      </w:r>
    </w:p>
    <w:p>
      <w:pPr>
        <w:pStyle w:val="BodyText"/>
        <w:spacing w:line="360" w:lineRule="auto"/>
        <w:ind w:right="536"/>
        <w:jc w:val="both"/>
      </w:pP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-4"/>
        </w:rPr>
        <w:t> </w:t>
      </w:r>
      <w:r>
        <w:rPr/>
        <w:t>prac</w:t>
      </w:r>
      <w:r>
        <w:rPr>
          <w:spacing w:val="-4"/>
        </w:rPr>
        <w:t> </w:t>
      </w:r>
      <w:r>
        <w:rPr/>
        <w:t>Grupy</w:t>
      </w:r>
      <w:r>
        <w:rPr>
          <w:spacing w:val="-4"/>
        </w:rPr>
        <w:t> </w:t>
      </w:r>
      <w:r>
        <w:rPr/>
        <w:t>roboczej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spraw</w:t>
      </w:r>
      <w:r>
        <w:rPr>
          <w:spacing w:val="-4"/>
        </w:rPr>
        <w:t> </w:t>
      </w:r>
      <w:r>
        <w:rPr/>
        <w:t>edukacji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komunikacji,</w:t>
      </w:r>
      <w:r>
        <w:rPr>
          <w:spacing w:val="-3"/>
        </w:rPr>
        <w:t> </w:t>
      </w:r>
      <w:r>
        <w:rPr/>
        <w:t>które</w:t>
      </w:r>
      <w:r>
        <w:rPr>
          <w:spacing w:val="-4"/>
        </w:rPr>
        <w:t> </w:t>
      </w:r>
      <w:r>
        <w:rPr/>
        <w:t>stanowią załącznik do uchwały.</w:t>
      </w:r>
    </w:p>
    <w:p>
      <w:pPr>
        <w:pStyle w:val="BodyText"/>
        <w:spacing w:before="186"/>
        <w:ind w:left="0"/>
      </w:pPr>
    </w:p>
    <w:p>
      <w:pPr>
        <w:pStyle w:val="BodyText"/>
        <w:spacing w:before="1"/>
      </w:pPr>
      <w:r>
        <w:rPr/>
        <w:t>§ </w:t>
      </w:r>
      <w:r>
        <w:rPr>
          <w:spacing w:val="-10"/>
        </w:rPr>
        <w:t>2</w:t>
      </w:r>
    </w:p>
    <w:p>
      <w:pPr>
        <w:pStyle w:val="BodyText"/>
        <w:spacing w:before="266"/>
      </w:pPr>
      <w:r>
        <w:rPr/>
        <w:t>Uchwała</w:t>
      </w:r>
      <w:r>
        <w:rPr>
          <w:spacing w:val="-3"/>
        </w:rPr>
        <w:t> </w:t>
      </w:r>
      <w:r>
        <w:rPr/>
        <w:t>wchodzi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życie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dniem</w:t>
      </w:r>
      <w:r>
        <w:rPr>
          <w:spacing w:val="-2"/>
        </w:rPr>
        <w:t> podjęcia.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7"/>
        <w:ind w:left="0"/>
      </w:pPr>
    </w:p>
    <w:p>
      <w:pPr>
        <w:pStyle w:val="BodyText"/>
      </w:pPr>
      <w:r>
        <w:rPr/>
        <w:t>Piotr</w:t>
      </w:r>
      <w:r>
        <w:rPr>
          <w:spacing w:val="-4"/>
        </w:rPr>
        <w:t> </w:t>
      </w:r>
      <w:r>
        <w:rPr>
          <w:spacing w:val="-2"/>
        </w:rPr>
        <w:t>Zygadło</w:t>
      </w:r>
    </w:p>
    <w:p>
      <w:pPr>
        <w:pStyle w:val="BodyText"/>
        <w:spacing w:line="360" w:lineRule="auto" w:before="147"/>
        <w:ind w:right="2383"/>
      </w:pPr>
      <w:r>
        <w:rPr/>
        <w:t>Dyrektor</w:t>
      </w:r>
      <w:r>
        <w:rPr>
          <w:spacing w:val="-12"/>
        </w:rPr>
        <w:t> </w:t>
      </w:r>
      <w:r>
        <w:rPr/>
        <w:t>Departamentu</w:t>
      </w:r>
      <w:r>
        <w:rPr>
          <w:spacing w:val="-12"/>
        </w:rPr>
        <w:t> </w:t>
      </w:r>
      <w:r>
        <w:rPr/>
        <w:t>Programów</w:t>
      </w:r>
      <w:r>
        <w:rPr>
          <w:spacing w:val="-12"/>
        </w:rPr>
        <w:t> </w:t>
      </w:r>
      <w:r>
        <w:rPr/>
        <w:t>Regionalnych Ministerstwo Funduszy i Polityki Regionalnej Przewodniczący Podkomitetu ds. RLKS</w:t>
      </w:r>
    </w:p>
    <w:p>
      <w:pPr>
        <w:pStyle w:val="BodyText"/>
      </w:pPr>
      <w:r>
        <w:rPr/>
        <w:t>/podpisano</w:t>
      </w:r>
      <w:r>
        <w:rPr>
          <w:spacing w:val="-9"/>
        </w:rPr>
        <w:t> </w:t>
      </w:r>
      <w:r>
        <w:rPr>
          <w:spacing w:val="-2"/>
        </w:rPr>
        <w:t>elektronicznie/</w:t>
      </w:r>
    </w:p>
    <w:sectPr>
      <w:type w:val="continuous"/>
      <w:pgSz w:w="11910" w:h="16840"/>
      <w:pgMar w:top="1040" w:bottom="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305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</dc:creator>
  <dc:title>Miasto, 15 maja 2008 r</dc:title>
  <dcterms:created xsi:type="dcterms:W3CDTF">2024-06-27T12:15:08Z</dcterms:created>
  <dcterms:modified xsi:type="dcterms:W3CDTF">2024-06-27T12:15:08Z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2024-06-27T00:00:00Z</vt:filetime>
  </property>
  <property fmtid="{D5CDD505-2E9C-101B-9397-08002B2CF9AE}" pid="5" name="Producer">
    <vt:lpwstr>Aspose.Words for .NET 16.1.0.0</vt:lpwstr>
  </property>
</Properties>
</file>