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25" w:right="0" w:firstLine="0"/>
        <w:jc w:val="left"/>
        <w:rPr>
          <w:b/>
          <w:sz w:val="24"/>
        </w:rPr>
      </w:pPr>
      <w:r>
        <w:rPr>
          <w:b/>
          <w:sz w:val="24"/>
        </w:rPr>
        <w:t>Uchwała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1/2024</w:t>
      </w:r>
    </w:p>
    <w:p>
      <w:pPr>
        <w:spacing w:before="25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Podkomitetu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spraw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rozwoju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lokalnego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kierowanego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społeczność</w:t>
      </w:r>
    </w:p>
    <w:p>
      <w:pPr>
        <w:spacing w:before="254"/>
        <w:ind w:left="110" w:right="0" w:firstLine="0"/>
        <w:jc w:val="left"/>
        <w:rPr>
          <w:rFonts w:ascii="Calibri"/>
          <w:b/>
          <w:sz w:val="22"/>
        </w:rPr>
      </w:pPr>
      <w:r>
        <w:rPr>
          <w:b/>
          <w:sz w:val="24"/>
        </w:rPr>
        <w:t>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dnia 14 marca 2024 </w:t>
      </w:r>
      <w:r>
        <w:rPr>
          <w:rFonts w:ascii="Calibri"/>
          <w:b/>
          <w:spacing w:val="-5"/>
          <w:sz w:val="22"/>
        </w:rPr>
        <w:t>r.</w:t>
      </w:r>
    </w:p>
    <w:p>
      <w:pPr>
        <w:spacing w:line="460" w:lineRule="auto" w:before="255"/>
        <w:ind w:left="120" w:right="649" w:hanging="10"/>
        <w:jc w:val="left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sprawie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przyjęcia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rekomendacji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dotyczących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wyłaniania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projektów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grantowych w RLKS w ramach polityki spójności</w:t>
      </w:r>
    </w:p>
    <w:p>
      <w:pPr>
        <w:pStyle w:val="BodyText"/>
        <w:spacing w:before="256"/>
        <w:rPr>
          <w:b/>
        </w:rPr>
      </w:pPr>
    </w:p>
    <w:p>
      <w:pPr>
        <w:pStyle w:val="BodyText"/>
        <w:ind w:left="110"/>
      </w:pPr>
      <w:r>
        <w:rPr>
          <w:spacing w:val="-5"/>
        </w:rPr>
        <w:t>§1</w:t>
      </w:r>
    </w:p>
    <w:p>
      <w:pPr>
        <w:pStyle w:val="BodyText"/>
        <w:spacing w:line="357" w:lineRule="auto" w:before="256"/>
        <w:ind w:left="120" w:hanging="10"/>
      </w:pPr>
      <w:r>
        <w:rPr/>
        <w:t>Podkomitet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spraw</w:t>
      </w:r>
      <w:r>
        <w:rPr>
          <w:spacing w:val="-6"/>
        </w:rPr>
        <w:t> </w:t>
      </w:r>
      <w:r>
        <w:rPr/>
        <w:t>rozwoju</w:t>
      </w:r>
      <w:r>
        <w:rPr>
          <w:spacing w:val="-3"/>
        </w:rPr>
        <w:t> </w:t>
      </w:r>
      <w:r>
        <w:rPr/>
        <w:t>lokalnego</w:t>
      </w:r>
      <w:r>
        <w:rPr>
          <w:spacing w:val="-5"/>
        </w:rPr>
        <w:t> </w:t>
      </w:r>
      <w:r>
        <w:rPr/>
        <w:t>kierowanego</w:t>
      </w:r>
      <w:r>
        <w:rPr>
          <w:spacing w:val="-5"/>
        </w:rPr>
        <w:t> </w:t>
      </w:r>
      <w:r>
        <w:rPr/>
        <w:t>przez</w:t>
      </w:r>
      <w:r>
        <w:rPr>
          <w:spacing w:val="-6"/>
        </w:rPr>
        <w:t> </w:t>
      </w:r>
      <w:r>
        <w:rPr/>
        <w:t>społeczność</w:t>
      </w:r>
      <w:r>
        <w:rPr>
          <w:spacing w:val="-6"/>
        </w:rPr>
        <w:t> </w:t>
      </w:r>
      <w:r>
        <w:rPr/>
        <w:t>rekomenduje uzupełnienie „Zasad realizacji instrumentów terytorialnych w Polsce w perspektywie finansowej UE na lata 2021-2027” Ministerstwa Funduszy i Polityki Regionalnej</w:t>
      </w:r>
    </w:p>
    <w:p>
      <w:pPr>
        <w:pStyle w:val="BodyText"/>
        <w:spacing w:line="357" w:lineRule="auto"/>
        <w:ind w:left="120" w:right="1025"/>
      </w:pPr>
      <w:r>
        <w:rPr/>
        <w:t>o</w:t>
      </w:r>
      <w:r>
        <w:rPr>
          <w:spacing w:val="-4"/>
        </w:rPr>
        <w:t> </w:t>
      </w:r>
      <w:r>
        <w:rPr/>
        <w:t>zasady</w:t>
      </w:r>
      <w:r>
        <w:rPr>
          <w:spacing w:val="-4"/>
        </w:rPr>
        <w:t> </w:t>
      </w:r>
      <w:r>
        <w:rPr/>
        <w:t>dotyczące</w:t>
      </w:r>
      <w:r>
        <w:rPr>
          <w:spacing w:val="-5"/>
        </w:rPr>
        <w:t> </w:t>
      </w:r>
      <w:r>
        <w:rPr/>
        <w:t>wyłaniania</w:t>
      </w:r>
      <w:r>
        <w:rPr>
          <w:spacing w:val="-5"/>
        </w:rPr>
        <w:t> </w:t>
      </w:r>
      <w:r>
        <w:rPr/>
        <w:t>projektów grantowych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RLKS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4"/>
        </w:rPr>
        <w:t> </w:t>
      </w:r>
      <w:r>
        <w:rPr/>
        <w:t>polityki spójności,</w:t>
      </w:r>
      <w:r>
        <w:rPr>
          <w:spacing w:val="-1"/>
        </w:rPr>
        <w:t> </w:t>
      </w:r>
      <w:r>
        <w:rPr/>
        <w:t>wypracowane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ramach prac</w:t>
      </w:r>
      <w:r>
        <w:rPr>
          <w:spacing w:val="-2"/>
        </w:rPr>
        <w:t> </w:t>
      </w:r>
      <w:r>
        <w:rPr/>
        <w:t>Grupy</w:t>
      </w:r>
      <w:r>
        <w:rPr>
          <w:spacing w:val="-1"/>
        </w:rPr>
        <w:t> </w:t>
      </w:r>
      <w:r>
        <w:rPr/>
        <w:t>roboczej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spraw</w:t>
      </w:r>
      <w:r>
        <w:rPr>
          <w:spacing w:val="-2"/>
        </w:rPr>
        <w:t> </w:t>
      </w:r>
      <w:r>
        <w:rPr/>
        <w:t>horyzontalnych we wdrażaniu instrumentu Rozwój Lokalny Kierowany przez Społeczność, które stanowią załącznik do uchwały.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10"/>
      </w:pPr>
      <w:r>
        <w:rPr/>
        <w:t>§ </w:t>
      </w:r>
      <w:r>
        <w:rPr>
          <w:spacing w:val="-10"/>
        </w:rPr>
        <w:t>2</w:t>
      </w:r>
    </w:p>
    <w:p>
      <w:pPr>
        <w:pStyle w:val="BodyText"/>
        <w:spacing w:before="256"/>
        <w:ind w:left="125"/>
      </w:pPr>
      <w:r>
        <w:rPr/>
        <w:t>Uchwała</w:t>
      </w:r>
      <w:r>
        <w:rPr>
          <w:spacing w:val="-7"/>
        </w:rPr>
        <w:t> </w:t>
      </w:r>
      <w:r>
        <w:rPr/>
        <w:t>wchodzi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życie</w:t>
      </w:r>
      <w:r>
        <w:rPr>
          <w:spacing w:val="-1"/>
        </w:rPr>
        <w:t> </w:t>
      </w:r>
      <w:r>
        <w:rPr/>
        <w:t>z</w:t>
      </w:r>
      <w:r>
        <w:rPr>
          <w:spacing w:val="-4"/>
        </w:rPr>
        <w:t> </w:t>
      </w:r>
      <w:r>
        <w:rPr/>
        <w:t>dniem</w:t>
      </w:r>
      <w:r>
        <w:rPr>
          <w:spacing w:val="-4"/>
        </w:rPr>
        <w:t> </w:t>
      </w:r>
      <w:r>
        <w:rPr>
          <w:spacing w:val="-2"/>
        </w:rPr>
        <w:t>podjęcia.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spacing w:before="1"/>
        <w:ind w:left="12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Piotr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Zygadło</w:t>
      </w:r>
    </w:p>
    <w:p>
      <w:pPr>
        <w:pStyle w:val="BodyText"/>
        <w:spacing w:before="25"/>
        <w:rPr>
          <w:rFonts w:ascii="Calibri"/>
          <w:sz w:val="22"/>
        </w:rPr>
      </w:pPr>
    </w:p>
    <w:p>
      <w:pPr>
        <w:spacing w:line="504" w:lineRule="auto" w:before="0"/>
        <w:ind w:left="125" w:right="3773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Dyrektor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Departamentu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Programów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Regionalnych Ministerstwo Funduszy i Polityki Regionalnej Przewodniczący Podkomitetu ds. RLKS</w:t>
      </w:r>
    </w:p>
    <w:p>
      <w:pPr>
        <w:spacing w:line="265" w:lineRule="exact" w:before="0"/>
        <w:ind w:left="12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/podpisano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2"/>
          <w:sz w:val="22"/>
        </w:rPr>
        <w:t>elektronicznie/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0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1157726</wp:posOffset>
            </wp:positionH>
            <wp:positionV relativeFrom="paragraph">
              <wp:posOffset>246700</wp:posOffset>
            </wp:positionV>
            <wp:extent cx="4803087" cy="6020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087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90" w:h="16810"/>
      <w:pgMar w:top="1520" w:bottom="28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Bieniek</dc:creator>
  <dcterms:created xsi:type="dcterms:W3CDTF">2024-03-25T14:12:55Z</dcterms:created>
  <dcterms:modified xsi:type="dcterms:W3CDTF">2024-03-25T14:12:55Z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  <property fmtid="{D5CDD505-2E9C-101B-9397-08002B2CF9AE}" pid="5" name="Producer">
    <vt:lpwstr>Aspose.Words for .NET 16.1.0.0</vt:lpwstr>
  </property>
</Properties>
</file>