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1292972</wp:posOffset>
                </wp:positionH>
                <wp:positionV relativeFrom="page">
                  <wp:posOffset>8991983</wp:posOffset>
                </wp:positionV>
                <wp:extent cx="152400" cy="6540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2400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60"/>
                                <w:spacing w:val="-2"/>
                                <w:sz w:val="20"/>
                              </w:rPr>
                              <w:t>Partnerstwa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1.808891pt;margin-top:708.030212pt;width:12pt;height:51.5pt;mso-position-horizontal-relative:page;mso-position-vertical-relative:page;z-index:-159078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223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1F60"/>
                          <w:spacing w:val="-2"/>
                          <w:sz w:val="20"/>
                        </w:rPr>
                        <w:t>Partnerstwa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948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703445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03445" cy="6350"/>
                          <a:chExt cx="470344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03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6350">
                                <a:moveTo>
                                  <a:pt x="470306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703063" y="0"/>
                                </a:lnTo>
                                <a:lnTo>
                                  <a:pt x="470306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0.35pt;height:.5pt;mso-position-horizontal-relative:char;mso-position-vertical-relative:line" id="docshapegroup2" coordorigin="0,0" coordsize="7407,10">
                <v:rect style="position:absolute;left:0;top:0;width:7407;height:10" id="docshape3" filled="true" fillcolor="#4472c3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</w:pPr>
      <w:r>
        <w:rPr>
          <w:color w:val="001F60"/>
        </w:rPr>
        <w:t>Program</w:t>
      </w:r>
      <w:r>
        <w:rPr>
          <w:color w:val="001F60"/>
          <w:spacing w:val="-12"/>
        </w:rPr>
        <w:t> </w:t>
      </w:r>
      <w:r>
        <w:rPr>
          <w:color w:val="001F60"/>
        </w:rPr>
        <w:t>szkolenia</w:t>
      </w:r>
      <w:r>
        <w:rPr>
          <w:color w:val="001F60"/>
          <w:spacing w:val="-9"/>
        </w:rPr>
        <w:t> </w:t>
      </w:r>
      <w:r>
        <w:rPr>
          <w:color w:val="001F60"/>
        </w:rPr>
        <w:t>Lokalnych</w:t>
      </w:r>
      <w:r>
        <w:rPr>
          <w:color w:val="001F60"/>
          <w:spacing w:val="-12"/>
        </w:rPr>
        <w:t> </w:t>
      </w:r>
      <w:r>
        <w:rPr>
          <w:color w:val="001F60"/>
        </w:rPr>
        <w:t>Grup</w:t>
      </w:r>
      <w:r>
        <w:rPr>
          <w:color w:val="001F60"/>
          <w:spacing w:val="-7"/>
        </w:rPr>
        <w:t> </w:t>
      </w:r>
      <w:r>
        <w:rPr>
          <w:color w:val="001F60"/>
          <w:spacing w:val="-2"/>
        </w:rPr>
        <w:t>Działania</w:t>
      </w:r>
    </w:p>
    <w:p>
      <w:pPr>
        <w:pStyle w:val="Title"/>
        <w:spacing w:before="238"/>
        <w:ind w:left="1198" w:right="1204"/>
      </w:pPr>
      <w:r>
        <w:rPr>
          <w:color w:val="001F60"/>
        </w:rPr>
        <w:t>prowadzonego</w:t>
      </w:r>
      <w:r>
        <w:rPr>
          <w:color w:val="001F60"/>
          <w:spacing w:val="-10"/>
        </w:rPr>
        <w:t> </w:t>
      </w:r>
      <w:r>
        <w:rPr>
          <w:color w:val="001F60"/>
        </w:rPr>
        <w:t>przez</w:t>
      </w:r>
      <w:r>
        <w:rPr>
          <w:color w:val="001F60"/>
          <w:spacing w:val="-10"/>
        </w:rPr>
        <w:t> </w:t>
      </w:r>
      <w:r>
        <w:rPr>
          <w:color w:val="001F60"/>
        </w:rPr>
        <w:t>Punkty</w:t>
      </w:r>
      <w:r>
        <w:rPr>
          <w:color w:val="001F60"/>
          <w:spacing w:val="-9"/>
        </w:rPr>
        <w:t> </w:t>
      </w:r>
      <w:r>
        <w:rPr>
          <w:color w:val="001F60"/>
        </w:rPr>
        <w:t>Informacyjne</w:t>
      </w:r>
      <w:r>
        <w:rPr>
          <w:color w:val="001F60"/>
          <w:spacing w:val="-9"/>
        </w:rPr>
        <w:t> </w:t>
      </w:r>
      <w:r>
        <w:rPr>
          <w:color w:val="001F60"/>
        </w:rPr>
        <w:t>Funduszy </w:t>
      </w:r>
      <w:r>
        <w:rPr>
          <w:color w:val="001F60"/>
          <w:spacing w:val="-2"/>
        </w:rPr>
        <w:t>Europejskich</w:t>
      </w:r>
    </w:p>
    <w:p>
      <w:pPr>
        <w:spacing w:before="240"/>
        <w:ind w:left="1055" w:right="1000" w:firstLine="0"/>
        <w:jc w:val="center"/>
        <w:rPr>
          <w:i/>
          <w:sz w:val="24"/>
        </w:rPr>
      </w:pPr>
      <w:r>
        <w:rPr>
          <w:i/>
          <w:color w:val="001F60"/>
          <w:sz w:val="24"/>
        </w:rPr>
        <w:t>Polityka</w:t>
      </w:r>
      <w:r>
        <w:rPr>
          <w:i/>
          <w:color w:val="001F60"/>
          <w:spacing w:val="-7"/>
          <w:sz w:val="24"/>
        </w:rPr>
        <w:t> </w:t>
      </w:r>
      <w:r>
        <w:rPr>
          <w:i/>
          <w:color w:val="001F60"/>
          <w:sz w:val="24"/>
        </w:rPr>
        <w:t>spójności</w:t>
      </w:r>
      <w:r>
        <w:rPr>
          <w:i/>
          <w:color w:val="001F60"/>
          <w:spacing w:val="-4"/>
          <w:sz w:val="24"/>
        </w:rPr>
        <w:t> </w:t>
      </w:r>
      <w:r>
        <w:rPr>
          <w:i/>
          <w:color w:val="001F60"/>
          <w:sz w:val="24"/>
        </w:rPr>
        <w:t>2021-2027</w:t>
      </w:r>
      <w:r>
        <w:rPr>
          <w:i/>
          <w:color w:val="001F60"/>
          <w:spacing w:val="-7"/>
          <w:sz w:val="24"/>
        </w:rPr>
        <w:t> </w:t>
      </w:r>
      <w:r>
        <w:rPr>
          <w:i/>
          <w:color w:val="001F60"/>
          <w:sz w:val="24"/>
        </w:rPr>
        <w:t>–</w:t>
      </w:r>
      <w:r>
        <w:rPr>
          <w:i/>
          <w:color w:val="001F60"/>
          <w:spacing w:val="-3"/>
          <w:sz w:val="24"/>
        </w:rPr>
        <w:t> </w:t>
      </w:r>
      <w:r>
        <w:rPr>
          <w:i/>
          <w:color w:val="001F60"/>
          <w:sz w:val="24"/>
        </w:rPr>
        <w:t>podstawowe</w:t>
      </w:r>
      <w:r>
        <w:rPr>
          <w:i/>
          <w:color w:val="001F60"/>
          <w:spacing w:val="-7"/>
          <w:sz w:val="24"/>
        </w:rPr>
        <w:t> </w:t>
      </w:r>
      <w:r>
        <w:rPr>
          <w:i/>
          <w:color w:val="001F60"/>
          <w:sz w:val="24"/>
        </w:rPr>
        <w:t>zagadnienia</w:t>
      </w:r>
      <w:r>
        <w:rPr>
          <w:i/>
          <w:color w:val="001F60"/>
          <w:spacing w:val="-5"/>
          <w:sz w:val="24"/>
        </w:rPr>
        <w:t> </w:t>
      </w:r>
      <w:r>
        <w:rPr>
          <w:i/>
          <w:color w:val="001F60"/>
          <w:sz w:val="24"/>
        </w:rPr>
        <w:t>i</w:t>
      </w:r>
      <w:r>
        <w:rPr>
          <w:i/>
          <w:color w:val="001F60"/>
          <w:spacing w:val="-5"/>
          <w:sz w:val="24"/>
        </w:rPr>
        <w:t> </w:t>
      </w:r>
      <w:r>
        <w:rPr>
          <w:i/>
          <w:color w:val="001F60"/>
          <w:sz w:val="24"/>
        </w:rPr>
        <w:t>warunki</w:t>
      </w:r>
      <w:r>
        <w:rPr>
          <w:i/>
          <w:color w:val="001F60"/>
          <w:sz w:val="24"/>
        </w:rPr>
        <w:t> </w:t>
      </w:r>
      <w:r>
        <w:rPr>
          <w:i/>
          <w:color w:val="001F60"/>
          <w:spacing w:val="-2"/>
          <w:sz w:val="24"/>
        </w:rPr>
        <w:t>realizacji</w:t>
      </w:r>
    </w:p>
    <w:p>
      <w:pPr>
        <w:pStyle w:val="BodyText"/>
        <w:spacing w:before="2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1427987</wp:posOffset>
                </wp:positionH>
                <wp:positionV relativeFrom="paragraph">
                  <wp:posOffset>125467</wp:posOffset>
                </wp:positionV>
                <wp:extent cx="470344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703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3445" h="6350">
                              <a:moveTo>
                                <a:pt x="470306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703063" y="0"/>
                              </a:lnTo>
                              <a:lnTo>
                                <a:pt x="470306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439995pt;margin-top:9.879366pt;width:370.319996pt;height:.480011pt;mso-position-horizontal-relative:page;mso-position-vertical-relative:paragraph;z-index:-15728128;mso-wrap-distance-left:0;mso-wrap-distance-right:0" id="docshape4" filled="true" fillcolor="#4472c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  <w:rPr>
          <w:i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1F60"/>
          <w:left w:val="single" w:sz="4" w:space="0" w:color="001F60"/>
          <w:bottom w:val="single" w:sz="4" w:space="0" w:color="001F60"/>
          <w:right w:val="single" w:sz="4" w:space="0" w:color="001F60"/>
          <w:insideH w:val="single" w:sz="4" w:space="0" w:color="001F60"/>
          <w:insideV w:val="single" w:sz="4" w:space="0" w:color="001F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2803"/>
        <w:gridCol w:w="5081"/>
      </w:tblGrid>
      <w:tr>
        <w:trPr>
          <w:trHeight w:val="748" w:hRule="atLeast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001F60"/>
          </w:tcPr>
          <w:p>
            <w:pPr>
              <w:pStyle w:val="TableParagraph"/>
              <w:spacing w:before="131"/>
              <w:ind w:left="115" w:right="101" w:firstLine="297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-108</wp:posOffset>
                      </wp:positionV>
                      <wp:extent cx="5755005" cy="47561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755005" cy="475615"/>
                                <a:chExt cx="5755005" cy="4756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755005" cy="475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5005" h="475615">
                                      <a:moveTo>
                                        <a:pt x="5754611" y="0"/>
                                      </a:moveTo>
                                      <a:lnTo>
                                        <a:pt x="2528316" y="0"/>
                                      </a:lnTo>
                                      <a:lnTo>
                                        <a:pt x="2528316" y="6096"/>
                                      </a:lnTo>
                                      <a:lnTo>
                                        <a:pt x="2528316" y="7620"/>
                                      </a:lnTo>
                                      <a:lnTo>
                                        <a:pt x="754380" y="7620"/>
                                      </a:lnTo>
                                      <a:lnTo>
                                        <a:pt x="754380" y="6096"/>
                                      </a:lnTo>
                                      <a:lnTo>
                                        <a:pt x="2528316" y="6096"/>
                                      </a:lnTo>
                                      <a:lnTo>
                                        <a:pt x="25283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48284" y="6096"/>
                                      </a:lnTo>
                                      <a:lnTo>
                                        <a:pt x="748284" y="7620"/>
                                      </a:lnTo>
                                      <a:lnTo>
                                        <a:pt x="7607" y="7620"/>
                                      </a:lnTo>
                                      <a:lnTo>
                                        <a:pt x="7607" y="469392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0" y="475488"/>
                                      </a:lnTo>
                                      <a:lnTo>
                                        <a:pt x="5754611" y="475488"/>
                                      </a:lnTo>
                                      <a:lnTo>
                                        <a:pt x="5754611" y="469392"/>
                                      </a:lnTo>
                                      <a:lnTo>
                                        <a:pt x="5754611" y="7620"/>
                                      </a:lnTo>
                                      <a:lnTo>
                                        <a:pt x="2535936" y="7620"/>
                                      </a:lnTo>
                                      <a:lnTo>
                                        <a:pt x="2535936" y="469392"/>
                                      </a:lnTo>
                                      <a:lnTo>
                                        <a:pt x="2534412" y="469392"/>
                                      </a:lnTo>
                                      <a:lnTo>
                                        <a:pt x="2534412" y="6096"/>
                                      </a:lnTo>
                                      <a:lnTo>
                                        <a:pt x="5754611" y="6096"/>
                                      </a:lnTo>
                                      <a:lnTo>
                                        <a:pt x="5754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6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0001pt;margin-top:-.008518pt;width:453.15pt;height:37.450pt;mso-position-horizontal-relative:column;mso-position-vertical-relative:paragraph;z-index:-15908352" id="docshapegroup5" coordorigin="-5,0" coordsize="9063,749">
                      <v:shape style="position:absolute;left:-5;top:-1;width:9063;height:749" id="docshape6" coordorigin="-5,0" coordsize="9063,749" path="m9058,0l3977,0,3977,9,3977,12,1183,12,1183,9,3977,9,3977,0,-5,0,-5,9,1174,9,1174,12,7,12,7,739,-5,739,-5,749,9058,749,9058,739,9058,12,3989,12,3989,739,3986,739,3986,9,9058,9,9058,0xe" filled="true" fillcolor="#001f6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4"/>
                <w:sz w:val="20"/>
              </w:rPr>
              <w:t>Blok </w:t>
            </w:r>
            <w:r>
              <w:rPr>
                <w:b/>
                <w:color w:val="FFFFFF"/>
                <w:spacing w:val="-2"/>
                <w:sz w:val="20"/>
              </w:rPr>
              <w:t>tematyczny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001F60"/>
          </w:tcPr>
          <w:p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7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Tematy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główne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</w:tcBorders>
            <w:shd w:val="clear" w:color="auto" w:fill="001F60"/>
          </w:tcPr>
          <w:p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8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Zagadnienia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szczegółowe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omówienia</w:t>
            </w:r>
          </w:p>
        </w:tc>
      </w:tr>
      <w:tr>
        <w:trPr>
          <w:trHeight w:val="2625" w:hRule="atLeast"/>
        </w:trPr>
        <w:tc>
          <w:tcPr>
            <w:tcW w:w="1178" w:type="dxa"/>
            <w:tcBorders>
              <w:top w:val="nil"/>
            </w:tcBorders>
            <w:textDirection w:val="btLr"/>
          </w:tcPr>
          <w:p>
            <w:pPr>
              <w:pStyle w:val="TableParagraph"/>
              <w:spacing w:before="22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Polityka</w:t>
            </w:r>
            <w:r>
              <w:rPr>
                <w:color w:val="001F60"/>
                <w:spacing w:val="9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spójności</w:t>
            </w:r>
            <w:r>
              <w:rPr>
                <w:color w:val="001F60"/>
                <w:spacing w:val="10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2021-</w:t>
            </w:r>
            <w:r>
              <w:rPr>
                <w:color w:val="001F60"/>
                <w:spacing w:val="-4"/>
                <w:sz w:val="20"/>
              </w:rPr>
              <w:t>2027</w:t>
            </w:r>
          </w:p>
        </w:tc>
        <w:tc>
          <w:tcPr>
            <w:tcW w:w="2803" w:type="dxa"/>
            <w:tcBorders>
              <w:top w:val="nil"/>
            </w:tcBorders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Czym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jest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polityka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spójności</w:t>
            </w:r>
          </w:p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Źródła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finansowania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polityki </w:t>
            </w:r>
            <w:r>
              <w:rPr>
                <w:color w:val="001F60"/>
                <w:spacing w:val="-2"/>
                <w:sz w:val="20"/>
              </w:rPr>
              <w:t>spójności</w:t>
            </w:r>
          </w:p>
        </w:tc>
        <w:tc>
          <w:tcPr>
            <w:tcW w:w="5081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Jaki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jest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cel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polityki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czym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się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ona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charakteryzuje.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55" w:lineRule="exact" w:before="120" w:after="0"/>
              <w:ind w:left="43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Europejski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Fundusz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Rozwoju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Regionalnego,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54" w:lineRule="exact" w:before="0" w:after="0"/>
              <w:ind w:left="43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Europejski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Fundusz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Społeczny+,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54" w:lineRule="exact" w:before="0" w:after="0"/>
              <w:ind w:left="43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Fundusz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Spójności,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40" w:lineRule="auto" w:before="0" w:after="0"/>
              <w:ind w:left="43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Europejski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Fundusz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Morski,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Rybacki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55" w:lineRule="exact" w:before="2" w:after="0"/>
              <w:ind w:left="43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2"/>
                <w:sz w:val="20"/>
              </w:rPr>
              <w:t> Akwakultury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40" w:lineRule="auto" w:before="0" w:after="0"/>
              <w:ind w:left="432" w:right="313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Dodatkowo: Fundusz Sprawiedliwej Transformacji, wdrażany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razem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polityką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przypadku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5 regionów wdrażających ten fundusz</w:t>
            </w:r>
          </w:p>
        </w:tc>
      </w:tr>
      <w:tr>
        <w:trPr>
          <w:trHeight w:val="1458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line="247" w:lineRule="auto" w:before="231"/>
              <w:ind w:left="357" w:right="346" w:hanging="10"/>
              <w:jc w:val="both"/>
              <w:rPr>
                <w:sz w:val="20"/>
              </w:rPr>
            </w:pPr>
            <w:r>
              <w:rPr>
                <w:color w:val="001F60"/>
                <w:sz w:val="20"/>
              </w:rPr>
              <w:t>Prawo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na </w:t>
            </w:r>
            <w:r>
              <w:rPr>
                <w:color w:val="001F60"/>
                <w:spacing w:val="-2"/>
                <w:sz w:val="20"/>
              </w:rPr>
              <w:t>poziomie unijnym</w:t>
            </w:r>
          </w:p>
        </w:tc>
        <w:tc>
          <w:tcPr>
            <w:tcW w:w="2803" w:type="dxa"/>
          </w:tcPr>
          <w:p>
            <w:pPr>
              <w:pStyle w:val="TableParagraph"/>
              <w:spacing w:before="119"/>
              <w:ind w:right="157"/>
              <w:rPr>
                <w:sz w:val="20"/>
              </w:rPr>
            </w:pPr>
            <w:r>
              <w:rPr>
                <w:color w:val="001F60"/>
                <w:sz w:val="20"/>
              </w:rPr>
              <w:t>Podstawy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prawne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wdrażania polityki spójności – poziom </w:t>
            </w:r>
            <w:r>
              <w:rPr>
                <w:color w:val="001F60"/>
                <w:spacing w:val="-2"/>
                <w:sz w:val="20"/>
              </w:rPr>
              <w:t>unijny</w:t>
            </w:r>
          </w:p>
        </w:tc>
        <w:tc>
          <w:tcPr>
            <w:tcW w:w="5081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Pakiet rozporządzeń Parlamentu Europejskiego i Rady (UE) ustanawiających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przepisy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dotyczące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wdrażania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funduszy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UE (przedmiot i zakres poszczególnych rozporządzeń wchodzących w skład pakietu), w tym rozporządzenie Interreg i rozporządzenie FST</w:t>
            </w:r>
          </w:p>
        </w:tc>
      </w:tr>
      <w:tr>
        <w:trPr>
          <w:trHeight w:val="1737" w:hRule="atLeast"/>
        </w:trPr>
        <w:tc>
          <w:tcPr>
            <w:tcW w:w="1178" w:type="dxa"/>
            <w:vMerge w:val="restart"/>
            <w:textDirection w:val="btLr"/>
          </w:tcPr>
          <w:p>
            <w:pPr>
              <w:pStyle w:val="TableParagraph"/>
              <w:spacing w:before="22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1F60"/>
                <w:sz w:val="20"/>
              </w:rPr>
              <w:t>Prawo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dokumenty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strategiczne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poziom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krajowy</w:t>
            </w: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Dokumenty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strategiczne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jako podstawa programowania wsparcia funduszy UE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</w:tabs>
              <w:spacing w:line="240" w:lineRule="auto" w:before="120" w:after="0"/>
              <w:ind w:left="418" w:right="252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Strategia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na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rzecz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Odpowiedzialnego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Rozwoju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do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roku </w:t>
            </w:r>
            <w:r>
              <w:rPr>
                <w:color w:val="001F60"/>
                <w:spacing w:val="-4"/>
                <w:sz w:val="20"/>
              </w:rPr>
              <w:t>2020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</w:tabs>
              <w:spacing w:line="240" w:lineRule="auto" w:before="0" w:after="0"/>
              <w:ind w:left="418" w:right="171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Krajowa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Strategia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Rozwoju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Regionalnego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jako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jedna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z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9 strategii zintegrowanych, ze szczególnym uwzględnieniem Obszarów Strategicznej Interwencji,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7" w:val="left" w:leader="none"/>
              </w:tabs>
              <w:spacing w:line="240" w:lineRule="auto" w:before="1" w:after="0"/>
              <w:ind w:left="417" w:right="0" w:hanging="359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Strategie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województw</w:t>
            </w:r>
          </w:p>
        </w:tc>
      </w:tr>
      <w:tr>
        <w:trPr>
          <w:trHeight w:val="1238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Legislacja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120" w:after="0"/>
              <w:ind w:left="418" w:right="1154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Ustawa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dnia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6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grudnia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2006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r.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zasadach prowadzenia polityki rozwoju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0" w:after="0"/>
              <w:ind w:left="418" w:right="1154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Ustawa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dnia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6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grudnia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2006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r.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zasadach prowadzenia polityki rozwoju</w:t>
            </w:r>
          </w:p>
        </w:tc>
      </w:tr>
      <w:tr>
        <w:trPr>
          <w:trHeight w:val="1336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System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wytycznych,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pozostałe </w:t>
            </w:r>
            <w:r>
              <w:rPr>
                <w:color w:val="001F60"/>
                <w:spacing w:val="-2"/>
                <w:sz w:val="20"/>
              </w:rPr>
              <w:t>dokumenty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Co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to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są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wytyczne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do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kogo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są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skierowane,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podstawa przygotowania wytycznych, rodzaje wytycznych,</w:t>
            </w:r>
          </w:p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Dokumenty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charakterze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quasi-wytycznych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Zasady realizacji instrumentów terytorialnych</w:t>
            </w:r>
          </w:p>
        </w:tc>
      </w:tr>
      <w:tr>
        <w:trPr>
          <w:trHeight w:val="484" w:hRule="atLeast"/>
        </w:trPr>
        <w:tc>
          <w:tcPr>
            <w:tcW w:w="1178" w:type="dxa"/>
            <w:vMerge w:val="restart"/>
            <w:textDirection w:val="btLr"/>
          </w:tcPr>
          <w:p>
            <w:pPr>
              <w:pStyle w:val="TableParagraph"/>
              <w:spacing w:before="9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Umowa</w:t>
            </w:r>
          </w:p>
        </w:tc>
        <w:tc>
          <w:tcPr>
            <w:tcW w:w="7884" w:type="dxa"/>
            <w:gridSpan w:val="2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Czym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jest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Umowa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Partnerstwa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kontekście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europejskim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1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polskim?</w:t>
            </w:r>
          </w:p>
        </w:tc>
      </w:tr>
      <w:tr>
        <w:trPr>
          <w:trHeight w:val="729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ind w:right="157"/>
              <w:rPr>
                <w:sz w:val="20"/>
              </w:rPr>
            </w:pPr>
            <w:r>
              <w:rPr>
                <w:color w:val="001F60"/>
                <w:sz w:val="20"/>
              </w:rPr>
              <w:t>Cele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objęte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Umową </w:t>
            </w:r>
            <w:r>
              <w:rPr>
                <w:color w:val="001F60"/>
                <w:spacing w:val="-2"/>
                <w:sz w:val="20"/>
              </w:rPr>
              <w:t>Partnerstwa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 w:right="174"/>
              <w:rPr>
                <w:sz w:val="20"/>
              </w:rPr>
            </w:pPr>
            <w:r>
              <w:rPr>
                <w:color w:val="001F60"/>
                <w:sz w:val="20"/>
              </w:rPr>
              <w:t>Cele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polityki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cele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szczegółowe;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cel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szczegółowy FST – w przypadku 5 regionów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859" w:footer="0" w:top="1700" w:bottom="868" w:left="1300" w:right="130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1F60"/>
          <w:left w:val="single" w:sz="4" w:space="0" w:color="001F60"/>
          <w:bottom w:val="single" w:sz="4" w:space="0" w:color="001F60"/>
          <w:right w:val="single" w:sz="4" w:space="0" w:color="001F60"/>
          <w:insideH w:val="single" w:sz="4" w:space="0" w:color="001F60"/>
          <w:insideV w:val="single" w:sz="4" w:space="0" w:color="001F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2803"/>
        <w:gridCol w:w="5081"/>
      </w:tblGrid>
      <w:tr>
        <w:trPr>
          <w:trHeight w:val="1408" w:hRule="atLeast"/>
        </w:trPr>
        <w:tc>
          <w:tcPr>
            <w:tcW w:w="117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Alokacja środków i źródła finansowania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działań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pacing w:val="-5"/>
                <w:sz w:val="20"/>
              </w:rPr>
              <w:t>UP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Podział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środków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objętych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Umową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Partnerstwa: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7" w:val="left" w:leader="none"/>
              </w:tabs>
              <w:spacing w:line="255" w:lineRule="exact" w:before="120" w:after="0"/>
              <w:ind w:left="427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wg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funduszy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polityki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4"/>
                <w:sz w:val="20"/>
              </w:rPr>
              <w:t> FST,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7" w:val="left" w:leader="none"/>
                <w:tab w:pos="472" w:val="left" w:leader="none"/>
              </w:tabs>
              <w:spacing w:line="240" w:lineRule="auto" w:before="0" w:after="0"/>
              <w:ind w:left="427" w:right="127" w:hanging="358"/>
              <w:jc w:val="left"/>
              <w:rPr>
                <w:sz w:val="20"/>
              </w:rPr>
            </w:pPr>
            <w:r>
              <w:rPr>
                <w:rFonts w:ascii="Times New Roman" w:hAnsi="Times New Roman"/>
                <w:color w:val="001F60"/>
                <w:sz w:val="20"/>
              </w:rPr>
              <w:tab/>
            </w:r>
            <w:r>
              <w:rPr>
                <w:color w:val="001F60"/>
                <w:sz w:val="20"/>
              </w:rPr>
              <w:t>wg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programów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(krajowe,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ponadregionalny,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regionalne, </w:t>
            </w:r>
            <w:r>
              <w:rPr>
                <w:color w:val="001F60"/>
                <w:spacing w:val="-2"/>
                <w:sz w:val="20"/>
              </w:rPr>
              <w:t>Interreg)</w:t>
            </w:r>
          </w:p>
        </w:tc>
      </w:tr>
      <w:tr>
        <w:trPr>
          <w:trHeight w:val="1991" w:hRule="atLeast"/>
        </w:trPr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Koncentracja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tematyczna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120" w:after="0"/>
              <w:ind w:left="429" w:right="911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Wymogi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koncentracji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tematycznej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na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szczeblu </w:t>
            </w:r>
            <w:r>
              <w:rPr>
                <w:color w:val="001F60"/>
                <w:spacing w:val="-2"/>
                <w:sz w:val="20"/>
              </w:rPr>
              <w:t>krajowym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9" w:right="151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Wymogi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koncentracji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tematycznej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na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szczeblu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kategorii </w:t>
            </w:r>
            <w:r>
              <w:rPr>
                <w:color w:val="001F60"/>
                <w:spacing w:val="-2"/>
                <w:sz w:val="20"/>
              </w:rPr>
              <w:t>regionu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1" w:after="0"/>
              <w:ind w:left="429" w:right="273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Uwzględnienie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zasobów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Funduszu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do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celów koncentracji tematycznej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9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Koncentracja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tematyczna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programach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regionalnych</w:t>
            </w:r>
          </w:p>
        </w:tc>
      </w:tr>
      <w:tr>
        <w:trPr>
          <w:trHeight w:val="1336" w:hRule="atLeast"/>
        </w:trPr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Kategorie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regionów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Szczegółowa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struktura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środków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dostępnych</w:t>
            </w:r>
          </w:p>
          <w:p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ramach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polityki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perspektywie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2021-2027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dla Polski w podziale na fundusze i kategorie regionów (lepiej rozwinięty, przejściowy, słabiej rozwinięty).</w:t>
            </w:r>
          </w:p>
        </w:tc>
      </w:tr>
      <w:tr>
        <w:trPr>
          <w:trHeight w:val="729" w:hRule="atLeast"/>
        </w:trPr>
        <w:tc>
          <w:tcPr>
            <w:tcW w:w="1178" w:type="dxa"/>
            <w:vMerge w:val="restart"/>
            <w:textDirection w:val="btLr"/>
          </w:tcPr>
          <w:p>
            <w:pPr>
              <w:pStyle w:val="TableParagraph"/>
              <w:spacing w:before="22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horyzontalne</w:t>
            </w: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Informacje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wstępne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Co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to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są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horyzontalne,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po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co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je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wprowadzono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na jakiej podstawie</w:t>
            </w:r>
          </w:p>
        </w:tc>
      </w:tr>
      <w:tr>
        <w:trPr>
          <w:trHeight w:val="2234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color w:val="001F60"/>
                <w:sz w:val="20"/>
              </w:rPr>
              <w:t>Zasada równości szans i niedyskryminacji w tym dostępności dla osób z </w:t>
            </w:r>
            <w:r>
              <w:rPr>
                <w:color w:val="001F60"/>
                <w:spacing w:val="-2"/>
                <w:sz w:val="20"/>
              </w:rPr>
              <w:t>niepełnosprawnościami: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120" w:after="0"/>
              <w:ind w:left="571" w:right="1864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Czym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jest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równości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szans i niedyskryminacji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0" w:after="0"/>
              <w:ind w:left="571" w:right="40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Standardy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dostępności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dla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polityki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2021- </w:t>
            </w:r>
            <w:r>
              <w:rPr>
                <w:color w:val="001F60"/>
                <w:spacing w:val="-2"/>
                <w:sz w:val="20"/>
              </w:rPr>
              <w:t>2027.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0" w:after="0"/>
              <w:ind w:left="571" w:right="759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Karta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Praw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Podstawowych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Konwencja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ONZ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o prawach osób z niepełnosprawnościami.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0" w:after="0"/>
              <w:ind w:left="571" w:right="668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Ustawa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zapewnianiu</w:t>
            </w:r>
            <w:r>
              <w:rPr>
                <w:color w:val="001F60"/>
                <w:spacing w:val="34"/>
                <w:sz w:val="20"/>
              </w:rPr>
              <w:t> </w:t>
            </w:r>
            <w:r>
              <w:rPr>
                <w:color w:val="001F60"/>
                <w:sz w:val="20"/>
              </w:rPr>
              <w:t>dostępności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osobom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ze szczególnymi</w:t>
            </w:r>
            <w:r>
              <w:rPr>
                <w:color w:val="001F60"/>
                <w:spacing w:val="40"/>
                <w:sz w:val="20"/>
              </w:rPr>
              <w:t> </w:t>
            </w:r>
            <w:r>
              <w:rPr>
                <w:color w:val="001F60"/>
                <w:sz w:val="20"/>
              </w:rPr>
              <w:t>potrzebami.</w:t>
            </w:r>
          </w:p>
        </w:tc>
      </w:tr>
      <w:tr>
        <w:trPr>
          <w:trHeight w:val="1737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równości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kobiet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i </w:t>
            </w:r>
            <w:r>
              <w:rPr>
                <w:color w:val="001F60"/>
                <w:spacing w:val="-2"/>
                <w:sz w:val="20"/>
              </w:rPr>
              <w:t>mężczyzn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52" w:val="left" w:leader="none"/>
              </w:tabs>
              <w:spacing w:line="240" w:lineRule="auto" w:before="120" w:after="0"/>
              <w:ind w:left="552" w:right="1807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Czym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jest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równości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kobiet i mężczyzn.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2" w:val="left" w:leader="none"/>
              </w:tabs>
              <w:spacing w:line="240" w:lineRule="auto" w:before="0" w:after="0"/>
              <w:ind w:left="552" w:right="422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Wytyczne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równościowe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równości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kobiet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 </w:t>
            </w:r>
            <w:r>
              <w:rPr>
                <w:color w:val="001F60"/>
                <w:spacing w:val="-2"/>
                <w:sz w:val="20"/>
              </w:rPr>
              <w:t>mężczyzn.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2" w:val="left" w:leader="none"/>
              </w:tabs>
              <w:spacing w:line="240" w:lineRule="auto" w:before="1" w:after="0"/>
              <w:ind w:left="552" w:right="344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Standard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minimum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realizacji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równości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szans kobiet i mężczyzn.</w:t>
            </w:r>
          </w:p>
        </w:tc>
      </w:tr>
      <w:tr>
        <w:trPr>
          <w:trHeight w:val="2236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ind w:right="157"/>
              <w:rPr>
                <w:sz w:val="20"/>
              </w:rPr>
            </w:pPr>
            <w:r>
              <w:rPr>
                <w:color w:val="001F60"/>
                <w:sz w:val="20"/>
              </w:rPr>
              <w:t>Zasada zrównoważonego rozwoju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„nie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czyń poważnych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szkód”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(DNSH)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52" w:val="left" w:leader="none"/>
              </w:tabs>
              <w:spacing w:line="240" w:lineRule="auto" w:before="120" w:after="0"/>
              <w:ind w:left="552" w:right="569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Ramy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prawne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Instrument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na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rzecz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Odbudowy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 Zwiększania Odporności (RRF) –&gt; Krajowy Plan Odbudowy i Zwiększania Odporności (KPO).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2" w:val="left" w:leader="none"/>
              </w:tabs>
              <w:spacing w:line="240" w:lineRule="auto" w:before="1" w:after="0"/>
              <w:ind w:left="552" w:right="468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6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celów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środowiskowych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ogólna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charakterystyka wymagań DNSH.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2" w:val="left" w:leader="none"/>
              </w:tabs>
              <w:spacing w:line="240" w:lineRule="auto" w:before="0" w:after="0"/>
              <w:ind w:left="552" w:right="914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Ramy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dla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DNSH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Rozporządzenie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sprawie taksonomii UE.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2" w:val="left" w:leader="none"/>
              </w:tabs>
              <w:spacing w:line="240" w:lineRule="auto" w:before="1" w:after="0"/>
              <w:ind w:left="552" w:right="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Wytyczne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techniczne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dot.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stosowania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DNSH.</w:t>
            </w:r>
          </w:p>
        </w:tc>
      </w:tr>
      <w:tr>
        <w:trPr>
          <w:trHeight w:val="1605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partnerstwa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52" w:val="left" w:leader="none"/>
              </w:tabs>
              <w:spacing w:line="240" w:lineRule="auto" w:before="120" w:after="0"/>
              <w:ind w:left="552" w:right="507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Realizacja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partnerstwa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podczas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wdrażania Umowy Partnerstwa</w:t>
            </w:r>
          </w:p>
          <w:p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programów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monitorowanie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realizacji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zasady,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udział</w:t>
            </w:r>
            <w:r>
              <w:rPr>
                <w:color w:val="001F60"/>
                <w:sz w:val="20"/>
              </w:rPr>
              <w:t> partnerów w KM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2" w:val="left" w:leader="none"/>
              </w:tabs>
              <w:spacing w:line="253" w:lineRule="exact" w:before="0" w:after="0"/>
              <w:ind w:left="552" w:right="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Udział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partnerów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społecznych</w:t>
            </w:r>
          </w:p>
          <w:p>
            <w:pPr>
              <w:pStyle w:val="TableParagraph"/>
              <w:spacing w:line="223" w:lineRule="exact" w:before="1"/>
              <w:ind w:left="552"/>
              <w:rPr>
                <w:sz w:val="20"/>
              </w:rPr>
            </w:pP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konsultacjach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Umowy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Partnerstwa,</w:t>
            </w:r>
          </w:p>
        </w:tc>
      </w:tr>
    </w:tbl>
    <w:p>
      <w:pPr>
        <w:spacing w:after="0" w:line="223" w:lineRule="exact"/>
        <w:rPr>
          <w:sz w:val="20"/>
        </w:rPr>
        <w:sectPr>
          <w:type w:val="continuous"/>
          <w:pgSz w:w="11910" w:h="16840"/>
          <w:pgMar w:header="859" w:footer="0" w:top="1700" w:bottom="1464" w:left="1300" w:right="1300"/>
        </w:sectPr>
      </w:pPr>
    </w:p>
    <w:tbl>
      <w:tblPr>
        <w:tblW w:w="0" w:type="auto"/>
        <w:jc w:val="left"/>
        <w:tblInd w:w="125" w:type="dxa"/>
        <w:tblBorders>
          <w:top w:val="single" w:sz="4" w:space="0" w:color="001F60"/>
          <w:left w:val="single" w:sz="4" w:space="0" w:color="001F60"/>
          <w:bottom w:val="single" w:sz="4" w:space="0" w:color="001F60"/>
          <w:right w:val="single" w:sz="4" w:space="0" w:color="001F60"/>
          <w:insideH w:val="single" w:sz="4" w:space="0" w:color="001F60"/>
          <w:insideV w:val="single" w:sz="4" w:space="0" w:color="001F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2803"/>
        <w:gridCol w:w="5081"/>
      </w:tblGrid>
      <w:tr>
        <w:trPr>
          <w:trHeight w:val="618" w:hRule="atLeast"/>
        </w:trPr>
        <w:tc>
          <w:tcPr>
            <w:tcW w:w="11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52" w:val="left" w:leader="none"/>
              </w:tabs>
              <w:spacing w:line="240" w:lineRule="auto" w:before="0" w:after="0"/>
              <w:ind w:left="552" w:right="655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Zasada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partnerstwa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perspektywie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finansowej funduszy unijnych 2021-2027.</w:t>
            </w:r>
          </w:p>
        </w:tc>
      </w:tr>
      <w:tr>
        <w:trPr>
          <w:trHeight w:val="6090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before="22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847"/>
              <w:rPr>
                <w:sz w:val="20"/>
              </w:rPr>
            </w:pPr>
            <w:r>
              <w:rPr>
                <w:color w:val="001F60"/>
                <w:sz w:val="20"/>
              </w:rPr>
              <w:t>Cele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objęte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Umową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Partnerstwa</w:t>
            </w: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CP1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„Bardziej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konkurencyjna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i inteligentna Europa”:</w:t>
            </w:r>
          </w:p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color w:val="001F60"/>
                <w:sz w:val="20"/>
              </w:rPr>
              <w:t>CP2 „Bardziej przyjazna dla środowiska niskoemisyjna Europa”: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CP3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„Lepiej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połączona </w:t>
            </w:r>
            <w:r>
              <w:rPr>
                <w:color w:val="001F60"/>
                <w:spacing w:val="-2"/>
                <w:sz w:val="20"/>
              </w:rPr>
              <w:t>Europa”: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001F60"/>
                <w:sz w:val="20"/>
              </w:rPr>
              <w:t>CP4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„Europa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silniejszym wymiarze społecznym”</w:t>
            </w:r>
          </w:p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color w:val="001F60"/>
                <w:sz w:val="20"/>
              </w:rPr>
              <w:t>CP5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„Europa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z w:val="20"/>
              </w:rPr>
              <w:t>bliżej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obywateli”:</w:t>
            </w:r>
          </w:p>
          <w:p>
            <w:pPr>
              <w:pStyle w:val="TableParagraph"/>
              <w:spacing w:before="118"/>
              <w:ind w:right="157"/>
              <w:rPr>
                <w:sz w:val="20"/>
              </w:rPr>
            </w:pPr>
            <w:r>
              <w:rPr>
                <w:color w:val="001F60"/>
                <w:sz w:val="20"/>
              </w:rPr>
              <w:t>CP6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„Umożliwienie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regionom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i ludności łagodzenia wpływających na społeczeństwo, zatrudnienie, gospodarkę i środowisko skutków transformacji</w:t>
            </w:r>
          </w:p>
          <w:p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color w:val="001F60"/>
                <w:sz w:val="20"/>
              </w:rPr>
              <w:t>w kierunku osiągnięcia celów unii na rok 2030 w dziedzinie energii i klimatu oraz w kierunku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neutralnej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dla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klimatu gospodarki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unii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do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roku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2050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w oparciu o porozumienie </w:t>
            </w:r>
            <w:r>
              <w:rPr>
                <w:color w:val="001F60"/>
                <w:spacing w:val="-2"/>
                <w:sz w:val="20"/>
              </w:rPr>
              <w:t>paryskie.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Najważniejsze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wdrażania</w:t>
            </w:r>
          </w:p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poszczególnych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celach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polityki/szczegółowych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(np. wymagane dokumenty strategiczne)</w:t>
            </w:r>
          </w:p>
          <w:p>
            <w:pPr>
              <w:pStyle w:val="TableParagraph"/>
              <w:spacing w:before="119"/>
              <w:ind w:left="110" w:right="115"/>
              <w:rPr>
                <w:sz w:val="20"/>
              </w:rPr>
            </w:pPr>
            <w:r>
              <w:rPr>
                <w:color w:val="001F60"/>
                <w:sz w:val="20"/>
              </w:rPr>
              <w:t>rodzaje i charakterystyka typów projektów, przypisanych</w:t>
            </w:r>
            <w:r>
              <w:rPr>
                <w:color w:val="001F60"/>
                <w:spacing w:val="40"/>
                <w:sz w:val="20"/>
              </w:rPr>
              <w:t> </w:t>
            </w:r>
            <w:r>
              <w:rPr>
                <w:color w:val="001F60"/>
                <w:sz w:val="20"/>
              </w:rPr>
              <w:t>do poszczególnych celów szczegółowych, ze szczególnym uwzględnieniem typów projektów możliwych do wsparcia</w:t>
            </w:r>
            <w:r>
              <w:rPr>
                <w:color w:val="001F60"/>
                <w:spacing w:val="40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ramach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RLKS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poszczególnych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programach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regionalnych</w:t>
            </w:r>
          </w:p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Cel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szczegółowy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FST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–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do</w:t>
            </w:r>
            <w:r>
              <w:rPr>
                <w:color w:val="001F60"/>
                <w:spacing w:val="-1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omówienia</w:t>
            </w:r>
          </w:p>
          <w:p>
            <w:pPr>
              <w:pStyle w:val="TableParagraph"/>
              <w:spacing w:line="357" w:lineRule="auto" w:before="121"/>
              <w:ind w:left="110" w:right="1194"/>
              <w:rPr>
                <w:sz w:val="20"/>
              </w:rPr>
            </w:pP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przypadku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województwa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wdrażających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FST w programach regionalnych</w:t>
            </w:r>
          </w:p>
        </w:tc>
      </w:tr>
      <w:tr>
        <w:trPr>
          <w:trHeight w:val="1689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before="9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49" w:lineRule="auto"/>
              <w:ind w:left="424" w:right="183" w:firstLine="283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Formy finansowania</w:t>
            </w:r>
          </w:p>
        </w:tc>
        <w:tc>
          <w:tcPr>
            <w:tcW w:w="7884" w:type="dxa"/>
            <w:gridSpan w:val="2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Podstawowe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formy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wsparcia: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</w:tabs>
              <w:spacing w:line="255" w:lineRule="exact" w:before="120" w:after="0"/>
              <w:ind w:left="828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dotacja,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dotacja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warunkowa,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instrumenty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finansowe.</w:t>
            </w:r>
          </w:p>
        </w:tc>
      </w:tr>
      <w:tr>
        <w:trPr>
          <w:trHeight w:val="1970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before="22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407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Kwalifikowalność</w:t>
            </w:r>
          </w:p>
        </w:tc>
        <w:tc>
          <w:tcPr>
            <w:tcW w:w="7884" w:type="dxa"/>
            <w:gridSpan w:val="2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Najważniejsze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zasady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kwalifikowalności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wynikające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z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rozporządzenia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ogólnego</w:t>
            </w:r>
            <w:r>
              <w:rPr>
                <w:color w:val="001F60"/>
                <w:spacing w:val="-2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wytycznych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w zakresie kwalifikowalności wydatków w ramach EFRR, EFS oraz FS (w tym: warunki kwalifikowalności, koszty niekwalifikowalne, zasada konkurencyjności)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001F60"/>
                <w:sz w:val="20"/>
              </w:rPr>
              <w:t>Wytyczne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dotyczące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kwalifikowalności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2021-</w:t>
            </w:r>
            <w:r>
              <w:rPr>
                <w:color w:val="001F60"/>
                <w:spacing w:val="-4"/>
                <w:sz w:val="20"/>
              </w:rPr>
              <w:t>2027</w:t>
            </w:r>
          </w:p>
        </w:tc>
      </w:tr>
      <w:tr>
        <w:trPr>
          <w:trHeight w:val="568" w:hRule="atLeast"/>
        </w:trPr>
        <w:tc>
          <w:tcPr>
            <w:tcW w:w="1178" w:type="dxa"/>
            <w:vMerge w:val="restart"/>
            <w:textDirection w:val="btLr"/>
          </w:tcPr>
          <w:p>
            <w:pPr>
              <w:pStyle w:val="TableParagraph"/>
              <w:spacing w:before="9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49" w:lineRule="auto"/>
              <w:ind w:left="414" w:right="416" w:hanging="3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Instrumenty Terytorialne</w:t>
            </w:r>
          </w:p>
        </w:tc>
        <w:tc>
          <w:tcPr>
            <w:tcW w:w="2803" w:type="dxa"/>
            <w:vMerge w:val="restart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Znaczenie wymiaru terytorialnego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Polityce Spójności 2021-2027</w:t>
            </w:r>
          </w:p>
          <w:p>
            <w:pPr>
              <w:pStyle w:val="TableParagraph"/>
              <w:spacing w:before="120"/>
              <w:ind w:right="107"/>
              <w:rPr>
                <w:sz w:val="20"/>
              </w:rPr>
            </w:pPr>
            <w:r>
              <w:rPr>
                <w:color w:val="001F60"/>
                <w:sz w:val="20"/>
              </w:rPr>
              <w:t>Charakterystyka i rola instrumentów terytorialnych we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wdrażaniu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polityki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spójności</w:t>
            </w: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55"/>
              <w:rPr>
                <w:sz w:val="20"/>
              </w:rPr>
            </w:pPr>
            <w:r>
              <w:rPr>
                <w:color w:val="001F60"/>
                <w:sz w:val="20"/>
              </w:rPr>
              <w:t>Zintegrowane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Inwestycje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Terytorialne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(ZIT)</w:t>
            </w:r>
          </w:p>
        </w:tc>
      </w:tr>
      <w:tr>
        <w:trPr>
          <w:trHeight w:val="481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1" w:type="dxa"/>
          </w:tcPr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Inne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Instrumenty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Terytorialne</w:t>
            </w:r>
            <w:r>
              <w:rPr>
                <w:color w:val="001F60"/>
                <w:spacing w:val="-4"/>
                <w:sz w:val="20"/>
              </w:rPr>
              <w:t> (IIT)</w:t>
            </w:r>
          </w:p>
        </w:tc>
      </w:tr>
      <w:tr>
        <w:trPr>
          <w:trHeight w:val="755" w:hRule="atLeast"/>
        </w:trPr>
        <w:tc>
          <w:tcPr>
            <w:tcW w:w="11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1" w:type="dxa"/>
          </w:tcPr>
          <w:p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Rozwój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Lokalny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z w:val="20"/>
              </w:rPr>
              <w:t>Kierowany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przez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Społeczność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(RLKS)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header="859" w:footer="0" w:top="1700" w:bottom="280" w:left="1300" w:right="1300"/>
        </w:sectPr>
      </w:pPr>
    </w:p>
    <w:tbl>
      <w:tblPr>
        <w:tblW w:w="0" w:type="auto"/>
        <w:jc w:val="left"/>
        <w:tblInd w:w="125" w:type="dxa"/>
        <w:tblBorders>
          <w:top w:val="single" w:sz="4" w:space="0" w:color="001F60"/>
          <w:left w:val="single" w:sz="4" w:space="0" w:color="001F60"/>
          <w:bottom w:val="single" w:sz="4" w:space="0" w:color="001F60"/>
          <w:right w:val="single" w:sz="4" w:space="0" w:color="001F60"/>
          <w:insideH w:val="single" w:sz="4" w:space="0" w:color="001F60"/>
          <w:insideV w:val="single" w:sz="4" w:space="0" w:color="001F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2803"/>
        <w:gridCol w:w="5081"/>
      </w:tblGrid>
      <w:tr>
        <w:trPr>
          <w:trHeight w:val="1758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before="9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49" w:lineRule="auto"/>
              <w:ind w:left="258" w:right="258" w:firstLine="326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System instytucjonalny</w:t>
            </w: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System instytucjonalny zaangażowany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realizację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UP</w:t>
            </w:r>
          </w:p>
        </w:tc>
        <w:tc>
          <w:tcPr>
            <w:tcW w:w="508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55" w:lineRule="exact" w:before="120" w:after="0"/>
              <w:ind w:left="427" w:right="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Instytucje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koordynujące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4"/>
                <w:sz w:val="20"/>
              </w:rPr>
              <w:t>(IK),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54" w:lineRule="exact" w:before="0" w:after="0"/>
              <w:ind w:left="427" w:right="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Instytucje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zarządzające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(IZ),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0" w:lineRule="auto" w:before="0" w:after="0"/>
              <w:ind w:left="427" w:right="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Instytucje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pośredniczące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(IP),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55" w:lineRule="exact" w:before="2" w:after="0"/>
              <w:ind w:left="427" w:right="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Instytucja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audytowa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(IA),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0" w:lineRule="auto" w:before="0" w:after="0"/>
              <w:ind w:left="427" w:right="200" w:hanging="358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Instytucja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odpowiedzialna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za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otrzymywanie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płatności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z </w:t>
            </w:r>
            <w:r>
              <w:rPr>
                <w:color w:val="001F60"/>
                <w:spacing w:val="-4"/>
                <w:sz w:val="20"/>
              </w:rPr>
              <w:t>KE,</w:t>
            </w:r>
          </w:p>
        </w:tc>
      </w:tr>
      <w:tr>
        <w:trPr>
          <w:trHeight w:val="2850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before="9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49" w:lineRule="auto"/>
              <w:ind w:left="928" w:right="207" w:hanging="723"/>
              <w:rPr>
                <w:sz w:val="20"/>
              </w:rPr>
            </w:pPr>
            <w:r>
              <w:rPr>
                <w:color w:val="001F60"/>
                <w:sz w:val="20"/>
              </w:rPr>
              <w:t>Koordynacja</w:t>
            </w:r>
            <w:r>
              <w:rPr>
                <w:color w:val="001F60"/>
                <w:spacing w:val="-12"/>
                <w:sz w:val="20"/>
              </w:rPr>
              <w:t> </w:t>
            </w:r>
            <w:r>
              <w:rPr>
                <w:color w:val="001F60"/>
                <w:sz w:val="20"/>
              </w:rPr>
              <w:t>realizacji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Umowy </w:t>
            </w:r>
            <w:r>
              <w:rPr>
                <w:color w:val="001F60"/>
                <w:spacing w:val="-2"/>
                <w:sz w:val="20"/>
              </w:rPr>
              <w:t>Partnerstwa</w:t>
            </w: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>Koordynacja</w:t>
            </w:r>
          </w:p>
        </w:tc>
        <w:tc>
          <w:tcPr>
            <w:tcW w:w="5081" w:type="dxa"/>
          </w:tcPr>
          <w:p>
            <w:pPr>
              <w:pStyle w:val="TableParagraph"/>
              <w:spacing w:line="357" w:lineRule="auto" w:before="121"/>
              <w:ind w:left="110" w:right="979"/>
              <w:rPr>
                <w:sz w:val="20"/>
              </w:rPr>
            </w:pPr>
            <w:r>
              <w:rPr>
                <w:color w:val="001F60"/>
                <w:sz w:val="20"/>
              </w:rPr>
              <w:t>Koordynacja strategiczna na poziomie UP, Koordynacja zarządcza na poziomie UP, Narzędzia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koordynacji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strategicznej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zarządczej: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0" w:val="left" w:leader="none"/>
              </w:tabs>
              <w:spacing w:line="240" w:lineRule="auto" w:before="0" w:after="0"/>
              <w:ind w:left="410" w:right="384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Komitet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ds.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Umowy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Partnerstwa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(KUP),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Podkomitety </w:t>
            </w:r>
            <w:r>
              <w:rPr>
                <w:color w:val="001F60"/>
                <w:spacing w:val="-4"/>
                <w:sz w:val="20"/>
              </w:rPr>
              <w:t>KUP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0" w:val="left" w:leader="none"/>
              </w:tabs>
              <w:spacing w:line="255" w:lineRule="exact" w:before="0" w:after="0"/>
              <w:ind w:left="410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Kontrakt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programowy,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0" w:val="left" w:leader="none"/>
              </w:tabs>
              <w:spacing w:line="254" w:lineRule="exact" w:before="0" w:after="0"/>
              <w:ind w:left="410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Komitet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Monitorujący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0" w:val="left" w:leader="none"/>
              </w:tabs>
              <w:spacing w:line="254" w:lineRule="exact" w:before="0" w:after="0"/>
              <w:ind w:left="410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Centralny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System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Teleinformatyczny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2021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(„CST2021”)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0" w:val="left" w:leader="none"/>
              </w:tabs>
              <w:spacing w:line="240" w:lineRule="auto" w:before="0" w:after="0"/>
              <w:ind w:left="410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Demarkacja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wsparcia</w:t>
            </w:r>
          </w:p>
        </w:tc>
      </w:tr>
      <w:tr>
        <w:trPr>
          <w:trHeight w:val="4189" w:hRule="atLeast"/>
        </w:trPr>
        <w:tc>
          <w:tcPr>
            <w:tcW w:w="1178" w:type="dxa"/>
            <w:textDirection w:val="btLr"/>
          </w:tcPr>
          <w:p>
            <w:pPr>
              <w:pStyle w:val="TableParagraph"/>
              <w:spacing w:before="37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18"/>
              <w:rPr>
                <w:sz w:val="20"/>
              </w:rPr>
            </w:pPr>
            <w:r>
              <w:rPr>
                <w:color w:val="001F60"/>
                <w:sz w:val="20"/>
              </w:rPr>
              <w:t>Komunikacja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promocja</w:t>
            </w:r>
          </w:p>
        </w:tc>
        <w:tc>
          <w:tcPr>
            <w:tcW w:w="2803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001F60"/>
                <w:sz w:val="20"/>
              </w:rPr>
              <w:t>Komunikacja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promocja</w:t>
            </w:r>
          </w:p>
        </w:tc>
        <w:tc>
          <w:tcPr>
            <w:tcW w:w="5081" w:type="dxa"/>
          </w:tcPr>
          <w:p>
            <w:pPr>
              <w:pStyle w:val="TableParagraph"/>
              <w:spacing w:before="119"/>
              <w:ind w:left="110" w:right="174"/>
              <w:rPr>
                <w:sz w:val="20"/>
              </w:rPr>
            </w:pPr>
            <w:r>
              <w:rPr>
                <w:color w:val="001F60"/>
                <w:sz w:val="20"/>
              </w:rPr>
              <w:t>Oznakowanie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działań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w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ramach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realizacji wielofunduszowych LSR: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2" w:val="left" w:leader="none"/>
              </w:tabs>
              <w:spacing w:line="255" w:lineRule="exact" w:before="120" w:after="0"/>
              <w:ind w:left="55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obowiązujący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zestaw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znaków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2" w:val="left" w:leader="none"/>
              </w:tabs>
              <w:spacing w:line="240" w:lineRule="auto" w:before="0" w:after="0"/>
              <w:ind w:left="55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obowiązujące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wzory</w:t>
            </w:r>
            <w:r>
              <w:rPr>
                <w:color w:val="001F60"/>
                <w:spacing w:val="-7"/>
                <w:sz w:val="20"/>
              </w:rPr>
              <w:t> </w:t>
            </w:r>
            <w:r>
              <w:rPr>
                <w:color w:val="001F60"/>
                <w:sz w:val="20"/>
              </w:rPr>
              <w:t>materiałów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informacyjnych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2" w:val="left" w:leader="none"/>
              </w:tabs>
              <w:spacing w:line="255" w:lineRule="exact" w:before="2" w:after="0"/>
              <w:ind w:left="55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strona</w:t>
            </w:r>
            <w:r>
              <w:rPr>
                <w:color w:val="001F60"/>
                <w:spacing w:val="-3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internetowa,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2" w:val="left" w:leader="none"/>
              </w:tabs>
              <w:spacing w:line="254" w:lineRule="exact" w:before="0" w:after="0"/>
              <w:ind w:left="55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media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społecznościowe,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2" w:val="left" w:leader="none"/>
              </w:tabs>
              <w:spacing w:line="240" w:lineRule="auto" w:before="0" w:after="0"/>
              <w:ind w:left="552" w:right="0" w:hanging="360"/>
              <w:jc w:val="left"/>
              <w:rPr>
                <w:sz w:val="20"/>
              </w:rPr>
            </w:pPr>
            <w:r>
              <w:rPr>
                <w:color w:val="001F60"/>
                <w:sz w:val="20"/>
              </w:rPr>
              <w:t>druki,</w:t>
            </w:r>
            <w:r>
              <w:rPr>
                <w:color w:val="001F60"/>
                <w:spacing w:val="-4"/>
                <w:sz w:val="20"/>
              </w:rPr>
              <w:t> </w:t>
            </w:r>
            <w:r>
              <w:rPr>
                <w:color w:val="001F60"/>
                <w:spacing w:val="-2"/>
                <w:sz w:val="20"/>
              </w:rPr>
              <w:t>gadżety</w:t>
            </w:r>
          </w:p>
          <w:p>
            <w:pPr>
              <w:pStyle w:val="TableParagraph"/>
              <w:spacing w:before="120"/>
              <w:ind w:left="110" w:right="174"/>
              <w:rPr>
                <w:sz w:val="20"/>
              </w:rPr>
            </w:pPr>
            <w:r>
              <w:rPr>
                <w:color w:val="001F60"/>
                <w:sz w:val="20"/>
              </w:rPr>
              <w:t>Księga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Wizualizacji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Znaku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Planu</w:t>
            </w:r>
            <w:r>
              <w:rPr>
                <w:color w:val="001F60"/>
                <w:spacing w:val="-6"/>
                <w:sz w:val="20"/>
              </w:rPr>
              <w:t> </w:t>
            </w:r>
            <w:r>
              <w:rPr>
                <w:color w:val="001F60"/>
                <w:sz w:val="20"/>
              </w:rPr>
              <w:t>Strategicznego</w:t>
            </w:r>
            <w:r>
              <w:rPr>
                <w:color w:val="001F60"/>
                <w:spacing w:val="-9"/>
                <w:sz w:val="20"/>
              </w:rPr>
              <w:t> </w:t>
            </w:r>
            <w:r>
              <w:rPr>
                <w:color w:val="001F60"/>
                <w:sz w:val="20"/>
              </w:rPr>
              <w:t>dla Wspólnej Polityki Rolnej 2023-2027 – zapisy dot. wielofunduszowych LSR</w:t>
            </w:r>
          </w:p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Księga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Tożsamości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Wizualnej</w:t>
            </w:r>
            <w:r>
              <w:rPr>
                <w:color w:val="001F60"/>
                <w:spacing w:val="-5"/>
                <w:sz w:val="20"/>
              </w:rPr>
              <w:t> </w:t>
            </w:r>
            <w:r>
              <w:rPr>
                <w:color w:val="001F60"/>
                <w:sz w:val="20"/>
              </w:rPr>
              <w:t>marki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Fundusze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Europejskie 2021 – 2027</w:t>
            </w:r>
          </w:p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color w:val="001F60"/>
                <w:sz w:val="20"/>
              </w:rPr>
              <w:t>Wytyczne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informacyjno-promocyjne</w:t>
            </w:r>
            <w:r>
              <w:rPr>
                <w:color w:val="001F60"/>
                <w:spacing w:val="-10"/>
                <w:sz w:val="20"/>
              </w:rPr>
              <w:t> </w:t>
            </w:r>
            <w:r>
              <w:rPr>
                <w:color w:val="001F60"/>
                <w:sz w:val="20"/>
              </w:rPr>
              <w:t>wynikające</w:t>
            </w:r>
            <w:r>
              <w:rPr>
                <w:color w:val="001F60"/>
                <w:spacing w:val="-11"/>
                <w:sz w:val="20"/>
              </w:rPr>
              <w:t> </w:t>
            </w:r>
            <w:r>
              <w:rPr>
                <w:color w:val="001F60"/>
                <w:sz w:val="20"/>
              </w:rPr>
              <w:t>z</w:t>
            </w:r>
            <w:r>
              <w:rPr>
                <w:color w:val="001F60"/>
                <w:spacing w:val="-8"/>
                <w:sz w:val="20"/>
              </w:rPr>
              <w:t> </w:t>
            </w:r>
            <w:r>
              <w:rPr>
                <w:color w:val="001F60"/>
                <w:sz w:val="20"/>
              </w:rPr>
              <w:t>zapisów Umowy Ramowej.</w:t>
            </w:r>
          </w:p>
        </w:tc>
      </w:tr>
    </w:tbl>
    <w:p>
      <w:pPr>
        <w:pStyle w:val="BodyText"/>
        <w:spacing w:before="26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192151</wp:posOffset>
                </wp:positionV>
                <wp:extent cx="5725795" cy="40576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25795" cy="405765"/>
                        </a:xfrm>
                        <a:prstGeom prst="rect">
                          <a:avLst/>
                        </a:prstGeom>
                        <a:solidFill>
                          <a:srgbClr val="001F60"/>
                        </a:solidFill>
                        <a:ln w="9144">
                          <a:solidFill>
                            <a:srgbClr val="001F6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Dodatkowe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rekomendacje dotyczące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przygotowania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szkolenia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130028pt;width:450.85pt;height:31.95pt;mso-position-horizontal-relative:page;mso-position-vertical-relative:paragraph;z-index:-15726592;mso-wrap-distance-left:0;mso-wrap-distance-right:0" type="#_x0000_t202" id="docshape7" filled="true" fillcolor="#001f60" stroked="true" strokeweight=".72pt" strokecolor="#001f60">
                <v:textbox inset="0,0,0,0">
                  <w:txbxContent>
                    <w:p>
                      <w:pPr>
                        <w:spacing w:before="189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Dodatkowe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rekomendacje dotyczące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przygotowania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szkolenia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rPr>
          <w:i/>
        </w:rPr>
      </w:pPr>
    </w:p>
    <w:p>
      <w:pPr>
        <w:pStyle w:val="ListParagraph"/>
        <w:numPr>
          <w:ilvl w:val="0"/>
          <w:numId w:val="15"/>
        </w:numPr>
        <w:tabs>
          <w:tab w:pos="835" w:val="left" w:leader="none"/>
        </w:tabs>
        <w:spacing w:line="355" w:lineRule="auto" w:before="0" w:after="0"/>
        <w:ind w:left="835" w:right="885" w:hanging="360"/>
        <w:jc w:val="left"/>
        <w:rPr>
          <w:rFonts w:ascii="Symbol" w:hAnsi="Symbol"/>
          <w:color w:val="001F60"/>
          <w:sz w:val="24"/>
        </w:rPr>
      </w:pPr>
      <w:r>
        <w:rPr>
          <w:color w:val="001F60"/>
          <w:sz w:val="24"/>
        </w:rPr>
        <w:t>rozszerzenie</w:t>
      </w:r>
      <w:r>
        <w:rPr>
          <w:color w:val="001F60"/>
          <w:spacing w:val="-5"/>
          <w:sz w:val="24"/>
        </w:rPr>
        <w:t> </w:t>
      </w:r>
      <w:r>
        <w:rPr>
          <w:color w:val="001F60"/>
          <w:sz w:val="24"/>
        </w:rPr>
        <w:t>zakresu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szkolenia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o</w:t>
      </w:r>
      <w:r>
        <w:rPr>
          <w:color w:val="001F60"/>
          <w:spacing w:val="-2"/>
          <w:sz w:val="24"/>
        </w:rPr>
        <w:t> </w:t>
      </w:r>
      <w:r>
        <w:rPr>
          <w:color w:val="001F60"/>
          <w:sz w:val="24"/>
        </w:rPr>
        <w:t>specyfikę</w:t>
      </w:r>
      <w:r>
        <w:rPr>
          <w:color w:val="001F60"/>
          <w:spacing w:val="-5"/>
          <w:sz w:val="24"/>
        </w:rPr>
        <w:t> </w:t>
      </w:r>
      <w:r>
        <w:rPr>
          <w:color w:val="001F60"/>
          <w:sz w:val="24"/>
        </w:rPr>
        <w:t>programu</w:t>
      </w:r>
      <w:r>
        <w:rPr>
          <w:color w:val="001F60"/>
          <w:spacing w:val="-2"/>
          <w:sz w:val="24"/>
        </w:rPr>
        <w:t> </w:t>
      </w:r>
      <w:r>
        <w:rPr>
          <w:color w:val="001F60"/>
          <w:sz w:val="24"/>
        </w:rPr>
        <w:t>regionalnego</w:t>
      </w:r>
      <w:r>
        <w:rPr>
          <w:color w:val="001F60"/>
          <w:spacing w:val="-5"/>
          <w:sz w:val="24"/>
        </w:rPr>
        <w:t> </w:t>
      </w:r>
      <w:r>
        <w:rPr>
          <w:color w:val="001F60"/>
          <w:sz w:val="24"/>
        </w:rPr>
        <w:t>dla</w:t>
      </w:r>
      <w:r>
        <w:rPr>
          <w:color w:val="001F60"/>
          <w:spacing w:val="-5"/>
          <w:sz w:val="24"/>
        </w:rPr>
        <w:t> </w:t>
      </w:r>
      <w:r>
        <w:rPr>
          <w:color w:val="001F60"/>
          <w:sz w:val="24"/>
        </w:rPr>
        <w:t>danego </w:t>
      </w:r>
      <w:r>
        <w:rPr>
          <w:color w:val="001F60"/>
          <w:spacing w:val="-2"/>
          <w:sz w:val="24"/>
        </w:rPr>
        <w:t>województwa;</w:t>
      </w:r>
    </w:p>
    <w:p>
      <w:pPr>
        <w:pStyle w:val="ListParagraph"/>
        <w:numPr>
          <w:ilvl w:val="0"/>
          <w:numId w:val="15"/>
        </w:numPr>
        <w:tabs>
          <w:tab w:pos="835" w:val="left" w:leader="none"/>
        </w:tabs>
        <w:spacing w:line="352" w:lineRule="auto" w:before="12" w:after="0"/>
        <w:ind w:left="835" w:right="188" w:hanging="360"/>
        <w:jc w:val="left"/>
        <w:rPr>
          <w:rFonts w:ascii="Symbol" w:hAnsi="Symbol"/>
          <w:color w:val="001F60"/>
          <w:sz w:val="24"/>
        </w:rPr>
      </w:pPr>
      <w:r>
        <w:rPr>
          <w:color w:val="001F60"/>
          <w:sz w:val="24"/>
        </w:rPr>
        <w:t>uszczegółowienie</w:t>
      </w:r>
      <w:r>
        <w:rPr>
          <w:color w:val="001F60"/>
          <w:spacing w:val="-1"/>
          <w:sz w:val="24"/>
        </w:rPr>
        <w:t> </w:t>
      </w:r>
      <w:r>
        <w:rPr>
          <w:color w:val="001F60"/>
          <w:sz w:val="24"/>
        </w:rPr>
        <w:t>bloków</w:t>
      </w:r>
      <w:r>
        <w:rPr>
          <w:color w:val="001F60"/>
          <w:spacing w:val="-3"/>
          <w:sz w:val="24"/>
        </w:rPr>
        <w:t> </w:t>
      </w:r>
      <w:r>
        <w:rPr>
          <w:color w:val="001F60"/>
          <w:sz w:val="24"/>
        </w:rPr>
        <w:t>dotyczących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zasad</w:t>
      </w:r>
      <w:r>
        <w:rPr>
          <w:color w:val="001F60"/>
          <w:spacing w:val="-6"/>
          <w:sz w:val="24"/>
        </w:rPr>
        <w:t> </w:t>
      </w:r>
      <w:r>
        <w:rPr>
          <w:color w:val="001F60"/>
          <w:sz w:val="24"/>
        </w:rPr>
        <w:t>horyzontalnych</w:t>
      </w:r>
      <w:r>
        <w:rPr>
          <w:color w:val="001F60"/>
          <w:spacing w:val="-6"/>
          <w:sz w:val="24"/>
        </w:rPr>
        <w:t> </w:t>
      </w:r>
      <w:r>
        <w:rPr>
          <w:color w:val="001F60"/>
          <w:sz w:val="24"/>
        </w:rPr>
        <w:t>z</w:t>
      </w:r>
      <w:r>
        <w:rPr>
          <w:color w:val="001F60"/>
          <w:spacing w:val="-4"/>
          <w:sz w:val="24"/>
        </w:rPr>
        <w:t> </w:t>
      </w:r>
      <w:r>
        <w:rPr>
          <w:color w:val="001F60"/>
          <w:sz w:val="24"/>
        </w:rPr>
        <w:t>udziałem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regionalnych koordynatorów ds. równości i dostępności,</w:t>
      </w:r>
    </w:p>
    <w:p>
      <w:pPr>
        <w:pStyle w:val="ListParagraph"/>
        <w:numPr>
          <w:ilvl w:val="0"/>
          <w:numId w:val="15"/>
        </w:numPr>
        <w:tabs>
          <w:tab w:pos="835" w:val="left" w:leader="none"/>
        </w:tabs>
        <w:spacing w:line="357" w:lineRule="auto" w:before="16" w:after="0"/>
        <w:ind w:left="835" w:right="702" w:hanging="360"/>
        <w:jc w:val="left"/>
        <w:rPr>
          <w:rFonts w:ascii="Symbol" w:hAnsi="Symbol"/>
          <w:sz w:val="24"/>
        </w:rPr>
      </w:pPr>
      <w:r>
        <w:rPr>
          <w:color w:val="001F60"/>
          <w:sz w:val="24"/>
        </w:rPr>
        <w:t>uszczegółowienie zagadnień pod kątem typu LGD i ich potrzeb, np. sposób funkcjonowania CST2021, aplikacje do składania wniosków o dofinansowanie, demarkacja</w:t>
      </w:r>
      <w:r>
        <w:rPr>
          <w:color w:val="001F60"/>
          <w:spacing w:val="-5"/>
          <w:sz w:val="24"/>
        </w:rPr>
        <w:t> </w:t>
      </w:r>
      <w:r>
        <w:rPr>
          <w:color w:val="001F60"/>
          <w:sz w:val="24"/>
        </w:rPr>
        <w:t>wsparcia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w</w:t>
      </w:r>
      <w:r>
        <w:rPr>
          <w:color w:val="001F60"/>
          <w:spacing w:val="-4"/>
          <w:sz w:val="24"/>
        </w:rPr>
        <w:t> </w:t>
      </w:r>
      <w:r>
        <w:rPr>
          <w:color w:val="001F60"/>
          <w:sz w:val="24"/>
        </w:rPr>
        <w:t>konkretnych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obszarach</w:t>
      </w:r>
      <w:r>
        <w:rPr>
          <w:color w:val="001F60"/>
          <w:spacing w:val="-7"/>
          <w:sz w:val="24"/>
        </w:rPr>
        <w:t> </w:t>
      </w:r>
      <w:r>
        <w:rPr>
          <w:color w:val="001F60"/>
          <w:sz w:val="24"/>
        </w:rPr>
        <w:t>tematycznych,</w:t>
      </w:r>
      <w:r>
        <w:rPr>
          <w:color w:val="001F60"/>
          <w:spacing w:val="-5"/>
          <w:sz w:val="24"/>
        </w:rPr>
        <w:t> </w:t>
      </w:r>
      <w:r>
        <w:rPr>
          <w:color w:val="001F60"/>
          <w:sz w:val="24"/>
        </w:rPr>
        <w:t>kwalifikowalność </w:t>
      </w:r>
      <w:r>
        <w:rPr>
          <w:color w:val="001F60"/>
          <w:spacing w:val="-2"/>
          <w:sz w:val="24"/>
        </w:rPr>
        <w:t>wydatków.</w:t>
      </w:r>
    </w:p>
    <w:sectPr>
      <w:pgSz w:w="11910" w:h="16840"/>
      <w:pgMar w:header="859" w:footer="0" w:top="17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7104">
          <wp:simplePos x="0" y="0"/>
          <wp:positionH relativeFrom="page">
            <wp:posOffset>993647</wp:posOffset>
          </wp:positionH>
          <wp:positionV relativeFrom="page">
            <wp:posOffset>545591</wp:posOffset>
          </wp:positionV>
          <wp:extent cx="5218176" cy="4876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8176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55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1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6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1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1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0" w:hanging="360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27" w:hanging="358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5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0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5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80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45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0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75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0" w:hanging="358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75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52" w:hanging="358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1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2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13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64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15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66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17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68" w:hanging="358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52" w:hanging="358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1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2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13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64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15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66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17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68" w:hanging="358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52" w:hanging="358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1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2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13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64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15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66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17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68" w:hanging="358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5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1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6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1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1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7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7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2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7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7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2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3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0" w:hanging="3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0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1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0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1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1F6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9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1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81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4" w:hanging="360"/>
      </w:pPr>
      <w:rPr>
        <w:rFonts w:hint="default"/>
        <w:lang w:val="pl-PL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1055" w:right="1061"/>
      <w:jc w:val="center"/>
    </w:pPr>
    <w:rPr>
      <w:rFonts w:ascii="Calibri" w:hAnsi="Calibri" w:eastAsia="Calibri" w:cs="Calibri"/>
      <w:b/>
      <w:bCs/>
      <w:sz w:val="32"/>
      <w:szCs w:val="3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35" w:right="188" w:hanging="36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Gsior-Skwarek Renata</dc:creator>
  <dc:title>Microsoft Word - Program szkoleniowy PIFE dla LGD_ostateczny_czysty</dc:title>
  <dcterms:created xsi:type="dcterms:W3CDTF">2024-04-19T12:03:40Z</dcterms:created>
  <dcterms:modified xsi:type="dcterms:W3CDTF">2024-04-19T12:03:40Z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Microsoft: Print To PDF</vt:lpwstr>
  </property>
</Properties>
</file>