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7"/>
        <w:rPr>
          <w:rFonts w:ascii="Calibri"/>
        </w:rPr>
      </w:pPr>
      <w:r>
        <w:rPr/>
        <w:t>DECYZJA</w:t>
      </w:r>
      <w:r>
        <w:rPr>
          <w:spacing w:val="-3"/>
        </w:rPr>
        <w:t> </w:t>
      </w:r>
      <w:r>
        <w:rPr/>
        <w:t>NR</w:t>
      </w:r>
      <w:r>
        <w:rPr>
          <w:spacing w:val="-2"/>
        </w:rPr>
        <w:t> </w:t>
      </w:r>
      <w:r>
        <w:rPr/>
        <w:t>7</w:t>
      </w:r>
      <w:r>
        <w:rPr>
          <w:spacing w:val="-1"/>
        </w:rPr>
        <w:t> </w:t>
      </w:r>
      <w:r>
        <w:rPr/>
        <w:t>z</w:t>
      </w:r>
      <w:r>
        <w:rPr>
          <w:spacing w:val="52"/>
        </w:rPr>
        <w:t> </w:t>
      </w:r>
      <w:r>
        <w:rPr>
          <w:rFonts w:ascii="Calibri"/>
        </w:rPr>
        <w:t>9</w:t>
      </w:r>
      <w:r>
        <w:rPr>
          <w:rFonts w:ascii="Calibri"/>
          <w:spacing w:val="-1"/>
        </w:rPr>
        <w:t> </w:t>
      </w:r>
      <w:r>
        <w:rPr>
          <w:rFonts w:ascii="Calibri"/>
        </w:rPr>
        <w:t>grudnia</w:t>
      </w:r>
      <w:r>
        <w:rPr>
          <w:rFonts w:ascii="Calibri"/>
          <w:spacing w:val="-1"/>
        </w:rPr>
        <w:t> </w:t>
      </w:r>
      <w:r>
        <w:rPr>
          <w:rFonts w:ascii="Calibri"/>
        </w:rPr>
        <w:t>2023</w:t>
      </w:r>
      <w:r>
        <w:rPr>
          <w:rFonts w:ascii="Calibri"/>
          <w:spacing w:val="-1"/>
        </w:rPr>
        <w:t> </w:t>
      </w:r>
      <w:r>
        <w:rPr>
          <w:rFonts w:ascii="Calibri"/>
          <w:spacing w:val="-5"/>
        </w:rPr>
        <w:t>r.</w:t>
      </w:r>
    </w:p>
    <w:p>
      <w:pPr>
        <w:pStyle w:val="BodyText"/>
        <w:spacing w:before="258"/>
        <w:ind w:left="110"/>
      </w:pPr>
      <w:r>
        <w:rPr/>
        <w:t>Przewodniczącego</w:t>
      </w:r>
      <w:r>
        <w:rPr>
          <w:spacing w:val="-3"/>
        </w:rPr>
        <w:t> </w:t>
      </w:r>
      <w:r>
        <w:rPr/>
        <w:t>Komitetu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spraw</w:t>
      </w:r>
      <w:r>
        <w:rPr>
          <w:spacing w:val="-2"/>
        </w:rPr>
        <w:t> </w:t>
      </w:r>
      <w:r>
        <w:rPr/>
        <w:t>Umowy</w:t>
      </w:r>
      <w:r>
        <w:rPr>
          <w:spacing w:val="-3"/>
        </w:rPr>
        <w:t> </w:t>
      </w:r>
      <w:r>
        <w:rPr/>
        <w:t>Partnerstwa</w:t>
      </w:r>
      <w:r>
        <w:rPr>
          <w:spacing w:val="-3"/>
        </w:rPr>
        <w:t> </w:t>
      </w:r>
      <w:r>
        <w:rPr/>
        <w:t>na lata</w:t>
      </w:r>
      <w:r>
        <w:rPr>
          <w:spacing w:val="-2"/>
        </w:rPr>
        <w:t> </w:t>
      </w:r>
      <w:r>
        <w:rPr/>
        <w:t>2021-</w:t>
      </w:r>
      <w:r>
        <w:rPr>
          <w:spacing w:val="-4"/>
        </w:rPr>
        <w:t>2027</w:t>
      </w:r>
    </w:p>
    <w:p>
      <w:pPr>
        <w:pStyle w:val="BodyText"/>
        <w:spacing w:before="90"/>
        <w:ind w:left="0"/>
      </w:pPr>
    </w:p>
    <w:p>
      <w:pPr>
        <w:pStyle w:val="BodyText"/>
        <w:spacing w:line="360" w:lineRule="auto"/>
        <w:ind w:left="130" w:right="320" w:hanging="10"/>
      </w:pPr>
      <w:r>
        <w:rPr/>
        <w:t>zmieniająca Decyzję nr 5 Przewodniczącego Komitetu do spraw Umowy Partnerstwa na lata</w:t>
      </w:r>
      <w:r>
        <w:rPr>
          <w:spacing w:val="-4"/>
        </w:rPr>
        <w:t> </w:t>
      </w:r>
      <w:r>
        <w:rPr/>
        <w:t>2021-2027</w:t>
      </w:r>
      <w:r>
        <w:rPr>
          <w:spacing w:val="-3"/>
        </w:rPr>
        <w:t> </w:t>
      </w:r>
      <w:r>
        <w:rPr/>
        <w:t>z</w:t>
      </w:r>
      <w:r>
        <w:rPr>
          <w:spacing w:val="-4"/>
        </w:rPr>
        <w:t> </w:t>
      </w:r>
      <w:r>
        <w:rPr/>
        <w:t>19</w:t>
      </w:r>
      <w:r>
        <w:rPr>
          <w:spacing w:val="-3"/>
        </w:rPr>
        <w:t> </w:t>
      </w:r>
      <w:r>
        <w:rPr/>
        <w:t>kwietnia</w:t>
      </w:r>
      <w:r>
        <w:rPr>
          <w:spacing w:val="-4"/>
        </w:rPr>
        <w:t> </w:t>
      </w:r>
      <w:r>
        <w:rPr/>
        <w:t>2023</w:t>
      </w:r>
      <w:r>
        <w:rPr>
          <w:spacing w:val="-3"/>
        </w:rPr>
        <w:t> </w:t>
      </w:r>
      <w:r>
        <w:rPr/>
        <w:t>r.</w:t>
      </w:r>
      <w:r>
        <w:rPr>
          <w:spacing w:val="-2"/>
        </w:rPr>
        <w:t> </w:t>
      </w:r>
      <w:r>
        <w:rPr/>
        <w:t>w</w:t>
      </w:r>
      <w:r>
        <w:rPr>
          <w:spacing w:val="-4"/>
        </w:rPr>
        <w:t> </w:t>
      </w:r>
      <w:r>
        <w:rPr/>
        <w:t>sprawie</w:t>
      </w:r>
      <w:r>
        <w:rPr>
          <w:spacing w:val="-2"/>
        </w:rPr>
        <w:t> </w:t>
      </w:r>
      <w:r>
        <w:rPr/>
        <w:t>powołania</w:t>
      </w:r>
      <w:r>
        <w:rPr>
          <w:spacing w:val="-4"/>
        </w:rPr>
        <w:t> </w:t>
      </w:r>
      <w:r>
        <w:rPr/>
        <w:t>Podkomitetu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spraw</w:t>
      </w:r>
      <w:r>
        <w:rPr>
          <w:spacing w:val="-4"/>
        </w:rPr>
        <w:t> </w:t>
      </w:r>
      <w:r>
        <w:rPr/>
        <w:t>rozwoju lokalnego kierowanego przez społeczność</w:t>
      </w:r>
    </w:p>
    <w:p>
      <w:pPr>
        <w:pStyle w:val="BodyText"/>
        <w:spacing w:line="357" w:lineRule="auto" w:before="228"/>
        <w:ind w:right="431"/>
      </w:pPr>
      <w:r>
        <w:rPr/>
        <w:t>Na podstawie art. 14l ustawy z dnia 6 grudnia 2006 r. o zasadach prowadzenia polityki rozwoju (Dz. U. z 2023 r. poz. 225 i 412) oraz § 12 ust. 1 Regulaminu pracy Komitetu do spraw</w:t>
      </w:r>
      <w:r>
        <w:rPr>
          <w:spacing w:val="-3"/>
        </w:rPr>
        <w:t> </w:t>
      </w:r>
      <w:r>
        <w:rPr/>
        <w:t>Umowy</w:t>
      </w:r>
      <w:r>
        <w:rPr>
          <w:spacing w:val="-2"/>
        </w:rPr>
        <w:t> </w:t>
      </w:r>
      <w:r>
        <w:rPr/>
        <w:t>Partnerstwa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lata 2021-2027,</w:t>
      </w:r>
      <w:r>
        <w:rPr>
          <w:spacing w:val="-2"/>
        </w:rPr>
        <w:t> </w:t>
      </w:r>
      <w:r>
        <w:rPr/>
        <w:t>przyjętego</w:t>
      </w:r>
      <w:r>
        <w:rPr>
          <w:spacing w:val="-2"/>
        </w:rPr>
        <w:t> </w:t>
      </w:r>
      <w:r>
        <w:rPr/>
        <w:t>uchwałą</w:t>
      </w:r>
      <w:r>
        <w:rPr>
          <w:spacing w:val="-3"/>
        </w:rPr>
        <w:t> </w:t>
      </w:r>
      <w:r>
        <w:rPr/>
        <w:t>nr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Komitetu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spraw Umowy Partnerstwa na lata 2021-2027 z dnia 22 marca 2023 r. w sprawie przyjęcia Regulaminu pracy Komitetu do spraw Umowy Partnerstwa na lata 2021-2027, w związku z art. 31 ust. 3 rozporządzenia Parlamentu Europejskiego i Rady (UE) 2021/1060 z dnia</w:t>
      </w:r>
      <w:r>
        <w:rPr>
          <w:spacing w:val="40"/>
        </w:rPr>
        <w:t> </w:t>
      </w:r>
      <w:r>
        <w:rPr/>
        <w:t>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</w:t>
      </w:r>
    </w:p>
    <w:p>
      <w:pPr>
        <w:pStyle w:val="BodyText"/>
        <w:spacing w:line="273" w:lineRule="exact"/>
      </w:pPr>
      <w:r>
        <w:rPr/>
        <w:t>Wewnętrznego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Instrumentu</w:t>
      </w:r>
      <w:r>
        <w:rPr>
          <w:spacing w:val="-3"/>
        </w:rPr>
        <w:t> </w:t>
      </w:r>
      <w:r>
        <w:rPr/>
        <w:t>Wsparcia</w:t>
      </w:r>
      <w:r>
        <w:rPr>
          <w:spacing w:val="-2"/>
        </w:rPr>
        <w:t> </w:t>
      </w:r>
      <w:r>
        <w:rPr/>
        <w:t>Finansowego</w:t>
      </w:r>
      <w:r>
        <w:rPr>
          <w:spacing w:val="-2"/>
        </w:rPr>
        <w:t> </w:t>
      </w:r>
      <w:r>
        <w:rPr/>
        <w:t>na</w:t>
      </w:r>
      <w:r>
        <w:rPr>
          <w:spacing w:val="-4"/>
        </w:rPr>
        <w:t> </w:t>
      </w:r>
      <w:r>
        <w:rPr/>
        <w:t>rzecz</w:t>
      </w:r>
      <w:r>
        <w:rPr>
          <w:spacing w:val="-4"/>
        </w:rPr>
        <w:t> </w:t>
      </w:r>
      <w:r>
        <w:rPr/>
        <w:t>Zarządzania</w:t>
      </w:r>
      <w:r>
        <w:rPr>
          <w:spacing w:val="-3"/>
        </w:rPr>
        <w:t> </w:t>
      </w:r>
      <w:r>
        <w:rPr>
          <w:spacing w:val="-2"/>
        </w:rPr>
        <w:t>Granicami</w:t>
      </w:r>
    </w:p>
    <w:p>
      <w:pPr>
        <w:pStyle w:val="BodyText"/>
        <w:spacing w:before="135"/>
        <w:ind w:left="130"/>
      </w:pPr>
      <w:r>
        <w:rPr/>
        <w:t>i</w:t>
      </w:r>
      <w:r>
        <w:rPr>
          <w:spacing w:val="-3"/>
        </w:rPr>
        <w:t> </w:t>
      </w:r>
      <w:r>
        <w:rPr/>
        <w:t>Polityki Wizowej</w:t>
      </w:r>
      <w:r>
        <w:rPr>
          <w:spacing w:val="-1"/>
        </w:rPr>
        <w:t> </w:t>
      </w:r>
      <w:r>
        <w:rPr/>
        <w:t>(Dz.</w:t>
      </w:r>
      <w:r>
        <w:rPr>
          <w:spacing w:val="-1"/>
        </w:rPr>
        <w:t> </w:t>
      </w:r>
      <w:r>
        <w:rPr/>
        <w:t>Urz.</w:t>
      </w:r>
      <w:r>
        <w:rPr>
          <w:spacing w:val="-2"/>
        </w:rPr>
        <w:t> </w:t>
      </w:r>
      <w:r>
        <w:rPr/>
        <w:t>UE</w:t>
      </w:r>
      <w:r>
        <w:rPr>
          <w:spacing w:val="-2"/>
        </w:rPr>
        <w:t> </w:t>
      </w:r>
      <w:r>
        <w:rPr/>
        <w:t>L</w:t>
      </w:r>
      <w:r>
        <w:rPr>
          <w:spacing w:val="-2"/>
        </w:rPr>
        <w:t> </w:t>
      </w:r>
      <w:r>
        <w:rPr/>
        <w:t>231</w:t>
      </w:r>
      <w:r>
        <w:rPr>
          <w:spacing w:val="-1"/>
        </w:rPr>
        <w:t> </w:t>
      </w:r>
      <w:r>
        <w:rPr/>
        <w:t>z</w:t>
      </w:r>
      <w:r>
        <w:rPr>
          <w:spacing w:val="-2"/>
        </w:rPr>
        <w:t> </w:t>
      </w:r>
      <w:r>
        <w:rPr/>
        <w:t>30.06.2021,</w:t>
      </w:r>
      <w:r>
        <w:rPr>
          <w:spacing w:val="-2"/>
        </w:rPr>
        <w:t> </w:t>
      </w:r>
      <w:r>
        <w:rPr/>
        <w:t>str.</w:t>
      </w:r>
      <w:r>
        <w:rPr>
          <w:spacing w:val="-1"/>
        </w:rPr>
        <w:t> </w:t>
      </w:r>
      <w:r>
        <w:rPr/>
        <w:t>159,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</w:t>
      </w:r>
      <w:r>
        <w:rPr/>
        <w:t>późn.</w:t>
      </w:r>
      <w:r>
        <w:rPr>
          <w:spacing w:val="-2"/>
        </w:rPr>
        <w:t> </w:t>
      </w:r>
      <w:r>
        <w:rPr/>
        <w:t>zm.)</w:t>
      </w:r>
      <w:r>
        <w:rPr>
          <w:spacing w:val="-1"/>
        </w:rPr>
        <w:t> </w:t>
      </w:r>
      <w:r>
        <w:rPr/>
        <w:t>postanawia</w:t>
      </w:r>
      <w:r>
        <w:rPr>
          <w:spacing w:val="-2"/>
        </w:rPr>
        <w:t> </w:t>
      </w:r>
      <w:r>
        <w:rPr>
          <w:spacing w:val="-4"/>
        </w:rPr>
        <w:t>się,</w:t>
      </w:r>
    </w:p>
    <w:p>
      <w:pPr>
        <w:pStyle w:val="BodyText"/>
        <w:spacing w:before="134"/>
        <w:ind w:left="130"/>
      </w:pPr>
      <w:r>
        <w:rPr/>
        <w:t>co </w:t>
      </w:r>
      <w:r>
        <w:rPr>
          <w:spacing w:val="-2"/>
        </w:rPr>
        <w:t>następuje:</w:t>
      </w:r>
    </w:p>
    <w:p>
      <w:pPr>
        <w:pStyle w:val="Heading1"/>
        <w:spacing w:before="255"/>
      </w:pPr>
      <w:r>
        <w:rPr/>
        <w:t>§ </w:t>
      </w:r>
      <w:r>
        <w:rPr>
          <w:spacing w:val="-5"/>
        </w:rPr>
        <w:t>1.</w:t>
      </w:r>
    </w:p>
    <w:p>
      <w:pPr>
        <w:pStyle w:val="BodyText"/>
        <w:spacing w:line="357" w:lineRule="auto" w:before="256"/>
        <w:ind w:left="130" w:right="320" w:hanging="10"/>
      </w:pPr>
      <w:r>
        <w:rPr/>
        <w:t>W Decyzji nr 5 Przewodniczącego Komitetu do spraw Umowy Partnerstwa na lata 2021- 2027</w:t>
      </w:r>
      <w:r>
        <w:rPr>
          <w:spacing w:val="-3"/>
        </w:rPr>
        <w:t> </w:t>
      </w:r>
      <w:r>
        <w:rPr/>
        <w:t>z</w:t>
      </w:r>
      <w:r>
        <w:rPr>
          <w:spacing w:val="-4"/>
        </w:rPr>
        <w:t> </w:t>
      </w:r>
      <w:r>
        <w:rPr/>
        <w:t>19</w:t>
      </w:r>
      <w:r>
        <w:rPr>
          <w:spacing w:val="-3"/>
        </w:rPr>
        <w:t> </w:t>
      </w:r>
      <w:r>
        <w:rPr/>
        <w:t>kwietnia</w:t>
      </w:r>
      <w:r>
        <w:rPr>
          <w:spacing w:val="-2"/>
        </w:rPr>
        <w:t> </w:t>
      </w:r>
      <w:r>
        <w:rPr/>
        <w:t>2023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w</w:t>
      </w:r>
      <w:r>
        <w:rPr>
          <w:spacing w:val="-4"/>
        </w:rPr>
        <w:t> </w:t>
      </w:r>
      <w:r>
        <w:rPr/>
        <w:t>sprawie</w:t>
      </w:r>
      <w:r>
        <w:rPr>
          <w:spacing w:val="-4"/>
        </w:rPr>
        <w:t> </w:t>
      </w:r>
      <w:r>
        <w:rPr/>
        <w:t>powołania</w:t>
      </w:r>
      <w:r>
        <w:rPr>
          <w:spacing w:val="-4"/>
        </w:rPr>
        <w:t> </w:t>
      </w:r>
      <w:r>
        <w:rPr/>
        <w:t>Podkomitetu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spraw</w:t>
      </w:r>
      <w:r>
        <w:rPr>
          <w:spacing w:val="-4"/>
        </w:rPr>
        <w:t> </w:t>
      </w:r>
      <w:r>
        <w:rPr/>
        <w:t>rozwoju lokalnego kierowanego przez społeczność wprowadza się następujące zmiany: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8" w:after="0"/>
        <w:ind w:left="476" w:right="0" w:hanging="356"/>
        <w:jc w:val="left"/>
        <w:rPr>
          <w:sz w:val="24"/>
        </w:rPr>
      </w:pPr>
      <w:r>
        <w:rPr>
          <w:sz w:val="24"/>
        </w:rPr>
        <w:t>§</w:t>
      </w:r>
      <w:r>
        <w:rPr>
          <w:spacing w:val="-5"/>
          <w:sz w:val="24"/>
        </w:rPr>
        <w:t> </w:t>
      </w:r>
      <w:r>
        <w:rPr>
          <w:sz w:val="24"/>
        </w:rPr>
        <w:t>3</w:t>
      </w:r>
      <w:r>
        <w:rPr>
          <w:spacing w:val="-5"/>
          <w:sz w:val="24"/>
        </w:rPr>
        <w:t> </w:t>
      </w:r>
      <w:r>
        <w:rPr>
          <w:sz w:val="24"/>
        </w:rPr>
        <w:t>otrzymuje</w:t>
      </w:r>
      <w:r>
        <w:rPr>
          <w:spacing w:val="-5"/>
          <w:sz w:val="24"/>
        </w:rPr>
        <w:t> </w:t>
      </w:r>
      <w:r>
        <w:rPr>
          <w:sz w:val="24"/>
        </w:rPr>
        <w:t>następujące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brzmienie:</w:t>
      </w:r>
    </w:p>
    <w:p>
      <w:pPr>
        <w:pStyle w:val="BodyText"/>
        <w:spacing w:before="7"/>
        <w:ind w:left="0"/>
      </w:pPr>
    </w:p>
    <w:p>
      <w:pPr>
        <w:pStyle w:val="BodyText"/>
        <w:spacing w:line="360" w:lineRule="auto" w:before="1"/>
        <w:ind w:left="477" w:right="555" w:hanging="10"/>
      </w:pPr>
      <w:r>
        <w:rPr/>
        <w:t>„</w:t>
      </w:r>
      <w:r>
        <w:rPr>
          <w:spacing w:val="-5"/>
        </w:rPr>
        <w:t> </w:t>
      </w:r>
      <w:r>
        <w:rPr/>
        <w:t>6)</w:t>
      </w:r>
      <w:r>
        <w:rPr>
          <w:spacing w:val="-4"/>
        </w:rPr>
        <w:t> </w:t>
      </w:r>
      <w:r>
        <w:rPr/>
        <w:t>reprezentujący</w:t>
      </w:r>
      <w:r>
        <w:rPr>
          <w:spacing w:val="-4"/>
        </w:rPr>
        <w:t> </w:t>
      </w:r>
      <w:r>
        <w:rPr/>
        <w:t>lokalne</w:t>
      </w:r>
      <w:r>
        <w:rPr>
          <w:spacing w:val="-5"/>
        </w:rPr>
        <w:t> </w:t>
      </w:r>
      <w:r>
        <w:rPr/>
        <w:t>grupy</w:t>
      </w:r>
      <w:r>
        <w:rPr>
          <w:spacing w:val="-4"/>
        </w:rPr>
        <w:t> </w:t>
      </w:r>
      <w:r>
        <w:rPr/>
        <w:t>działania</w:t>
      </w:r>
      <w:r>
        <w:rPr>
          <w:spacing w:val="-1"/>
        </w:rPr>
        <w:t> </w:t>
      </w:r>
      <w:r>
        <w:rPr/>
        <w:t>(LGD),</w:t>
      </w:r>
      <w:r>
        <w:rPr>
          <w:spacing w:val="-4"/>
        </w:rPr>
        <w:t> </w:t>
      </w:r>
      <w:r>
        <w:rPr/>
        <w:t>funkcjonujące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terenie</w:t>
      </w:r>
      <w:r>
        <w:rPr>
          <w:spacing w:val="-5"/>
        </w:rPr>
        <w:t> </w:t>
      </w:r>
      <w:r>
        <w:rPr/>
        <w:t>każdego z województw wskazanych w pkt 5, które realizują lokalne strategie rozwoju (LSR), wybrane do dofinansowania w konkursie ogłoszonym przez Instytucję Zarządzającą Planu</w:t>
      </w:r>
      <w:r>
        <w:rPr>
          <w:spacing w:val="-1"/>
        </w:rPr>
        <w:t> </w:t>
      </w:r>
      <w:r>
        <w:rPr/>
        <w:t>Strategicznego</w:t>
      </w:r>
      <w:r>
        <w:rPr>
          <w:spacing w:val="-1"/>
        </w:rPr>
        <w:t> </w:t>
      </w:r>
      <w:r>
        <w:rPr/>
        <w:t>dla</w:t>
      </w:r>
      <w:r>
        <w:rPr>
          <w:spacing w:val="-2"/>
        </w:rPr>
        <w:t> </w:t>
      </w:r>
      <w:r>
        <w:rPr/>
        <w:t>Wspólnej</w:t>
      </w:r>
      <w:r>
        <w:rPr>
          <w:spacing w:val="-2"/>
        </w:rPr>
        <w:t> </w:t>
      </w:r>
      <w:r>
        <w:rPr/>
        <w:t>Polityki</w:t>
      </w:r>
      <w:r>
        <w:rPr>
          <w:spacing w:val="-2"/>
        </w:rPr>
        <w:t> </w:t>
      </w:r>
      <w:r>
        <w:rPr/>
        <w:t>Rolnej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lata</w:t>
      </w:r>
      <w:r>
        <w:rPr>
          <w:spacing w:val="-2"/>
        </w:rPr>
        <w:t> </w:t>
      </w:r>
      <w:r>
        <w:rPr/>
        <w:t>2023-2027</w:t>
      </w:r>
      <w:r>
        <w:rPr>
          <w:spacing w:val="-1"/>
        </w:rPr>
        <w:t> </w:t>
      </w:r>
      <w:r>
        <w:rPr/>
        <w:t>oraz Instytucję Zarządzającą programem regionalnym dla danego województwa.</w:t>
      </w:r>
    </w:p>
    <w:p>
      <w:pPr>
        <w:pStyle w:val="BodyText"/>
        <w:spacing w:line="357" w:lineRule="auto" w:before="117"/>
        <w:ind w:left="493" w:right="320" w:hanging="10"/>
      </w:pPr>
      <w:r>
        <w:rPr/>
        <w:t>LGD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każdego</w:t>
      </w:r>
      <w:r>
        <w:rPr>
          <w:spacing w:val="-3"/>
        </w:rPr>
        <w:t> </w:t>
      </w:r>
      <w:r>
        <w:rPr/>
        <w:t>województwa</w:t>
      </w:r>
      <w:r>
        <w:rPr>
          <w:spacing w:val="-4"/>
        </w:rPr>
        <w:t> </w:t>
      </w:r>
      <w:r>
        <w:rPr/>
        <w:t>wskazanego</w:t>
      </w:r>
      <w:r>
        <w:rPr>
          <w:spacing w:val="-1"/>
        </w:rPr>
        <w:t> </w:t>
      </w:r>
      <w:r>
        <w:rPr/>
        <w:t>w</w:t>
      </w:r>
      <w:r>
        <w:rPr>
          <w:spacing w:val="-4"/>
        </w:rPr>
        <w:t> </w:t>
      </w:r>
      <w:r>
        <w:rPr/>
        <w:t>pkt</w:t>
      </w:r>
      <w:r>
        <w:rPr>
          <w:spacing w:val="-4"/>
        </w:rPr>
        <w:t> </w:t>
      </w:r>
      <w:r>
        <w:rPr/>
        <w:t>5</w:t>
      </w:r>
      <w:r>
        <w:rPr>
          <w:spacing w:val="-3"/>
        </w:rPr>
        <w:t> </w:t>
      </w:r>
      <w:r>
        <w:rPr/>
        <w:t>wyłaniają</w:t>
      </w:r>
      <w:r>
        <w:rPr>
          <w:spacing w:val="-1"/>
        </w:rPr>
        <w:t> </w:t>
      </w:r>
      <w:r>
        <w:rPr/>
        <w:t>ze</w:t>
      </w:r>
      <w:r>
        <w:rPr>
          <w:spacing w:val="-4"/>
        </w:rPr>
        <w:t> </w:t>
      </w:r>
      <w:r>
        <w:rPr/>
        <w:t>swojego</w:t>
      </w:r>
      <w:r>
        <w:rPr>
          <w:spacing w:val="-3"/>
        </w:rPr>
        <w:t> </w:t>
      </w:r>
      <w:r>
        <w:rPr/>
        <w:t>grona</w:t>
      </w:r>
      <w:r>
        <w:rPr>
          <w:spacing w:val="-4"/>
        </w:rPr>
        <w:t> </w:t>
      </w:r>
      <w:r>
        <w:rPr/>
        <w:t>po dwóch przedstawicieli.</w:t>
      </w:r>
    </w:p>
    <w:p>
      <w:pPr>
        <w:spacing w:after="0" w:line="357" w:lineRule="auto"/>
        <w:sectPr>
          <w:type w:val="continuous"/>
          <w:pgSz w:w="11890" w:h="16810"/>
          <w:pgMar w:top="1060" w:bottom="280" w:left="940" w:right="1680"/>
        </w:sectPr>
      </w:pPr>
    </w:p>
    <w:p>
      <w:pPr>
        <w:pStyle w:val="BodyText"/>
        <w:spacing w:line="357" w:lineRule="auto" w:before="77"/>
        <w:ind w:left="492" w:right="320" w:hanging="10"/>
      </w:pPr>
      <w:r>
        <w:rPr/>
        <w:t>Członkowie reprezentujący LGD wejdą w skład Podkomitetu po zakończeniu procesu wyboru</w:t>
      </w:r>
      <w:r>
        <w:rPr>
          <w:spacing w:val="-4"/>
        </w:rPr>
        <w:t> </w:t>
      </w:r>
      <w:r>
        <w:rPr/>
        <w:t>LSR</w:t>
      </w:r>
      <w:r>
        <w:rPr>
          <w:spacing w:val="-5"/>
        </w:rPr>
        <w:t> </w:t>
      </w:r>
      <w:r>
        <w:rPr/>
        <w:t>oraz</w:t>
      </w:r>
      <w:r>
        <w:rPr>
          <w:spacing w:val="-5"/>
        </w:rPr>
        <w:t> </w:t>
      </w:r>
      <w:r>
        <w:rPr/>
        <w:t>po</w:t>
      </w:r>
      <w:r>
        <w:rPr>
          <w:spacing w:val="-4"/>
        </w:rPr>
        <w:t> </w:t>
      </w:r>
      <w:r>
        <w:rPr/>
        <w:t>przeprowadzeniu</w:t>
      </w:r>
      <w:r>
        <w:rPr>
          <w:spacing w:val="-4"/>
        </w:rPr>
        <w:t> </w:t>
      </w:r>
      <w:r>
        <w:rPr/>
        <w:t>procedury</w:t>
      </w:r>
      <w:r>
        <w:rPr>
          <w:spacing w:val="-4"/>
        </w:rPr>
        <w:t> </w:t>
      </w:r>
      <w:r>
        <w:rPr/>
        <w:t>wyłonienia</w:t>
      </w:r>
      <w:r>
        <w:rPr>
          <w:spacing w:val="-5"/>
        </w:rPr>
        <w:t> </w:t>
      </w:r>
      <w:r>
        <w:rPr/>
        <w:t>przedstawicieli</w:t>
      </w:r>
      <w:r>
        <w:rPr>
          <w:spacing w:val="-5"/>
        </w:rPr>
        <w:t> </w:t>
      </w:r>
      <w:r>
        <w:rPr/>
        <w:t>w każdym z województw.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118" w:after="0"/>
        <w:ind w:left="476" w:right="0" w:hanging="366"/>
        <w:jc w:val="left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§</w:t>
      </w:r>
      <w:r>
        <w:rPr>
          <w:spacing w:val="-2"/>
          <w:sz w:val="24"/>
        </w:rPr>
        <w:t> </w:t>
      </w:r>
      <w:r>
        <w:rPr>
          <w:sz w:val="24"/>
        </w:rPr>
        <w:t>5</w:t>
      </w:r>
      <w:r>
        <w:rPr>
          <w:spacing w:val="-2"/>
          <w:sz w:val="24"/>
        </w:rPr>
        <w:t> </w:t>
      </w:r>
      <w:r>
        <w:rPr>
          <w:sz w:val="24"/>
        </w:rPr>
        <w:t>dodany</w:t>
      </w:r>
      <w:r>
        <w:rPr>
          <w:spacing w:val="-2"/>
          <w:sz w:val="24"/>
        </w:rPr>
        <w:t> </w:t>
      </w:r>
      <w:r>
        <w:rPr>
          <w:sz w:val="24"/>
        </w:rPr>
        <w:t>zostaje</w:t>
      </w:r>
      <w:r>
        <w:rPr>
          <w:spacing w:val="-3"/>
          <w:sz w:val="24"/>
        </w:rPr>
        <w:t> </w:t>
      </w:r>
      <w:r>
        <w:rPr>
          <w:sz w:val="24"/>
        </w:rPr>
        <w:t>punkt 2</w:t>
      </w:r>
      <w:r>
        <w:rPr>
          <w:spacing w:val="-1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brzmieniu: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obradach</w:t>
      </w:r>
      <w:r>
        <w:rPr>
          <w:spacing w:val="-2"/>
          <w:sz w:val="24"/>
        </w:rPr>
        <w:t> </w:t>
      </w:r>
      <w:r>
        <w:rPr>
          <w:sz w:val="24"/>
        </w:rPr>
        <w:t>Podkomitetu</w:t>
      </w:r>
      <w:r>
        <w:rPr>
          <w:spacing w:val="-2"/>
          <w:sz w:val="24"/>
        </w:rPr>
        <w:t> </w:t>
      </w:r>
      <w:r>
        <w:rPr>
          <w:sz w:val="24"/>
        </w:rPr>
        <w:t>bierze</w:t>
      </w:r>
      <w:r>
        <w:rPr>
          <w:spacing w:val="-2"/>
          <w:sz w:val="24"/>
        </w:rPr>
        <w:t> udział</w:t>
      </w:r>
    </w:p>
    <w:p>
      <w:pPr>
        <w:pStyle w:val="BodyText"/>
        <w:spacing w:before="134"/>
        <w:ind w:left="478"/>
      </w:pPr>
      <w:r>
        <w:rPr/>
        <w:t>w</w:t>
      </w:r>
      <w:r>
        <w:rPr>
          <w:spacing w:val="-10"/>
        </w:rPr>
        <w:t> </w:t>
      </w:r>
      <w:r>
        <w:rPr/>
        <w:t>charakterze</w:t>
      </w:r>
      <w:r>
        <w:rPr>
          <w:spacing w:val="-5"/>
        </w:rPr>
        <w:t> </w:t>
      </w:r>
      <w:r>
        <w:rPr/>
        <w:t>stałego</w:t>
      </w:r>
      <w:r>
        <w:rPr>
          <w:spacing w:val="-6"/>
        </w:rPr>
        <w:t> </w:t>
      </w:r>
      <w:r>
        <w:rPr/>
        <w:t>obserwatora</w:t>
      </w:r>
      <w:r>
        <w:rPr>
          <w:spacing w:val="-5"/>
        </w:rPr>
        <w:t> </w:t>
      </w:r>
      <w:r>
        <w:rPr/>
        <w:t>przedstawiciel</w:t>
      </w:r>
      <w:r>
        <w:rPr>
          <w:spacing w:val="-7"/>
        </w:rPr>
        <w:t> </w:t>
      </w:r>
      <w:r>
        <w:rPr/>
        <w:t>Agencji</w:t>
      </w:r>
      <w:r>
        <w:rPr>
          <w:spacing w:val="-7"/>
        </w:rPr>
        <w:t> </w:t>
      </w:r>
      <w:r>
        <w:rPr>
          <w:spacing w:val="-2"/>
        </w:rPr>
        <w:t>Restrukturyzacji</w:t>
      </w:r>
    </w:p>
    <w:p>
      <w:pPr>
        <w:pStyle w:val="BodyText"/>
        <w:spacing w:line="357" w:lineRule="auto" w:before="135"/>
        <w:ind w:left="478" w:right="320"/>
      </w:pPr>
      <w:r>
        <w:rPr/>
        <w:t>i</w:t>
      </w:r>
      <w:r>
        <w:rPr>
          <w:spacing w:val="-6"/>
        </w:rPr>
        <w:t> </w:t>
      </w:r>
      <w:r>
        <w:rPr/>
        <w:t>Modernizacji</w:t>
      </w:r>
      <w:r>
        <w:rPr>
          <w:spacing w:val="-6"/>
        </w:rPr>
        <w:t> </w:t>
      </w:r>
      <w:r>
        <w:rPr/>
        <w:t>Rolnictwa.</w:t>
      </w:r>
      <w:r>
        <w:rPr>
          <w:spacing w:val="-5"/>
        </w:rPr>
        <w:t> </w:t>
      </w:r>
      <w:r>
        <w:rPr/>
        <w:t>Stałego</w:t>
      </w:r>
      <w:r>
        <w:rPr>
          <w:spacing w:val="-5"/>
        </w:rPr>
        <w:t> </w:t>
      </w:r>
      <w:r>
        <w:rPr/>
        <w:t>obserwatora</w:t>
      </w:r>
      <w:r>
        <w:rPr>
          <w:spacing w:val="-1"/>
        </w:rPr>
        <w:t> </w:t>
      </w:r>
      <w:r>
        <w:rPr/>
        <w:t>oraz</w:t>
      </w:r>
      <w:r>
        <w:rPr>
          <w:spacing w:val="-6"/>
        </w:rPr>
        <w:t> </w:t>
      </w:r>
      <w:r>
        <w:rPr/>
        <w:t>jego</w:t>
      </w:r>
      <w:r>
        <w:rPr>
          <w:spacing w:val="-5"/>
        </w:rPr>
        <w:t> </w:t>
      </w:r>
      <w:r>
        <w:rPr/>
        <w:t>zastępcę</w:t>
      </w:r>
      <w:r>
        <w:rPr>
          <w:spacing w:val="-6"/>
        </w:rPr>
        <w:t> </w:t>
      </w:r>
      <w:r>
        <w:rPr/>
        <w:t>wyznacza</w:t>
      </w:r>
      <w:r>
        <w:rPr>
          <w:spacing w:val="-6"/>
        </w:rPr>
        <w:t> </w:t>
      </w:r>
      <w:r>
        <w:rPr/>
        <w:t>Prezes </w:t>
      </w:r>
      <w:r>
        <w:rPr>
          <w:spacing w:val="-2"/>
        </w:rPr>
        <w:t>Agencji.</w:t>
      </w:r>
    </w:p>
    <w:p>
      <w:pPr>
        <w:pStyle w:val="Heading1"/>
      </w:pPr>
      <w:r>
        <w:rPr/>
        <w:t>§ </w:t>
      </w:r>
      <w:r>
        <w:rPr>
          <w:spacing w:val="-5"/>
        </w:rPr>
        <w:t>2.</w:t>
      </w:r>
    </w:p>
    <w:p>
      <w:pPr>
        <w:pStyle w:val="BodyText"/>
        <w:spacing w:before="256"/>
      </w:pPr>
      <w:r>
        <w:rPr/>
        <w:t>Decyzja</w:t>
      </w:r>
      <w:r>
        <w:rPr>
          <w:spacing w:val="-7"/>
        </w:rPr>
        <w:t> </w:t>
      </w:r>
      <w:r>
        <w:rPr/>
        <w:t>wchodzi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życie</w:t>
      </w:r>
      <w:r>
        <w:rPr>
          <w:spacing w:val="-5"/>
        </w:rPr>
        <w:t> </w:t>
      </w:r>
      <w:r>
        <w:rPr/>
        <w:t>z</w:t>
      </w:r>
      <w:r>
        <w:rPr>
          <w:spacing w:val="-4"/>
        </w:rPr>
        <w:t> </w:t>
      </w:r>
      <w:r>
        <w:rPr/>
        <w:t>dniem</w:t>
      </w:r>
      <w:r>
        <w:rPr>
          <w:spacing w:val="-4"/>
        </w:rPr>
        <w:t> </w:t>
      </w:r>
      <w:r>
        <w:rPr>
          <w:spacing w:val="-2"/>
        </w:rPr>
        <w:t>podpisania.</w:t>
      </w:r>
    </w:p>
    <w:p>
      <w:pPr>
        <w:pStyle w:val="BodyText"/>
        <w:ind w:left="0"/>
      </w:pPr>
    </w:p>
    <w:p>
      <w:pPr>
        <w:pStyle w:val="BodyText"/>
        <w:spacing w:before="239"/>
        <w:ind w:left="0"/>
      </w:pPr>
    </w:p>
    <w:p>
      <w:pPr>
        <w:pStyle w:val="BodyText"/>
      </w:pPr>
      <w:r>
        <w:rPr/>
        <w:t>Małgorzata</w:t>
      </w:r>
      <w:r>
        <w:rPr>
          <w:spacing w:val="-10"/>
        </w:rPr>
        <w:t> </w:t>
      </w:r>
      <w:r>
        <w:rPr/>
        <w:t>Jarosińska-</w:t>
      </w:r>
      <w:r>
        <w:rPr>
          <w:spacing w:val="-2"/>
        </w:rPr>
        <w:t>Jedynak</w:t>
      </w:r>
    </w:p>
    <w:p>
      <w:pPr>
        <w:pStyle w:val="Heading1"/>
        <w:spacing w:before="257"/>
      </w:pPr>
      <w:r>
        <w:rPr/>
        <w:t>Minister</w:t>
      </w:r>
      <w:r>
        <w:rPr>
          <w:spacing w:val="-7"/>
        </w:rPr>
        <w:t> </w:t>
      </w:r>
      <w:r>
        <w:rPr/>
        <w:t>Funduszy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Polityki</w:t>
      </w:r>
      <w:r>
        <w:rPr>
          <w:spacing w:val="-4"/>
        </w:rPr>
        <w:t> </w:t>
      </w:r>
      <w:r>
        <w:rPr>
          <w:spacing w:val="-2"/>
        </w:rPr>
        <w:t>Regionalnej</w:t>
      </w:r>
    </w:p>
    <w:p>
      <w:pPr>
        <w:spacing w:after="0"/>
        <w:sectPr>
          <w:pgSz w:w="11890" w:h="16810"/>
          <w:pgMar w:top="1040" w:bottom="280" w:left="940" w:right="1680"/>
        </w:sectPr>
      </w:pPr>
    </w:p>
    <w:p>
      <w:pPr>
        <w:pStyle w:val="BodyText"/>
        <w:spacing w:before="77"/>
      </w:pPr>
      <w:r>
        <w:rPr>
          <w:spacing w:val="-2"/>
        </w:rPr>
        <w:t>UZASADNIENIE</w:t>
      </w:r>
    </w:p>
    <w:p>
      <w:pPr>
        <w:pStyle w:val="BodyText"/>
        <w:spacing w:line="360" w:lineRule="auto" w:before="256"/>
        <w:ind w:left="135" w:right="353" w:hanging="10"/>
      </w:pPr>
      <w:r>
        <w:rPr/>
        <w:t>W decyzji przewidziano powołanie w skład Podkomitetu przedstawicieli lokalnych grup działania (LGD) z każdego województwa, w którym wdrażany jest wielofunduszowy instrument RLKS. Przedmiotem zmiany decyzji jest umożliwienie wyłonienia po dwóch przedstawicieli LGD z każdego województwa, z uwagi na doświadczenie tych podmiotów we wdrażaniu lokalnych strategii rozwoju (LSR), w tym w zakresie obsługi procesu wyboru</w:t>
      </w:r>
      <w:r>
        <w:rPr>
          <w:spacing w:val="-4"/>
        </w:rPr>
        <w:t> </w:t>
      </w:r>
      <w:r>
        <w:rPr/>
        <w:t>projektów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dofinansowania.</w:t>
      </w:r>
      <w:r>
        <w:rPr>
          <w:spacing w:val="-4"/>
        </w:rPr>
        <w:t> </w:t>
      </w:r>
      <w:r>
        <w:rPr/>
        <w:t>Dzięki</w:t>
      </w:r>
      <w:r>
        <w:rPr>
          <w:spacing w:val="-3"/>
        </w:rPr>
        <w:t> </w:t>
      </w:r>
      <w:r>
        <w:rPr/>
        <w:t>temu</w:t>
      </w:r>
      <w:r>
        <w:rPr>
          <w:spacing w:val="-4"/>
        </w:rPr>
        <w:t> </w:t>
      </w:r>
      <w:r>
        <w:rPr/>
        <w:t>Podkomitet</w:t>
      </w:r>
      <w:r>
        <w:rPr>
          <w:spacing w:val="-3"/>
        </w:rPr>
        <w:t> </w:t>
      </w:r>
      <w:r>
        <w:rPr/>
        <w:t>będzie</w:t>
      </w:r>
      <w:r>
        <w:rPr>
          <w:spacing w:val="-3"/>
        </w:rPr>
        <w:t> </w:t>
      </w:r>
      <w:r>
        <w:rPr/>
        <w:t>mógł</w:t>
      </w:r>
      <w:r>
        <w:rPr>
          <w:spacing w:val="-5"/>
        </w:rPr>
        <w:t> </w:t>
      </w:r>
      <w:r>
        <w:rPr/>
        <w:t>pełnić</w:t>
      </w:r>
      <w:r>
        <w:rPr>
          <w:spacing w:val="-5"/>
        </w:rPr>
        <w:t> </w:t>
      </w:r>
      <w:r>
        <w:rPr/>
        <w:t>funkcję platformy do dyskusji między interesariuszami zaangażowanymi w proces realizacji LSR. Zmniejszenie liczby przedstawicieli LGD z trzech do dwóch ma na celu zapewnienie sprawnego funkcjonowania Podkomitetu monitorującego realizację LSR, w składzie poszerzonym o nowych członków, przy jednoczesnym zachowaniu równowagi udziału przedstawicieli stron uczestniczących w procesie wdrażania LSR.</w:t>
      </w:r>
    </w:p>
    <w:p>
      <w:pPr>
        <w:pStyle w:val="BodyText"/>
        <w:spacing w:line="360" w:lineRule="auto" w:before="120"/>
        <w:ind w:left="110"/>
      </w:pPr>
      <w:r>
        <w:rPr/>
        <w:t>Ze względu na istotną rolę </w:t>
      </w:r>
      <w:hyperlink r:id="rId5">
        <w:r>
          <w:rPr/>
          <w:t>Agencji Restrukturyzacji i Modernizacji Rolnictwa w systemie</w:t>
        </w:r>
      </w:hyperlink>
      <w:r>
        <w:rPr/>
        <w:t> </w:t>
      </w:r>
      <w:hyperlink r:id="rId5">
        <w:r>
          <w:rPr/>
          <w:t>wdrażania</w:t>
        </w:r>
        <w:r>
          <w:rPr>
            <w:spacing w:val="-5"/>
          </w:rPr>
          <w:t> </w:t>
        </w:r>
        <w:r>
          <w:rPr/>
          <w:t>wielofunduszowego</w:t>
        </w:r>
        <w:r>
          <w:rPr>
            <w:spacing w:val="-5"/>
          </w:rPr>
          <w:t> </w:t>
        </w:r>
        <w:r>
          <w:rPr/>
          <w:t>RLKS,</w:t>
        </w:r>
        <w:r>
          <w:rPr>
            <w:spacing w:val="-5"/>
          </w:rPr>
          <w:t> </w:t>
        </w:r>
        <w:r>
          <w:rPr/>
          <w:t>finansowanego</w:t>
        </w:r>
        <w:r>
          <w:rPr>
            <w:spacing w:val="-4"/>
          </w:rPr>
          <w:t> </w:t>
        </w:r>
        <w:r>
          <w:rPr/>
          <w:t>ze</w:t>
        </w:r>
        <w:r>
          <w:rPr>
            <w:spacing w:val="-5"/>
          </w:rPr>
          <w:t> </w:t>
        </w:r>
        <w:r>
          <w:rPr/>
          <w:t>środków</w:t>
        </w:r>
        <w:r>
          <w:rPr>
            <w:spacing w:val="-5"/>
          </w:rPr>
          <w:t> </w:t>
        </w:r>
        <w:r>
          <w:rPr/>
          <w:t>Planu</w:t>
        </w:r>
        <w:r>
          <w:rPr>
            <w:spacing w:val="-5"/>
          </w:rPr>
          <w:t> </w:t>
        </w:r>
        <w:r>
          <w:rPr/>
          <w:t>Strategicznego</w:t>
        </w:r>
        <w:r>
          <w:rPr>
            <w:spacing w:val="-5"/>
          </w:rPr>
          <w:t> </w:t>
        </w:r>
        <w:r>
          <w:rPr/>
          <w:t>dla</w:t>
        </w:r>
      </w:hyperlink>
      <w:r>
        <w:rPr/>
        <w:t> </w:t>
      </w:r>
      <w:hyperlink r:id="rId5">
        <w:r>
          <w:rPr/>
          <w:t>Wspólnej Polityki Rolnej na lata 2023-2027, do prac w Podkomitecie powołuje się</w:t>
        </w:r>
      </w:hyperlink>
    </w:p>
    <w:p>
      <w:pPr>
        <w:pStyle w:val="BodyText"/>
        <w:ind w:left="110"/>
      </w:pPr>
      <w:hyperlink r:id="rId5">
        <w:r>
          <w:rPr/>
          <w:t>w</w:t>
        </w:r>
        <w:r>
          <w:rPr>
            <w:spacing w:val="-6"/>
          </w:rPr>
          <w:t> </w:t>
        </w:r>
        <w:r>
          <w:rPr/>
          <w:t>funkcji</w:t>
        </w:r>
        <w:r>
          <w:rPr>
            <w:spacing w:val="-4"/>
          </w:rPr>
          <w:t> </w:t>
        </w:r>
        <w:r>
          <w:rPr/>
          <w:t>stałego</w:t>
        </w:r>
        <w:r>
          <w:rPr>
            <w:spacing w:val="-4"/>
          </w:rPr>
          <w:t> </w:t>
        </w:r>
        <w:r>
          <w:rPr/>
          <w:t>obserwatora</w:t>
        </w:r>
        <w:r>
          <w:rPr>
            <w:spacing w:val="-6"/>
          </w:rPr>
          <w:t> </w:t>
        </w:r>
        <w:r>
          <w:rPr/>
          <w:t>wraz</w:t>
        </w:r>
        <w:r>
          <w:rPr>
            <w:spacing w:val="-5"/>
          </w:rPr>
          <w:t> </w:t>
        </w:r>
        <w:r>
          <w:rPr/>
          <w:t>ze</w:t>
        </w:r>
        <w:r>
          <w:rPr>
            <w:spacing w:val="-2"/>
          </w:rPr>
          <w:t> </w:t>
        </w:r>
        <w:r>
          <w:rPr/>
          <w:t>stałym</w:t>
        </w:r>
        <w:r>
          <w:rPr>
            <w:spacing w:val="-5"/>
          </w:rPr>
          <w:t> </w:t>
        </w:r>
        <w:r>
          <w:rPr/>
          <w:t>zastępcą</w:t>
        </w:r>
        <w:r>
          <w:rPr>
            <w:spacing w:val="-3"/>
          </w:rPr>
          <w:t> </w:t>
        </w:r>
        <w:r>
          <w:rPr/>
          <w:t>przedstawiciela</w:t>
        </w:r>
        <w:r>
          <w:rPr>
            <w:spacing w:val="-6"/>
          </w:rPr>
          <w:t> </w:t>
        </w:r>
        <w:r>
          <w:rPr/>
          <w:t>Agencji.</w:t>
        </w:r>
        <w:r>
          <w:rPr>
            <w:spacing w:val="-1"/>
          </w:rPr>
          <w:t> </w:t>
        </w:r>
        <w:r>
          <w:rPr>
            <w:spacing w:val="-2"/>
          </w:rPr>
          <w:t>Osoby</w:t>
        </w:r>
      </w:hyperlink>
    </w:p>
    <w:p>
      <w:pPr>
        <w:pStyle w:val="BodyText"/>
        <w:spacing w:before="138"/>
        <w:ind w:left="110"/>
      </w:pPr>
      <w:hyperlink r:id="rId5">
        <w:r>
          <w:rPr/>
          <w:t>pełniące</w:t>
        </w:r>
        <w:r>
          <w:rPr>
            <w:spacing w:val="-7"/>
          </w:rPr>
          <w:t> </w:t>
        </w:r>
        <w:r>
          <w:rPr/>
          <w:t>te</w:t>
        </w:r>
        <w:r>
          <w:rPr>
            <w:spacing w:val="-6"/>
          </w:rPr>
          <w:t> </w:t>
        </w:r>
        <w:r>
          <w:rPr/>
          <w:t>funkcje</w:t>
        </w:r>
        <w:r>
          <w:rPr>
            <w:spacing w:val="-6"/>
          </w:rPr>
          <w:t> </w:t>
        </w:r>
        <w:r>
          <w:rPr/>
          <w:t>wskazuje</w:t>
        </w:r>
        <w:r>
          <w:rPr>
            <w:spacing w:val="-6"/>
          </w:rPr>
          <w:t> </w:t>
        </w:r>
        <w:r>
          <w:rPr/>
          <w:t>Prezes</w:t>
        </w:r>
        <w:r>
          <w:rPr>
            <w:spacing w:val="-6"/>
          </w:rPr>
          <w:t> </w:t>
        </w:r>
        <w:r>
          <w:rPr>
            <w:spacing w:val="-2"/>
          </w:rPr>
          <w:t>Agencji.</w:t>
        </w:r>
      </w:hyperlink>
    </w:p>
    <w:p>
      <w:pPr>
        <w:spacing w:after="0"/>
        <w:sectPr>
          <w:pgSz w:w="11890" w:h="16810"/>
          <w:pgMar w:top="1040" w:bottom="280" w:left="940" w:right="1680"/>
        </w:sectPr>
      </w:pPr>
    </w:p>
    <w:p>
      <w:pPr>
        <w:pStyle w:val="BodyText"/>
        <w:spacing w:before="4"/>
        <w:ind w:left="0"/>
        <w:rPr>
          <w:sz w:val="17"/>
        </w:rPr>
      </w:pPr>
    </w:p>
    <w:sectPr>
      <w:pgSz w:w="11890" w:h="16810"/>
      <w:pgMar w:top="1920" w:bottom="280" w:left="9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478" w:hanging="3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58" w:hanging="35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37" w:hanging="35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15" w:hanging="35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94" w:hanging="35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73" w:hanging="35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51" w:hanging="35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30" w:hanging="35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08" w:hanging="35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118"/>
      <w:ind w:left="11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18"/>
      <w:ind w:left="476" w:hanging="366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gov.pl/web/arimr/agencja-restrukturyzacji-i-modernizacji-rolnictwa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Julita_Burkiewicz</dc:creator>
  <dcterms:created xsi:type="dcterms:W3CDTF">2024-01-05T14:50:13Z</dcterms:created>
  <dcterms:modified xsi:type="dcterms:W3CDTF">2024-01-05T14:50:13Z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2024-01-05T00:00:00Z</vt:filetime>
  </property>
  <property fmtid="{D5CDD505-2E9C-101B-9397-08002B2CF9AE}" pid="5" name="Producer">
    <vt:lpwstr>Aspose.Words for .NET 16.1.0.0</vt:lpwstr>
  </property>
</Properties>
</file>