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A44" w14:textId="58F6354A" w:rsidR="00D651FA" w:rsidRPr="00ED1D99" w:rsidRDefault="00D651FA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</w:pP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 xml:space="preserve">AGENDA </w:t>
      </w:r>
    </w:p>
    <w:p w14:paraId="118C99FC" w14:textId="29D0B7FF" w:rsidR="00D651FA" w:rsidRPr="00ED1D99" w:rsidRDefault="00D651FA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</w:pP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I Posiedzenie</w:t>
      </w:r>
      <w:r w:rsidR="001A675D"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 xml:space="preserve"> Podkomitetu ds. rozwoju partnerstwa</w:t>
      </w: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 xml:space="preserve"> na lata 2021-2027</w:t>
      </w:r>
    </w:p>
    <w:p w14:paraId="35B778A3" w14:textId="3A33A6EF" w:rsidR="00D864E4" w:rsidRPr="00ED1D99" w:rsidRDefault="00D864E4" w:rsidP="001A675D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</w:pP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2</w:t>
      </w:r>
      <w:r w:rsidR="001A675D"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6</w:t>
      </w: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.0</w:t>
      </w:r>
      <w:r w:rsidR="001A675D"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6</w:t>
      </w: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.2023 r.</w:t>
      </w:r>
    </w:p>
    <w:p w14:paraId="669D115C" w14:textId="6B18E935" w:rsidR="00CD613B" w:rsidRPr="00ED1D99" w:rsidRDefault="0009037B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</w:pP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M</w:t>
      </w:r>
      <w:r w:rsidR="00D651FA"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 xml:space="preserve">iejsce posiedzenia: </w:t>
      </w:r>
    </w:p>
    <w:p w14:paraId="4A6AD2C2" w14:textId="3132519A" w:rsidR="00D651FA" w:rsidRPr="00ED1D99" w:rsidRDefault="00CD613B" w:rsidP="00535DE2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</w:pPr>
      <w:r w:rsidRPr="00ED1D99">
        <w:rPr>
          <w:rFonts w:ascii="Arial Narrow" w:eastAsia="Times New Roman" w:hAnsi="Arial Narrow" w:cs="Arial"/>
          <w:b/>
          <w:color w:val="171717" w:themeColor="background2" w:themeShade="1A"/>
          <w:sz w:val="24"/>
          <w:szCs w:val="24"/>
          <w:lang w:eastAsia="pl-PL"/>
        </w:rPr>
        <w:t>Sala im. G. Gęsickiej, Ministerstwo Funduszy i Polityki Regionalnej, ul. Wspólna 2/4, 00-926 Warszawa</w:t>
      </w:r>
    </w:p>
    <w:tbl>
      <w:tblPr>
        <w:tblW w:w="92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6096"/>
        <w:gridCol w:w="1423"/>
      </w:tblGrid>
      <w:tr w:rsidR="00ED1D99" w:rsidRPr="00ED1D99" w14:paraId="50C18D3F" w14:textId="77777777" w:rsidTr="004109C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F243437" w14:textId="77777777" w:rsidR="00D651FA" w:rsidRPr="00ED1D99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Godzina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AF416B8" w14:textId="77777777" w:rsidR="00D651FA" w:rsidRPr="00ED1D99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Temat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186AAE" w14:textId="77777777" w:rsidR="00D651FA" w:rsidRPr="00ED1D99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Tryb</w:t>
            </w:r>
          </w:p>
        </w:tc>
      </w:tr>
      <w:tr w:rsidR="00ED1D99" w:rsidRPr="00ED1D99" w14:paraId="45E40B10" w14:textId="77777777" w:rsidTr="004109C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BF77A4" w14:textId="39CAB945" w:rsidR="00D06AEB" w:rsidRPr="00ED1D99" w:rsidRDefault="00D06AEB" w:rsidP="00AB563B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9</w:t>
            </w:r>
            <w:r w:rsidR="00535DE2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30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- 10</w:t>
            </w:r>
            <w:r w:rsidR="00535DE2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5DC890" w14:textId="5F3D1837" w:rsidR="00D06AEB" w:rsidRPr="00ED1D99" w:rsidRDefault="00D06AEB" w:rsidP="00CD613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 xml:space="preserve">Rejestracja i kawa powitalna </w:t>
            </w:r>
          </w:p>
        </w:tc>
      </w:tr>
      <w:tr w:rsidR="00ED1D99" w:rsidRPr="00ED1D99" w14:paraId="192974A7" w14:textId="77777777" w:rsidTr="004109C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4836D" w14:textId="4AC8D92C" w:rsidR="00D651FA" w:rsidRPr="00ED1D99" w:rsidRDefault="00D651FA" w:rsidP="00AB563B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-10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1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95AA5" w14:textId="2468D3C3" w:rsidR="00D651FA" w:rsidRPr="00ED1D99" w:rsidRDefault="00D651FA" w:rsidP="00CD613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eastAsia="Calibri" w:hAnsi="Arial Narrow" w:cs="Arial"/>
                <w:b/>
                <w:bCs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 xml:space="preserve">Otwarcie posiedzenia </w:t>
            </w:r>
          </w:p>
          <w:p w14:paraId="7C105212" w14:textId="6C3F637C" w:rsidR="00A42B86" w:rsidRPr="00ED1D99" w:rsidRDefault="00D651FA" w:rsidP="001A675D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Pan</w:t>
            </w:r>
            <w:r w:rsidR="001A675D"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i Renata Calak – Dyrektor Departamentu Strategii w Ministerstwie Funduszy i Polityki Regionalnej</w:t>
            </w:r>
          </w:p>
        </w:tc>
      </w:tr>
      <w:tr w:rsidR="00ED1D99" w:rsidRPr="00ED1D99" w14:paraId="37280D8C" w14:textId="77777777" w:rsidTr="004109C3">
        <w:trPr>
          <w:trHeight w:val="63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5E05" w14:textId="2B1AA41D" w:rsidR="00D864E4" w:rsidRPr="00ED1D99" w:rsidRDefault="00D864E4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0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1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-1</w:t>
            </w:r>
            <w:r w:rsidR="006940E8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0DE" w14:textId="456595C4" w:rsidR="001A675D" w:rsidRDefault="001A675D" w:rsidP="00ED1D99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Prezentacja, dyskusja oraz głosowanie nad przyjęciem regulaminu pracy podkomitetu ds. rozwoju zasady partnerstwa na lata 2021-202</w:t>
            </w:r>
            <w:r w:rsid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7</w:t>
            </w:r>
          </w:p>
          <w:p w14:paraId="652F6AC0" w14:textId="77777777" w:rsidR="00ED1D99" w:rsidRPr="00ED1D99" w:rsidRDefault="00ED1D99" w:rsidP="00ED1D99">
            <w:pPr>
              <w:pStyle w:val="Akapitzlist"/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</w:p>
          <w:p w14:paraId="6638A308" w14:textId="13595607" w:rsidR="00BC225E" w:rsidRPr="00ED1D99" w:rsidRDefault="00BA2E51" w:rsidP="00ED1D99">
            <w:pPr>
              <w:spacing w:before="120" w:after="120" w:line="276" w:lineRule="auto"/>
              <w:ind w:left="343"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Pan</w:t>
            </w:r>
            <w:r w:rsidR="001A675D"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i Agnieszka Kapciak – Zastępca Dyrektora Departamentu Strategii w Ministerstwie Funduszy i Polityki Regionalnej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31C" w14:textId="0E34AF50" w:rsidR="00D864E4" w:rsidRPr="00ED1D99" w:rsidRDefault="006940E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Informacja</w:t>
            </w:r>
            <w:r w:rsidR="001A675D"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 xml:space="preserve">, </w:t>
            </w: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dyskusja</w:t>
            </w:r>
            <w:r w:rsidR="001A675D"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, głosowanie</w:t>
            </w:r>
          </w:p>
        </w:tc>
      </w:tr>
      <w:tr w:rsidR="00ED1D99" w:rsidRPr="00ED1D99" w14:paraId="5A39B158" w14:textId="77777777" w:rsidTr="004109C3">
        <w:trPr>
          <w:trHeight w:val="63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906B" w14:textId="380AC8BE" w:rsidR="006940E8" w:rsidRPr="00ED1D99" w:rsidRDefault="006940E8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11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30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12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621" w14:textId="77777777" w:rsidR="00955773" w:rsidRDefault="00955773" w:rsidP="00955773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</w:p>
          <w:p w14:paraId="615C7E22" w14:textId="4F1FAB45" w:rsidR="00CE0F62" w:rsidRPr="00ED1D99" w:rsidRDefault="00CE0F62" w:rsidP="00955773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Informacja nt. dotychczasowych wyników prac grupy roboczej ds. społeczeństwa obywatelskiego w ramach Komitetu Monitorującego Program Fundusze Europejskie dla Rozwoju Społecznego</w:t>
            </w:r>
          </w:p>
          <w:p w14:paraId="345FD4BD" w14:textId="77777777" w:rsidR="00CE0F62" w:rsidRPr="00ED1D99" w:rsidRDefault="00CE0F62" w:rsidP="00CE0F62">
            <w:pPr>
              <w:spacing w:after="120" w:line="240" w:lineRule="auto"/>
              <w:contextualSpacing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</w:p>
          <w:p w14:paraId="5B713033" w14:textId="77777777" w:rsidR="00CE0F62" w:rsidRPr="00ED1D99" w:rsidRDefault="00CE0F62" w:rsidP="00CE0F62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 xml:space="preserve">Pani Anna Mickiewicz - Zastępca Dyrektora </w:t>
            </w: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Departament</w:t>
            </w:r>
            <w:r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u</w:t>
            </w: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 xml:space="preserve"> Europejskiego Funduszu Społecznego, Ministerstwo Funduszy i Polityki Regionalnej</w:t>
            </w:r>
          </w:p>
          <w:p w14:paraId="17C7254D" w14:textId="77777777" w:rsidR="006940E8" w:rsidRPr="00CE0F62" w:rsidRDefault="006940E8" w:rsidP="00CE0F62">
            <w:pPr>
              <w:spacing w:before="120" w:after="120" w:line="240" w:lineRule="auto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B8F0" w14:textId="0D27ABE3" w:rsidR="006940E8" w:rsidRPr="00ED1D99" w:rsidRDefault="006940E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Informacja i dyskusja</w:t>
            </w:r>
          </w:p>
        </w:tc>
      </w:tr>
      <w:tr w:rsidR="00ED1D99" w:rsidRPr="00ED1D99" w14:paraId="694440CA" w14:textId="77777777" w:rsidTr="004109C3">
        <w:trPr>
          <w:trHeight w:val="52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074B77" w14:textId="44DDB0EE" w:rsidR="000F6170" w:rsidRPr="00ED1D99" w:rsidRDefault="000F6170" w:rsidP="00BA048E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12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30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- 1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2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45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E70F57" w14:textId="3B4E0CB7" w:rsidR="000F6170" w:rsidRPr="00ED1D99" w:rsidRDefault="001A675D" w:rsidP="00BA048E">
            <w:pPr>
              <w:tabs>
                <w:tab w:val="left" w:pos="375"/>
              </w:tabs>
              <w:spacing w:before="120" w:after="120" w:line="276" w:lineRule="auto"/>
              <w:ind w:left="343"/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Przerwa kawowa</w:t>
            </w:r>
          </w:p>
        </w:tc>
      </w:tr>
      <w:tr w:rsidR="00ED1D99" w:rsidRPr="00ED1D99" w14:paraId="0099F892" w14:textId="77777777" w:rsidTr="004109C3">
        <w:trPr>
          <w:trHeight w:val="4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A85A4" w14:textId="5035F947" w:rsidR="00D651FA" w:rsidRPr="00ED1D99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2</w:t>
            </w:r>
            <w:r w:rsidR="00CE0F62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45</w:t>
            </w:r>
            <w:r w:rsidR="00CD613B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- 1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4</w:t>
            </w:r>
            <w:r w:rsidR="001A675D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</w:t>
            </w:r>
            <w:r w:rsidR="00CD4109"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D7AF3" w14:textId="5C1971C8" w:rsidR="0009037B" w:rsidRPr="008E6BDF" w:rsidRDefault="00CE0F62" w:rsidP="008E6BDF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Informacja i dyskusja nt. prezydium podkomitetu oraz zasad funkcjonowania sekretariatu podkomitetu</w:t>
            </w:r>
          </w:p>
          <w:p w14:paraId="430B98F2" w14:textId="77777777" w:rsidR="0009037B" w:rsidRPr="00ED1D99" w:rsidRDefault="0009037B" w:rsidP="001A675D">
            <w:pPr>
              <w:spacing w:after="120" w:line="240" w:lineRule="auto"/>
              <w:contextualSpacing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</w:p>
          <w:p w14:paraId="1A65E169" w14:textId="6A2C7D57" w:rsidR="00A01B01" w:rsidRPr="00ED1D99" w:rsidRDefault="00A01B01" w:rsidP="00A01B01">
            <w:pPr>
              <w:spacing w:before="120" w:after="120" w:line="240" w:lineRule="auto"/>
              <w:ind w:left="360"/>
              <w:contextualSpacing/>
              <w:rPr>
                <w:rFonts w:ascii="Arial Narrow" w:eastAsia="Calibri" w:hAnsi="Arial Narrow" w:cs="Arial"/>
                <w:b/>
                <w:bCs/>
                <w:color w:val="171717" w:themeColor="background2" w:themeShade="1A"/>
                <w:lang w:eastAsia="en-I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C7650" w14:textId="556262C8" w:rsidR="00D651FA" w:rsidRPr="00ED1D99" w:rsidRDefault="00A01B01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 xml:space="preserve">Informacja i </w:t>
            </w:r>
            <w:r w:rsidR="00D651FA"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Dyskusja</w:t>
            </w:r>
          </w:p>
          <w:p w14:paraId="5185444C" w14:textId="20BD4F67" w:rsidR="00504304" w:rsidRPr="00ED1D99" w:rsidRDefault="00504304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</w:p>
        </w:tc>
      </w:tr>
      <w:tr w:rsidR="00ED1D99" w:rsidRPr="00ED1D99" w14:paraId="4587B2BC" w14:textId="77777777" w:rsidTr="004109C3">
        <w:trPr>
          <w:trHeight w:val="4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AE2A" w14:textId="3BB58EF1" w:rsidR="004109C3" w:rsidRPr="00ED1D99" w:rsidRDefault="004109C3" w:rsidP="004109C3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14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00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-15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C2A5" w14:textId="33D11A69" w:rsidR="004109C3" w:rsidRPr="00ED1D99" w:rsidRDefault="004109C3" w:rsidP="004109C3">
            <w:pPr>
              <w:numPr>
                <w:ilvl w:val="0"/>
                <w:numId w:val="3"/>
              </w:numPr>
              <w:spacing w:before="120"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  <w:lang w:eastAsia="en-IE"/>
              </w:rPr>
            </w:pP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Sprawy różne – tematy proponowane do podjęcia przez członków podkomitetu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0DAD3" w14:textId="454FA8B9" w:rsidR="004109C3" w:rsidRPr="00ED1D99" w:rsidRDefault="004109C3" w:rsidP="004109C3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>Informacja i Dyskusja</w:t>
            </w:r>
          </w:p>
        </w:tc>
      </w:tr>
      <w:tr w:rsidR="00ED1D99" w:rsidRPr="00ED1D99" w14:paraId="17A2E80F" w14:textId="77777777" w:rsidTr="004109C3">
        <w:trPr>
          <w:trHeight w:val="4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8FE0E9" w14:textId="6215995A" w:rsidR="004109C3" w:rsidRPr="00ED1D99" w:rsidRDefault="004109C3" w:rsidP="004109C3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</w:pP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</w:rPr>
              <w:t>15</w:t>
            </w:r>
            <w:r w:rsidRPr="00ED1D99">
              <w:rPr>
                <w:rFonts w:ascii="Arial Narrow" w:eastAsia="Times New Roman" w:hAnsi="Arial Narrow" w:cs="Arial"/>
                <w:b/>
                <w:bCs/>
                <w:color w:val="171717" w:themeColor="background2" w:themeShade="1A"/>
                <w:vertAlign w:val="superscript"/>
              </w:rPr>
              <w:t>00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01D707" w14:textId="17C36F2D" w:rsidR="004109C3" w:rsidRPr="00ED1D99" w:rsidRDefault="004109C3" w:rsidP="004109C3">
            <w:pPr>
              <w:tabs>
                <w:tab w:val="left" w:pos="375"/>
              </w:tabs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</w:pPr>
            <w:r w:rsidRPr="00ED1D99">
              <w:rPr>
                <w:rFonts w:ascii="Arial Narrow" w:eastAsia="Calibri" w:hAnsi="Arial Narrow" w:cs="Arial"/>
                <w:bCs/>
                <w:i/>
                <w:color w:val="171717" w:themeColor="background2" w:themeShade="1A"/>
              </w:rPr>
              <w:t xml:space="preserve"> </w:t>
            </w:r>
            <w:r w:rsidRPr="00ED1D99">
              <w:rPr>
                <w:rFonts w:ascii="Arial Narrow" w:hAnsi="Arial Narrow" w:cs="Arial"/>
                <w:b/>
                <w:bCs/>
                <w:color w:val="171717" w:themeColor="background2" w:themeShade="1A"/>
                <w:lang w:eastAsia="en-IE"/>
              </w:rPr>
              <w:t>Lunch</w:t>
            </w:r>
          </w:p>
        </w:tc>
      </w:tr>
    </w:tbl>
    <w:p w14:paraId="5FD13257" w14:textId="77777777" w:rsidR="002A7322" w:rsidRDefault="002A7322"/>
    <w:sectPr w:rsidR="002A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6275"/>
    <w:multiLevelType w:val="hybridMultilevel"/>
    <w:tmpl w:val="9CE0D0C4"/>
    <w:lvl w:ilvl="0" w:tplc="225802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FA416F"/>
    <w:multiLevelType w:val="hybridMultilevel"/>
    <w:tmpl w:val="8708A62A"/>
    <w:lvl w:ilvl="0" w:tplc="4880A2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03D9D"/>
    <w:multiLevelType w:val="multilevel"/>
    <w:tmpl w:val="11C063E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3E52"/>
    <w:multiLevelType w:val="hybridMultilevel"/>
    <w:tmpl w:val="2ED8743E"/>
    <w:lvl w:ilvl="0" w:tplc="432EAF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A6"/>
    <w:rsid w:val="0009037B"/>
    <w:rsid w:val="000F1C92"/>
    <w:rsid w:val="000F6170"/>
    <w:rsid w:val="00123A38"/>
    <w:rsid w:val="001A675D"/>
    <w:rsid w:val="001C3FB8"/>
    <w:rsid w:val="002A7322"/>
    <w:rsid w:val="002D0011"/>
    <w:rsid w:val="0031632D"/>
    <w:rsid w:val="003466A6"/>
    <w:rsid w:val="0039590C"/>
    <w:rsid w:val="004109C3"/>
    <w:rsid w:val="004B55CD"/>
    <w:rsid w:val="004F3C0F"/>
    <w:rsid w:val="00504304"/>
    <w:rsid w:val="00530ACC"/>
    <w:rsid w:val="00535DE2"/>
    <w:rsid w:val="00662E67"/>
    <w:rsid w:val="00686DCB"/>
    <w:rsid w:val="006940E8"/>
    <w:rsid w:val="00733FD9"/>
    <w:rsid w:val="00763711"/>
    <w:rsid w:val="007D1114"/>
    <w:rsid w:val="00860A92"/>
    <w:rsid w:val="008B583D"/>
    <w:rsid w:val="008E6BDF"/>
    <w:rsid w:val="00900860"/>
    <w:rsid w:val="009035B7"/>
    <w:rsid w:val="00916F7A"/>
    <w:rsid w:val="00955773"/>
    <w:rsid w:val="00A01B01"/>
    <w:rsid w:val="00A42B86"/>
    <w:rsid w:val="00AE0307"/>
    <w:rsid w:val="00B14A16"/>
    <w:rsid w:val="00BA2E51"/>
    <w:rsid w:val="00BC225E"/>
    <w:rsid w:val="00C57CB3"/>
    <w:rsid w:val="00C928D4"/>
    <w:rsid w:val="00CD4109"/>
    <w:rsid w:val="00CD613B"/>
    <w:rsid w:val="00CE0F62"/>
    <w:rsid w:val="00D06AEB"/>
    <w:rsid w:val="00D62D03"/>
    <w:rsid w:val="00D651FA"/>
    <w:rsid w:val="00D864E4"/>
    <w:rsid w:val="00E53AC8"/>
    <w:rsid w:val="00ED1D99"/>
    <w:rsid w:val="00F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DFB"/>
  <w15:chartTrackingRefBased/>
  <w15:docId w15:val="{95EA2A2E-686D-468D-8A80-62943F4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304"/>
    <w:pPr>
      <w:ind w:left="720"/>
      <w:contextualSpacing/>
    </w:pPr>
  </w:style>
  <w:style w:type="numbering" w:customStyle="1" w:styleId="Biecalista1">
    <w:name w:val="Bieżąca lista1"/>
    <w:uiPriority w:val="99"/>
    <w:rsid w:val="00D06AE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ED37-6E01-49E7-BCCB-C889720E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Szymecka-Matysiak Ewelina</dc:creator>
  <cp:keywords/>
  <dc:description/>
  <cp:lastModifiedBy>Grodzki Maciej</cp:lastModifiedBy>
  <cp:revision>21</cp:revision>
  <dcterms:created xsi:type="dcterms:W3CDTF">2023-02-14T14:37:00Z</dcterms:created>
  <dcterms:modified xsi:type="dcterms:W3CDTF">2023-06-23T10:19:00Z</dcterms:modified>
</cp:coreProperties>
</file>