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F4C09" w14:textId="77777777" w:rsidR="00CE7977" w:rsidRDefault="00CE797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14:paraId="3484EB95" w14:textId="77777777" w:rsid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14:paraId="6A4E85B3" w14:textId="77777777" w:rsidR="00BC248F" w:rsidRPr="00BC248F" w:rsidRDefault="00BC248F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BC248F">
        <w:rPr>
          <w:rFonts w:ascii="Arial" w:eastAsia="Times New Roman" w:hAnsi="Arial" w:cs="Arial"/>
          <w:sz w:val="16"/>
          <w:szCs w:val="16"/>
        </w:rPr>
        <w:t xml:space="preserve">Załącznik nr 1 do </w:t>
      </w:r>
    </w:p>
    <w:p w14:paraId="616C044F" w14:textId="34E140CA" w:rsidR="00BC248F" w:rsidRPr="00BC248F" w:rsidRDefault="008845A6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Uchwały nr 797</w:t>
      </w:r>
      <w:bookmarkStart w:id="0" w:name="_GoBack"/>
      <w:bookmarkEnd w:id="0"/>
      <w:r w:rsidR="00617D33">
        <w:rPr>
          <w:rFonts w:ascii="Arial" w:eastAsia="Times New Roman" w:hAnsi="Arial" w:cs="Arial"/>
          <w:sz w:val="16"/>
          <w:szCs w:val="16"/>
        </w:rPr>
        <w:t>/250</w:t>
      </w:r>
      <w:r w:rsidR="00BC248F" w:rsidRPr="00BC248F">
        <w:rPr>
          <w:rFonts w:ascii="Arial" w:eastAsia="Times New Roman" w:hAnsi="Arial" w:cs="Arial"/>
          <w:sz w:val="16"/>
          <w:szCs w:val="16"/>
        </w:rPr>
        <w:t>/17</w:t>
      </w:r>
    </w:p>
    <w:p w14:paraId="07EE3434" w14:textId="77777777" w:rsidR="00BC248F" w:rsidRPr="00BC248F" w:rsidRDefault="00BC248F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 w:rsidRPr="00BC248F">
        <w:rPr>
          <w:rFonts w:ascii="Arial" w:eastAsia="Times New Roman" w:hAnsi="Arial" w:cs="Arial"/>
          <w:sz w:val="16"/>
          <w:szCs w:val="16"/>
        </w:rPr>
        <w:t>Zarządu Województwa Pomorskiego</w:t>
      </w:r>
    </w:p>
    <w:p w14:paraId="585558C6" w14:textId="490D079E" w:rsidR="00BC248F" w:rsidRPr="00BC248F" w:rsidRDefault="00617D33" w:rsidP="00BC248F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z dnia 11 lipca</w:t>
      </w:r>
      <w:r w:rsidR="00BC248F" w:rsidRPr="00BC248F">
        <w:rPr>
          <w:rFonts w:ascii="Arial" w:eastAsia="Times New Roman" w:hAnsi="Arial" w:cs="Arial"/>
          <w:sz w:val="16"/>
          <w:szCs w:val="16"/>
        </w:rPr>
        <w:t xml:space="preserve"> 2017 roku</w:t>
      </w:r>
    </w:p>
    <w:p w14:paraId="5D3B925F" w14:textId="77777777" w:rsidR="007061C7" w:rsidRPr="007061C7" w:rsidRDefault="007061C7" w:rsidP="007061C7">
      <w:pPr>
        <w:spacing w:after="0"/>
        <w:ind w:left="11328"/>
        <w:rPr>
          <w:rFonts w:ascii="Arial" w:eastAsia="Times New Roman" w:hAnsi="Arial" w:cs="Arial"/>
          <w:sz w:val="16"/>
          <w:szCs w:val="16"/>
        </w:rPr>
      </w:pPr>
    </w:p>
    <w:p w14:paraId="516B3CAC" w14:textId="56E910F5" w:rsidR="00710FBA" w:rsidRDefault="0015362A" w:rsidP="007061C7">
      <w:pPr>
        <w:jc w:val="both"/>
      </w:pPr>
      <w:r>
        <w:t>Rejestr zmian do r</w:t>
      </w:r>
      <w:r w:rsidRPr="007061C7">
        <w:t xml:space="preserve">egulamin </w:t>
      </w:r>
      <w:r w:rsidRPr="00A463D0">
        <w:t xml:space="preserve">konkursu </w:t>
      </w:r>
      <w:r w:rsidRPr="00B94524">
        <w:t xml:space="preserve">numer </w:t>
      </w:r>
      <w:r w:rsidRPr="009D1B82">
        <w:rPr>
          <w:b/>
        </w:rPr>
        <w:t>RPPM.06.02.02-IZ.00-22-00</w:t>
      </w:r>
      <w:r>
        <w:rPr>
          <w:b/>
        </w:rPr>
        <w:t>2</w:t>
      </w:r>
      <w:r w:rsidRPr="009D1B82">
        <w:rPr>
          <w:b/>
        </w:rPr>
        <w:t>/17</w:t>
      </w:r>
      <w:r w:rsidRPr="00B94524">
        <w:rPr>
          <w:rFonts w:ascii="Calibri" w:eastAsia="Calibri" w:hAnsi="Calibri" w:cs="Times New Roman"/>
        </w:rPr>
        <w:t xml:space="preserve"> </w:t>
      </w:r>
      <w:r w:rsidRPr="00A463D0">
        <w:t xml:space="preserve">dla Działania </w:t>
      </w:r>
      <w:r>
        <w:t>6.2.</w:t>
      </w:r>
      <w:r w:rsidRPr="007061C7">
        <w:t xml:space="preserve"> </w:t>
      </w:r>
      <w:r>
        <w:t xml:space="preserve">Usługi społeczne, Poddziałania 6.2.2. Rozwój usług społecznych w ramach Osi Priorytetowej 6 Integracja </w:t>
      </w:r>
      <w:r w:rsidRPr="007061C7">
        <w:t>Regionalnego Programu Operacyjnego Województwa Pomorskiego na lata 2014-2020</w:t>
      </w:r>
      <w:r w:rsidR="007061C7">
        <w:t>.</w:t>
      </w:r>
    </w:p>
    <w:tbl>
      <w:tblPr>
        <w:tblStyle w:val="Tabela-Siatka"/>
        <w:tblpPr w:leftFromText="141" w:rightFromText="141" w:vertAnchor="text" w:tblpXSpec="right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1033"/>
        <w:gridCol w:w="3489"/>
        <w:gridCol w:w="9620"/>
      </w:tblGrid>
      <w:tr w:rsidR="00710FBA" w:rsidRPr="007061C7" w14:paraId="6CF80B6B" w14:textId="77777777" w:rsidTr="00A927CC">
        <w:trPr>
          <w:tblHeader/>
        </w:trPr>
        <w:tc>
          <w:tcPr>
            <w:tcW w:w="1033" w:type="dxa"/>
            <w:shd w:val="clear" w:color="auto" w:fill="548DD4" w:themeFill="text2" w:themeFillTint="99"/>
            <w:vAlign w:val="center"/>
          </w:tcPr>
          <w:p w14:paraId="1A037D7C" w14:textId="77777777" w:rsidR="00710FBA" w:rsidRPr="00CE7977" w:rsidRDefault="00CE7977" w:rsidP="00A927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</w:t>
            </w:r>
          </w:p>
          <w:p w14:paraId="12F1C036" w14:textId="77777777" w:rsidR="00710FBA" w:rsidRPr="00CE7977" w:rsidRDefault="00CE7977" w:rsidP="00A927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ZMIANY</w:t>
            </w:r>
          </w:p>
        </w:tc>
        <w:tc>
          <w:tcPr>
            <w:tcW w:w="3489" w:type="dxa"/>
            <w:shd w:val="clear" w:color="auto" w:fill="548DD4" w:themeFill="text2" w:themeFillTint="99"/>
            <w:vAlign w:val="center"/>
          </w:tcPr>
          <w:p w14:paraId="5F679A01" w14:textId="77777777" w:rsidR="00710FBA" w:rsidRPr="00CE7977" w:rsidRDefault="00CE7977" w:rsidP="00A927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NR I TYTUŁ ROZDZIAŁU</w:t>
            </w:r>
          </w:p>
          <w:p w14:paraId="248BEFA8" w14:textId="77777777" w:rsidR="00710FBA" w:rsidRPr="00CE7977" w:rsidRDefault="00CE7977" w:rsidP="00A927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(FRAGMENTU) DOKUMENTU</w:t>
            </w:r>
          </w:p>
        </w:tc>
        <w:tc>
          <w:tcPr>
            <w:tcW w:w="9620" w:type="dxa"/>
            <w:shd w:val="clear" w:color="auto" w:fill="548DD4" w:themeFill="text2" w:themeFillTint="99"/>
            <w:vAlign w:val="center"/>
          </w:tcPr>
          <w:p w14:paraId="2775CAF6" w14:textId="77777777" w:rsidR="00710FBA" w:rsidRPr="00CE7977" w:rsidRDefault="00CE7977" w:rsidP="00A927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E7977">
              <w:rPr>
                <w:b/>
                <w:color w:val="FFFFFF" w:themeColor="background1"/>
                <w:sz w:val="24"/>
                <w:szCs w:val="24"/>
              </w:rPr>
              <w:t>ZAKRES ZMIANY</w:t>
            </w:r>
          </w:p>
        </w:tc>
      </w:tr>
      <w:tr w:rsidR="00E4093A" w:rsidRPr="00FC7FC2" w14:paraId="39A4BF98" w14:textId="77777777" w:rsidTr="00E4093A">
        <w:tc>
          <w:tcPr>
            <w:tcW w:w="1033" w:type="dxa"/>
          </w:tcPr>
          <w:p w14:paraId="0FC03C18" w14:textId="56345125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>1</w:t>
            </w:r>
          </w:p>
        </w:tc>
        <w:tc>
          <w:tcPr>
            <w:tcW w:w="3489" w:type="dxa"/>
            <w:shd w:val="clear" w:color="auto" w:fill="auto"/>
          </w:tcPr>
          <w:p w14:paraId="11A4D3C8" w14:textId="77777777" w:rsidR="00E4093A" w:rsidRDefault="00E4093A" w:rsidP="00E4093A">
            <w:pPr>
              <w:rPr>
                <w:rFonts w:cstheme="minorHAnsi"/>
                <w:b/>
              </w:rPr>
            </w:pPr>
            <w:r w:rsidRPr="005E584D">
              <w:rPr>
                <w:rFonts w:cstheme="minorHAnsi"/>
                <w:b/>
              </w:rPr>
              <w:t>Regulamin</w:t>
            </w:r>
          </w:p>
          <w:p w14:paraId="68E7CED1" w14:textId="4972CCAF" w:rsidR="004A6E22" w:rsidRPr="005E584D" w:rsidRDefault="004A6E22" w:rsidP="00E4093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1.12 Termin składania wniosków </w:t>
            </w:r>
            <w:r>
              <w:rPr>
                <w:rFonts w:cstheme="minorHAnsi"/>
              </w:rPr>
              <w:br/>
              <w:t>o dofinansowanie projektów w konkursie</w:t>
            </w:r>
          </w:p>
        </w:tc>
        <w:tc>
          <w:tcPr>
            <w:tcW w:w="9620" w:type="dxa"/>
          </w:tcPr>
          <w:p w14:paraId="1083A1E1" w14:textId="4A52E552" w:rsidR="00E4093A" w:rsidRDefault="00E4093A" w:rsidP="00E4093A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 związku z postulatami potencjalnych wnioskodawców o wydłużenie terminu naboru z uwagi na specyfikę konkursu niezbędne jest wprowadzenie zmian w tym zakresie do treści Regulaminu konkursu. Zmianie ulegają zapisy Rozdziału 1 Podstawowe informacje</w:t>
            </w:r>
            <w:r w:rsidR="00E14D6F">
              <w:rPr>
                <w:rFonts w:cstheme="minorHAnsi"/>
              </w:rPr>
              <w:t xml:space="preserve"> o konkursie, podrozdziału 1.12</w:t>
            </w:r>
            <w:r>
              <w:rPr>
                <w:rFonts w:cstheme="minorHAnsi"/>
              </w:rPr>
              <w:t xml:space="preserve"> Termin składania wniosków o dofinansowanie projektów w konkursie, w którym wydłużeniu ulega termin składania wniosków o dofinansowanie projektu w brzmieniu:   </w:t>
            </w:r>
            <w:r>
              <w:rPr>
                <w:b/>
              </w:rPr>
              <w:t xml:space="preserve">30 czerwca 2017 roku </w:t>
            </w:r>
            <w:r w:rsidRPr="001C3038">
              <w:rPr>
                <w:b/>
              </w:rPr>
              <w:t xml:space="preserve">do </w:t>
            </w:r>
            <w:r>
              <w:rPr>
                <w:b/>
              </w:rPr>
              <w:t>16 sierpnia 2017 roku – było</w:t>
            </w:r>
            <w:r w:rsidR="00E14D6F">
              <w:rPr>
                <w:b/>
              </w:rPr>
              <w:t>:</w:t>
            </w:r>
            <w:r>
              <w:rPr>
                <w:b/>
              </w:rPr>
              <w:t xml:space="preserve"> 30 czerwca 2017 roku </w:t>
            </w:r>
            <w:r w:rsidRPr="001C3038">
              <w:rPr>
                <w:b/>
              </w:rPr>
              <w:t xml:space="preserve">do </w:t>
            </w:r>
            <w:r>
              <w:rPr>
                <w:b/>
              </w:rPr>
              <w:t>21 lipca</w:t>
            </w:r>
            <w:r w:rsidRPr="001C3038">
              <w:rPr>
                <w:b/>
              </w:rPr>
              <w:t xml:space="preserve"> 2017 roku.</w:t>
            </w:r>
          </w:p>
          <w:p w14:paraId="4037D9A1" w14:textId="24E5F0E8" w:rsidR="00E4093A" w:rsidRPr="0094504C" w:rsidRDefault="00E4093A" w:rsidP="00E4093A">
            <w:pPr>
              <w:widowControl w:val="0"/>
              <w:rPr>
                <w:rFonts w:cstheme="minorHAnsi"/>
              </w:rPr>
            </w:pPr>
          </w:p>
        </w:tc>
      </w:tr>
      <w:tr w:rsidR="00E4093A" w:rsidRPr="00FC7FC2" w14:paraId="62488CB8" w14:textId="77777777" w:rsidTr="00E4093A">
        <w:tc>
          <w:tcPr>
            <w:tcW w:w="1033" w:type="dxa"/>
          </w:tcPr>
          <w:p w14:paraId="70F54CCD" w14:textId="3019E5D7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>2</w:t>
            </w:r>
          </w:p>
        </w:tc>
        <w:tc>
          <w:tcPr>
            <w:tcW w:w="3489" w:type="dxa"/>
            <w:shd w:val="clear" w:color="auto" w:fill="auto"/>
          </w:tcPr>
          <w:p w14:paraId="0D9039DB" w14:textId="6302F338" w:rsidR="00E4093A" w:rsidRPr="005E584D" w:rsidRDefault="00E4093A" w:rsidP="00E4093A">
            <w:pPr>
              <w:rPr>
                <w:rFonts w:cstheme="minorHAnsi"/>
                <w:b/>
              </w:rPr>
            </w:pPr>
            <w:r w:rsidRPr="005E584D">
              <w:rPr>
                <w:rFonts w:cstheme="minorHAnsi"/>
                <w:b/>
              </w:rPr>
              <w:t>Regulamin</w:t>
            </w:r>
          </w:p>
        </w:tc>
        <w:tc>
          <w:tcPr>
            <w:tcW w:w="9620" w:type="dxa"/>
          </w:tcPr>
          <w:p w14:paraId="1DED55E2" w14:textId="0661ACCE" w:rsidR="00E4093A" w:rsidRDefault="00E4093A" w:rsidP="00E4093A">
            <w:pPr>
              <w:widowControl w:val="0"/>
              <w:rPr>
                <w:rFonts w:cstheme="minorHAnsi"/>
              </w:rPr>
            </w:pPr>
            <w:r w:rsidRPr="005E584D">
              <w:rPr>
                <w:rFonts w:cstheme="minorHAnsi"/>
              </w:rPr>
              <w:t>Dostosowano treść Regulaminu do potrzeb osób z niepełnosprawnościami:- zastąpiono nazwy adresów stron internetowych prawidłowo opisanymi hiperlinkami tych stron:</w:t>
            </w:r>
          </w:p>
          <w:p w14:paraId="415CE73D" w14:textId="77777777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cstheme="minorHAnsi"/>
              </w:rPr>
            </w:pPr>
            <w:r w:rsidRPr="005E584D">
              <w:rPr>
                <w:rFonts w:cstheme="minorHAnsi"/>
              </w:rPr>
              <w:t>jest: na</w:t>
            </w:r>
            <w:r w:rsidRPr="005E584D">
              <w:rPr>
                <w:rFonts w:cstheme="minorHAnsi"/>
                <w:iCs/>
              </w:rPr>
              <w:t xml:space="preserve"> stronie internetowej </w:t>
            </w:r>
            <w:hyperlink r:id="rId8" w:history="1">
              <w:r w:rsidRPr="005E584D">
                <w:rPr>
                  <w:rFonts w:cstheme="minorHAnsi"/>
                  <w:iCs/>
                  <w:color w:val="0000FF" w:themeColor="hyperlink"/>
                  <w:u w:val="single"/>
                </w:rPr>
                <w:t xml:space="preserve">Regionalnego Programu Operacyjnego Województwa Pomorskiego na lata 2014-2020 </w:t>
              </w:r>
            </w:hyperlink>
            <w:r w:rsidRPr="005E584D">
              <w:rPr>
                <w:rFonts w:cstheme="minorHAnsi"/>
                <w:iCs/>
                <w:color w:val="0000FF" w:themeColor="hyperlink"/>
                <w:u w:val="single"/>
              </w:rPr>
              <w:t xml:space="preserve">– </w:t>
            </w:r>
            <w:r w:rsidRPr="005E584D">
              <w:rPr>
                <w:rFonts w:cstheme="minorHAnsi"/>
                <w:iCs/>
                <w:u w:val="single"/>
              </w:rPr>
              <w:t>zwana dalej stroną internetową RPO WP 2014-2020</w:t>
            </w:r>
            <w:r w:rsidRPr="005E584D">
              <w:rPr>
                <w:rFonts w:cstheme="minorHAnsi"/>
                <w:iCs/>
              </w:rPr>
              <w:t xml:space="preserve"> </w:t>
            </w:r>
            <w:r w:rsidRPr="005E584D">
              <w:rPr>
                <w:rFonts w:cstheme="minorHAnsi"/>
                <w:iCs/>
              </w:rPr>
              <w:br/>
              <w:t xml:space="preserve">– było: </w:t>
            </w:r>
            <w:hyperlink r:id="rId9" w:history="1">
              <w:r w:rsidRPr="005E584D">
                <w:rPr>
                  <w:rStyle w:val="Hipercze"/>
                  <w:rFonts w:cstheme="minorHAnsi"/>
                </w:rPr>
                <w:t>www.rpo.pomorskie.eu</w:t>
              </w:r>
            </w:hyperlink>
            <w:r w:rsidRPr="005E584D">
              <w:rPr>
                <w:rFonts w:cstheme="minorHAnsi"/>
              </w:rPr>
              <w:t xml:space="preserve"> </w:t>
            </w:r>
          </w:p>
          <w:p w14:paraId="241FD419" w14:textId="77777777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Style w:val="Hipercze"/>
                <w:rFonts w:cstheme="minorHAnsi"/>
                <w:color w:val="auto"/>
                <w:u w:val="none"/>
              </w:rPr>
            </w:pPr>
            <w:r w:rsidRPr="005E584D">
              <w:rPr>
                <w:rFonts w:cstheme="minorHAnsi"/>
              </w:rPr>
              <w:t xml:space="preserve">jest: </w:t>
            </w:r>
            <w:hyperlink r:id="rId10" w:history="1">
              <w:r w:rsidRPr="005E584D">
                <w:rPr>
                  <w:rStyle w:val="Hipercze"/>
                  <w:rFonts w:cstheme="minorHAnsi"/>
                </w:rPr>
                <w:t>Portal Funduszy Europejskich</w:t>
              </w:r>
            </w:hyperlink>
            <w:r w:rsidRPr="005E584D">
              <w:rPr>
                <w:rStyle w:val="Hipercze"/>
                <w:rFonts w:cstheme="minorHAnsi"/>
                <w:u w:val="none"/>
              </w:rPr>
              <w:t xml:space="preserve"> </w:t>
            </w:r>
            <w:r w:rsidRPr="005E584D">
              <w:rPr>
                <w:rStyle w:val="Hipercze"/>
                <w:rFonts w:cstheme="minorHAnsi"/>
                <w:u w:val="none"/>
              </w:rPr>
              <w:br/>
            </w:r>
            <w:r w:rsidRPr="005E584D">
              <w:rPr>
                <w:rStyle w:val="Hipercze"/>
                <w:rFonts w:cstheme="minorHAnsi"/>
                <w:color w:val="auto"/>
                <w:u w:val="none"/>
              </w:rPr>
              <w:t>– było:</w:t>
            </w:r>
            <w:r w:rsidRPr="005E584D">
              <w:rPr>
                <w:rStyle w:val="Hipercze"/>
                <w:rFonts w:cstheme="minorHAnsi"/>
                <w:color w:val="auto"/>
              </w:rPr>
              <w:t xml:space="preserve"> </w:t>
            </w:r>
            <w:hyperlink r:id="rId11" w:history="1">
              <w:r w:rsidRPr="005E584D">
                <w:rPr>
                  <w:rStyle w:val="Hipercze"/>
                  <w:rFonts w:cstheme="minorHAnsi"/>
                </w:rPr>
                <w:t>www.funduszeeuropejskie.gov.pl</w:t>
              </w:r>
            </w:hyperlink>
            <w:r w:rsidRPr="005E584D">
              <w:rPr>
                <w:rStyle w:val="Hipercze"/>
                <w:rFonts w:cstheme="minorHAnsi"/>
                <w:color w:val="auto"/>
              </w:rPr>
              <w:t xml:space="preserve"> </w:t>
            </w:r>
          </w:p>
          <w:p w14:paraId="74187AC0" w14:textId="77777777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Style w:val="Hipercze"/>
                <w:rFonts w:cstheme="minorHAnsi"/>
                <w:color w:val="auto"/>
                <w:u w:val="none"/>
              </w:rPr>
            </w:pPr>
            <w:r w:rsidRPr="005E584D">
              <w:rPr>
                <w:rFonts w:cstheme="minorHAnsi"/>
              </w:rPr>
              <w:t xml:space="preserve">jest: </w:t>
            </w:r>
            <w:hyperlink r:id="rId12" w:history="1">
              <w:r w:rsidRPr="005E584D">
                <w:rPr>
                  <w:rStyle w:val="Hipercze"/>
                  <w:rFonts w:cstheme="minorHAnsi"/>
                </w:rPr>
                <w:t>Ministerstwa Rozwoju</w:t>
              </w:r>
            </w:hyperlink>
            <w:r w:rsidRPr="005E584D">
              <w:rPr>
                <w:rStyle w:val="Hipercze"/>
                <w:rFonts w:cstheme="minorHAnsi"/>
              </w:rPr>
              <w:t xml:space="preserve"> </w:t>
            </w:r>
            <w:r w:rsidRPr="005E584D">
              <w:rPr>
                <w:rStyle w:val="Hipercze"/>
                <w:rFonts w:cstheme="minorHAnsi"/>
              </w:rPr>
              <w:br/>
            </w:r>
            <w:r w:rsidRPr="005E584D">
              <w:rPr>
                <w:rStyle w:val="Hipercze"/>
                <w:rFonts w:cstheme="minorHAnsi"/>
                <w:color w:val="auto"/>
                <w:u w:val="none"/>
              </w:rPr>
              <w:t>– było:</w:t>
            </w:r>
            <w:r w:rsidRPr="005E584D">
              <w:rPr>
                <w:rStyle w:val="Hipercze"/>
                <w:rFonts w:cstheme="minorHAnsi"/>
                <w:color w:val="auto"/>
              </w:rPr>
              <w:t xml:space="preserve"> </w:t>
            </w:r>
            <w:hyperlink r:id="rId13" w:history="1">
              <w:r w:rsidRPr="005E584D">
                <w:rPr>
                  <w:rStyle w:val="Hipercze"/>
                  <w:rFonts w:cstheme="minorHAnsi"/>
                </w:rPr>
                <w:t>www.mr.gov.pl</w:t>
              </w:r>
            </w:hyperlink>
          </w:p>
          <w:p w14:paraId="6A2A1660" w14:textId="77777777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jest: na stronie internetowej </w:t>
            </w:r>
            <w:hyperlink r:id="rId14" w:history="1">
              <w:r w:rsidRPr="005E584D">
                <w:rPr>
                  <w:rFonts w:cstheme="minorHAnsi"/>
                  <w:color w:val="0000FF" w:themeColor="hyperlink"/>
                  <w:u w:val="single"/>
                </w:rPr>
                <w:t xml:space="preserve">RPO WP 2014-2020 </w:t>
              </w:r>
            </w:hyperlink>
            <w:r w:rsidRPr="005E584D">
              <w:rPr>
                <w:rFonts w:cstheme="minorHAnsi"/>
                <w:color w:val="0000FF" w:themeColor="hyperlink"/>
                <w:u w:val="single"/>
              </w:rPr>
              <w:br/>
            </w:r>
            <w:r w:rsidRPr="005E584D">
              <w:rPr>
                <w:rFonts w:cstheme="minorHAnsi"/>
              </w:rPr>
              <w:t xml:space="preserve">– było: </w:t>
            </w:r>
            <w:hyperlink r:id="rId15" w:history="1">
              <w:r w:rsidRPr="005E584D">
                <w:rPr>
                  <w:rStyle w:val="Hipercze"/>
                  <w:rFonts w:cstheme="minorHAnsi"/>
                </w:rPr>
                <w:t>www.rpo.pomorskie.eu</w:t>
              </w:r>
            </w:hyperlink>
            <w:r w:rsidRPr="005E584D">
              <w:rPr>
                <w:rFonts w:cstheme="minorHAnsi"/>
                <w:color w:val="0000FF" w:themeColor="hyperlink"/>
                <w:u w:val="single"/>
              </w:rPr>
              <w:t xml:space="preserve"> </w:t>
            </w:r>
          </w:p>
          <w:p w14:paraId="6BA9602D" w14:textId="77777777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cstheme="minorHAnsi"/>
              </w:rPr>
            </w:pPr>
            <w:r w:rsidRPr="005E584D">
              <w:rPr>
                <w:rFonts w:cstheme="minorHAnsi"/>
                <w:color w:val="0000FF" w:themeColor="hyperlink"/>
                <w:u w:val="single"/>
              </w:rPr>
              <w:t xml:space="preserve">jest: </w:t>
            </w:r>
            <w:r w:rsidRPr="005E584D">
              <w:rPr>
                <w:rFonts w:cstheme="minorHAnsi"/>
                <w:bCs/>
              </w:rPr>
              <w:t xml:space="preserve"> na stronie internetowej </w:t>
            </w:r>
            <w:hyperlink r:id="rId16" w:history="1">
              <w:r w:rsidRPr="005E584D">
                <w:rPr>
                  <w:rStyle w:val="Hipercze"/>
                  <w:rFonts w:cstheme="minorHAnsi"/>
                  <w:bCs/>
                </w:rPr>
                <w:t>Generatora Wniosków Aplikacyjnych</w:t>
              </w:r>
            </w:hyperlink>
            <w:r w:rsidRPr="005E584D">
              <w:rPr>
                <w:rFonts w:cstheme="minorHAnsi"/>
                <w:bCs/>
              </w:rPr>
              <w:t xml:space="preserve"> </w:t>
            </w:r>
            <w:r w:rsidRPr="005E584D">
              <w:rPr>
                <w:rFonts w:cstheme="minorHAnsi"/>
                <w:bCs/>
              </w:rPr>
              <w:br/>
              <w:t xml:space="preserve">– było </w:t>
            </w:r>
            <w:hyperlink r:id="rId17" w:history="1">
              <w:r w:rsidRPr="005E584D">
                <w:rPr>
                  <w:rStyle w:val="Hipercze"/>
                  <w:rFonts w:cstheme="minorHAnsi"/>
                  <w:bCs/>
                </w:rPr>
                <w:t>www.gwa.pomorskie.eu</w:t>
              </w:r>
            </w:hyperlink>
            <w:r w:rsidRPr="005E584D">
              <w:rPr>
                <w:rFonts w:cstheme="minorHAnsi"/>
                <w:bCs/>
              </w:rPr>
              <w:t xml:space="preserve"> </w:t>
            </w:r>
          </w:p>
          <w:p w14:paraId="5BDB8F7D" w14:textId="77777777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cstheme="minorHAnsi"/>
              </w:rPr>
            </w:pPr>
            <w:r w:rsidRPr="005E584D">
              <w:rPr>
                <w:rFonts w:cstheme="minorHAnsi"/>
                <w:color w:val="0000FF" w:themeColor="hyperlink"/>
                <w:u w:val="single"/>
              </w:rPr>
              <w:t xml:space="preserve">jest: </w:t>
            </w:r>
            <w:r w:rsidRPr="005E584D">
              <w:rPr>
                <w:rFonts w:cstheme="minorHAnsi"/>
              </w:rPr>
              <w:t xml:space="preserve">Szczegółowe informacje na ten temat oraz wykaz wypracowanych narzędzi, udostępnianych bezpłatnie wszystkim zainteresowanym wnioskodawcom, znajdują się na stronie internetowej </w:t>
            </w:r>
            <w:hyperlink r:id="rId18" w:history="1">
              <w:r w:rsidRPr="005E584D">
                <w:rPr>
                  <w:rStyle w:val="Hipercze"/>
                  <w:rFonts w:cstheme="minorHAnsi"/>
                </w:rPr>
                <w:t>Krajowej Instytucji Wspomagającej</w:t>
              </w:r>
            </w:hyperlink>
            <w:r w:rsidRPr="005E584D">
              <w:rPr>
                <w:rFonts w:cstheme="minorHAnsi"/>
              </w:rPr>
              <w:t xml:space="preserve"> w zakładkach:</w:t>
            </w:r>
          </w:p>
          <w:p w14:paraId="111C930B" w14:textId="77777777" w:rsidR="00E4093A" w:rsidRPr="005E584D" w:rsidRDefault="008F0A5A" w:rsidP="00E4093A">
            <w:pPr>
              <w:numPr>
                <w:ilvl w:val="0"/>
                <w:numId w:val="35"/>
              </w:numPr>
              <w:shd w:val="clear" w:color="auto" w:fill="FFFFFF" w:themeFill="background1"/>
              <w:ind w:left="1040"/>
              <w:jc w:val="both"/>
              <w:rPr>
                <w:rFonts w:cstheme="minorHAnsi"/>
              </w:rPr>
            </w:pPr>
            <w:hyperlink r:id="rId19" w:history="1">
              <w:r w:rsidR="00E4093A" w:rsidRPr="005E584D">
                <w:rPr>
                  <w:rStyle w:val="Hipercze"/>
                  <w:rFonts w:cstheme="minorHAnsi"/>
                </w:rPr>
                <w:t>Projekty i produkty – Innowacje PO KL 2014-2020,</w:t>
              </w:r>
            </w:hyperlink>
            <w:r w:rsidR="00E4093A" w:rsidRPr="005E584D">
              <w:rPr>
                <w:rFonts w:cstheme="minorHAnsi"/>
              </w:rPr>
              <w:t xml:space="preserve">  </w:t>
            </w:r>
          </w:p>
          <w:p w14:paraId="1041BE4D" w14:textId="77777777" w:rsidR="00E4093A" w:rsidRPr="005E584D" w:rsidRDefault="008F0A5A" w:rsidP="00E4093A">
            <w:pPr>
              <w:numPr>
                <w:ilvl w:val="0"/>
                <w:numId w:val="35"/>
              </w:numPr>
              <w:shd w:val="clear" w:color="auto" w:fill="FFFFFF" w:themeFill="background1"/>
              <w:ind w:left="1040"/>
              <w:jc w:val="both"/>
              <w:rPr>
                <w:rFonts w:cstheme="minorHAnsi"/>
              </w:rPr>
            </w:pPr>
            <w:hyperlink r:id="rId20" w:history="1">
              <w:r w:rsidR="00E4093A" w:rsidRPr="005E584D">
                <w:rPr>
                  <w:rStyle w:val="Hipercze"/>
                  <w:rFonts w:cstheme="minorHAnsi"/>
                </w:rPr>
                <w:t>Projekty i produkty – POKL – Wyszukiwarka projektów i produktów</w:t>
              </w:r>
            </w:hyperlink>
            <w:r w:rsidR="00E4093A" w:rsidRPr="005E584D">
              <w:rPr>
                <w:rFonts w:cstheme="minorHAnsi"/>
              </w:rPr>
              <w:t xml:space="preserve">; </w:t>
            </w:r>
          </w:p>
          <w:p w14:paraId="452E5761" w14:textId="77777777" w:rsidR="00E4093A" w:rsidRPr="005E584D" w:rsidRDefault="00E4093A" w:rsidP="00E4093A">
            <w:pPr>
              <w:shd w:val="clear" w:color="auto" w:fill="FFFFFF" w:themeFill="background1"/>
              <w:ind w:left="680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>- było:</w:t>
            </w:r>
            <w:r w:rsidRPr="005E584D">
              <w:rPr>
                <w:rFonts w:eastAsia="Calibri" w:cstheme="minorHAnsi"/>
              </w:rPr>
              <w:t xml:space="preserve"> Szczegółowe informacje na ten temat oraz wykaz wypracowanych narzędzi, udostępnianych bezpłatnie wszystkim zainteresowanym wnioskodawcom, znajdują się na stronie internetowej </w:t>
            </w:r>
            <w:hyperlink r:id="rId21" w:history="1">
              <w:r w:rsidRPr="005E584D">
                <w:rPr>
                  <w:rStyle w:val="Hipercze"/>
                  <w:rFonts w:eastAsia="Calibri" w:cstheme="minorHAnsi"/>
                </w:rPr>
                <w:t>www.kiw-pokl.org.pl</w:t>
              </w:r>
            </w:hyperlink>
            <w:r w:rsidRPr="005E584D">
              <w:rPr>
                <w:rFonts w:eastAsia="Calibri" w:cstheme="minorHAnsi"/>
              </w:rPr>
              <w:t xml:space="preserve"> w zakładkach:</w:t>
            </w:r>
          </w:p>
          <w:p w14:paraId="1DDB020D" w14:textId="77777777" w:rsidR="00E4093A" w:rsidRPr="005E584D" w:rsidRDefault="00E4093A" w:rsidP="00E4093A">
            <w:pPr>
              <w:pStyle w:val="Akapitzlist"/>
              <w:numPr>
                <w:ilvl w:val="0"/>
                <w:numId w:val="38"/>
              </w:numPr>
              <w:shd w:val="clear" w:color="auto" w:fill="FFFFFF" w:themeFill="background1"/>
              <w:ind w:left="1040"/>
              <w:jc w:val="both"/>
              <w:rPr>
                <w:rFonts w:eastAsia="Calibri" w:cstheme="minorHAnsi"/>
              </w:rPr>
            </w:pPr>
            <w:r w:rsidRPr="005E584D">
              <w:rPr>
                <w:rFonts w:eastAsia="Calibri" w:cstheme="minorHAnsi"/>
                <w:i/>
              </w:rPr>
              <w:t>Projekty i produkty – Innowacje PO KL 2014-2020,</w:t>
            </w:r>
          </w:p>
          <w:p w14:paraId="75EA7015" w14:textId="77777777" w:rsidR="00E4093A" w:rsidRPr="005E584D" w:rsidRDefault="00E4093A" w:rsidP="00E4093A">
            <w:pPr>
              <w:pStyle w:val="Akapitzlist"/>
              <w:numPr>
                <w:ilvl w:val="0"/>
                <w:numId w:val="38"/>
              </w:numPr>
              <w:shd w:val="clear" w:color="auto" w:fill="FFFFFF" w:themeFill="background1"/>
              <w:ind w:left="1040"/>
              <w:jc w:val="both"/>
              <w:rPr>
                <w:rFonts w:eastAsia="Calibri" w:cstheme="minorHAnsi"/>
              </w:rPr>
            </w:pPr>
            <w:r w:rsidRPr="005E584D">
              <w:rPr>
                <w:rFonts w:eastAsia="Calibri" w:cstheme="minorHAnsi"/>
                <w:i/>
              </w:rPr>
              <w:t>Projekty i produkty – POKL – Wyszukiwarka projektów i produktów.</w:t>
            </w:r>
          </w:p>
          <w:p w14:paraId="710830E4" w14:textId="3DDABAC8" w:rsidR="00E4093A" w:rsidRPr="005E584D" w:rsidRDefault="00E4093A" w:rsidP="00E4093A">
            <w:pPr>
              <w:pStyle w:val="Akapitzlist"/>
              <w:widowControl w:val="0"/>
              <w:numPr>
                <w:ilvl w:val="0"/>
                <w:numId w:val="34"/>
              </w:numPr>
              <w:rPr>
                <w:rFonts w:cstheme="minorHAnsi"/>
              </w:rPr>
            </w:pPr>
            <w:r w:rsidRPr="005E584D">
              <w:rPr>
                <w:rStyle w:val="Hipercze"/>
                <w:rFonts w:cstheme="minorHAnsi"/>
                <w:color w:val="auto"/>
                <w:u w:val="none"/>
              </w:rPr>
              <w:t xml:space="preserve">jest: </w:t>
            </w:r>
            <w:r w:rsidRPr="005E584D">
              <w:rPr>
                <w:rFonts w:cstheme="minorHAnsi"/>
                <w:color w:val="000000"/>
              </w:rPr>
              <w:t xml:space="preserve">kurs opublikowany na stronie </w:t>
            </w:r>
            <w:hyperlink r:id="rId22" w:history="1">
              <w:r w:rsidRPr="005E584D">
                <w:rPr>
                  <w:rStyle w:val="Hipercze"/>
                  <w:rFonts w:cstheme="minorHAnsi"/>
                </w:rPr>
                <w:t>Europejskiego Banku Centralnego</w:t>
              </w:r>
            </w:hyperlink>
            <w:r w:rsidRPr="005E584D">
              <w:rPr>
                <w:rFonts w:cstheme="minorHAnsi"/>
                <w:color w:val="0000FF"/>
              </w:rPr>
              <w:t xml:space="preserve"> </w:t>
            </w:r>
            <w:r w:rsidRPr="005E584D">
              <w:rPr>
                <w:rFonts w:cstheme="minorHAnsi"/>
                <w:color w:val="0000FF"/>
              </w:rPr>
              <w:br/>
              <w:t xml:space="preserve">– było: </w:t>
            </w:r>
            <w:r w:rsidRPr="005E584D">
              <w:rPr>
                <w:rStyle w:val="Hipercze"/>
                <w:rFonts w:cstheme="minorHAnsi"/>
                <w:color w:val="auto"/>
                <w:u w:val="none"/>
              </w:rPr>
              <w:t xml:space="preserve"> </w:t>
            </w:r>
            <w:r w:rsidRPr="005E584D">
              <w:rPr>
                <w:rFonts w:cstheme="minorHAnsi"/>
                <w:color w:val="000000"/>
              </w:rPr>
              <w:t xml:space="preserve"> kurs opublikowany w: </w:t>
            </w:r>
            <w:r w:rsidRPr="005E584D">
              <w:rPr>
                <w:rFonts w:cstheme="minorHAnsi"/>
                <w:color w:val="0000FF"/>
              </w:rPr>
              <w:t xml:space="preserve">http://ec.europa.eu/budget/inforeuro/index.cfm?fuseaction=home&amp;Language=en </w:t>
            </w:r>
            <w:r w:rsidRPr="0094504C">
              <w:rPr>
                <w:rStyle w:val="Hipercze"/>
                <w:rFonts w:cstheme="minorHAnsi"/>
                <w:color w:val="auto"/>
                <w:u w:val="none"/>
              </w:rPr>
              <w:t xml:space="preserve"> </w:t>
            </w:r>
          </w:p>
        </w:tc>
      </w:tr>
      <w:tr w:rsidR="00E4093A" w:rsidRPr="00FC7FC2" w14:paraId="2F1053DA" w14:textId="77777777" w:rsidTr="00A927CC">
        <w:trPr>
          <w:trHeight w:val="406"/>
        </w:trPr>
        <w:tc>
          <w:tcPr>
            <w:tcW w:w="1033" w:type="dxa"/>
          </w:tcPr>
          <w:p w14:paraId="47F455A0" w14:textId="6C932412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lastRenderedPageBreak/>
              <w:t>3</w:t>
            </w:r>
          </w:p>
        </w:tc>
        <w:tc>
          <w:tcPr>
            <w:tcW w:w="3489" w:type="dxa"/>
            <w:shd w:val="clear" w:color="auto" w:fill="auto"/>
          </w:tcPr>
          <w:p w14:paraId="606D00E4" w14:textId="77777777" w:rsidR="00E4093A" w:rsidRDefault="00E4093A" w:rsidP="00E4093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Regulamin</w:t>
            </w:r>
          </w:p>
          <w:p w14:paraId="0385C980" w14:textId="2B5D4F20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>2.7</w:t>
            </w:r>
            <w:r w:rsidRPr="005E584D">
              <w:rPr>
                <w:rFonts w:cstheme="minorHAnsi"/>
              </w:rPr>
              <w:tab/>
              <w:t>MONITOROWANIE POSTĘPU RZECZOWEGO W PROJEKCIE</w:t>
            </w:r>
          </w:p>
        </w:tc>
        <w:tc>
          <w:tcPr>
            <w:tcW w:w="9620" w:type="dxa"/>
          </w:tcPr>
          <w:p w14:paraId="1C7695CA" w14:textId="4C064771" w:rsidR="00E4093A" w:rsidRPr="00286C41" w:rsidRDefault="00E4093A" w:rsidP="00E4093A">
            <w:pPr>
              <w:spacing w:after="120"/>
              <w:jc w:val="both"/>
              <w:rPr>
                <w:rFonts w:cs="Arial"/>
              </w:rPr>
            </w:pPr>
            <w:r>
              <w:rPr>
                <w:rFonts w:cstheme="minorHAnsi"/>
              </w:rPr>
              <w:t xml:space="preserve">W związku z wejściem w życie z dniem 18 maja 2017 r. zmian </w:t>
            </w:r>
            <w:r>
              <w:t>Wytycznych w zakresie monitorowania postępu rzeczowego realizacji programów operacyjnych na lata 2014-2020 w treści Regulaminu w</w:t>
            </w:r>
            <w:r>
              <w:rPr>
                <w:rFonts w:cstheme="minorHAnsi"/>
              </w:rPr>
              <w:t xml:space="preserve"> tabeli dotyczącej Wskaźników horyzontalnych wprowadzono dodatkowy wskaźnik – </w:t>
            </w:r>
            <w:r>
              <w:rPr>
                <w:rFonts w:cs="Arial"/>
              </w:rPr>
              <w:t>Licz</w:t>
            </w:r>
            <w:r w:rsidRPr="00286C41">
              <w:rPr>
                <w:rFonts w:cs="Arial"/>
              </w:rPr>
              <w:t>ba</w:t>
            </w:r>
            <w:r>
              <w:rPr>
                <w:rFonts w:cs="Arial"/>
              </w:rPr>
              <w:t xml:space="preserve"> </w:t>
            </w:r>
            <w:r w:rsidRPr="00286C41">
              <w:rPr>
                <w:rFonts w:cs="Arial"/>
              </w:rPr>
              <w:t>podmiotów wykorzystujących technologie informacyjno–komunikacyjne (TIK)</w:t>
            </w:r>
            <w:r>
              <w:rPr>
                <w:rFonts w:cs="Arial"/>
              </w:rPr>
              <w:t xml:space="preserve">. Jednostka miary – sztuka. Definicja wskaźnika – </w:t>
            </w:r>
            <w:r w:rsidRPr="00286C41">
              <w:rPr>
                <w:rFonts w:cs="Arial"/>
              </w:rPr>
              <w:t xml:space="preserve"> Wskaźnik mierzy liczbę podmiotów, które w celu realizacji projektu, zainwestowały </w:t>
            </w:r>
            <w:r>
              <w:rPr>
                <w:rFonts w:cs="Arial"/>
              </w:rPr>
              <w:br/>
            </w:r>
            <w:r w:rsidRPr="00286C41">
              <w:rPr>
                <w:rFonts w:cs="Arial"/>
              </w:rPr>
              <w:t xml:space="preserve">w technologie informacyjno-komunikacyjne, a w przypadku projektów edukacyjno-szkoleniowych, również podmiotów, które podjęły działania upowszechniające wykorzystanie TIK. </w:t>
            </w:r>
          </w:p>
          <w:p w14:paraId="0C5D1E95" w14:textId="3E838206" w:rsidR="00E4093A" w:rsidRPr="00286C41" w:rsidRDefault="00E4093A" w:rsidP="00E4093A">
            <w:pPr>
              <w:spacing w:after="120"/>
              <w:jc w:val="both"/>
              <w:rPr>
                <w:rFonts w:cs="Arial"/>
              </w:rPr>
            </w:pPr>
            <w:r w:rsidRPr="00286C41">
              <w:rPr>
                <w:rFonts w:cs="Arial"/>
              </w:rPr>
              <w:t>Przez technologie informacyjno-komunikacyjne (ang. ICT – Information and Communications Technology) należy rozumieć technologie pozyskiwania/ produkcji, gromadzenia/ przechowywania, przesyłania, przetwarzania i rozpowszechniania informacji w formie elektronicznej z wykorzystaniem technik cyfrowych i wszelkich narzędzi komunikacji elektronicznej oraz wszelkie działania związane</w:t>
            </w:r>
            <w:r w:rsidR="00213E43">
              <w:rPr>
                <w:rFonts w:cs="Arial"/>
              </w:rPr>
              <w:t xml:space="preserve"> </w:t>
            </w:r>
            <w:r w:rsidRPr="00286C41">
              <w:rPr>
                <w:rFonts w:cs="Arial"/>
              </w:rPr>
              <w:t>z produkcją i wykorzystaniem urządzeń telekomunikacyjnych i informatycznych oraz usług im towarzyszących; działania edukacyjne i szkoleniowe.</w:t>
            </w:r>
          </w:p>
          <w:p w14:paraId="6B6AF672" w14:textId="77777777" w:rsidR="00E4093A" w:rsidRPr="00286C41" w:rsidRDefault="00E4093A" w:rsidP="00E4093A">
            <w:pPr>
              <w:spacing w:after="120"/>
              <w:jc w:val="both"/>
              <w:rPr>
                <w:rFonts w:cs="Arial"/>
              </w:rPr>
            </w:pPr>
            <w:r w:rsidRPr="00286C41">
              <w:rPr>
                <w:rFonts w:cs="Arial"/>
              </w:rPr>
              <w:t xml:space="preserve">Podmioty wykorzystujące TIK należy rozumieć jako podmioty (beneficjenci/partnerzy beneficjentów), które w ramach realizowanego przez nie projektu wspierają wykorzystywanie technik poprzez: np. propagowanie/ szkolenie/ zakup TIK lub podmioty, które otrzymują wsparcie w tym zakresie (uczestnicy projektów). </w:t>
            </w:r>
          </w:p>
          <w:p w14:paraId="017D55B9" w14:textId="31639355" w:rsidR="00E4093A" w:rsidRPr="00286C41" w:rsidRDefault="00E4093A" w:rsidP="00E4093A">
            <w:pPr>
              <w:jc w:val="both"/>
              <w:rPr>
                <w:rFonts w:cs="Arial"/>
              </w:rPr>
            </w:pPr>
            <w:r w:rsidRPr="00286C41">
              <w:rPr>
                <w:rFonts w:cs="Arial"/>
              </w:rPr>
              <w:t>Podmiotami realizującymi projekty TIK mogą być m.in.: MŚP, duże przedsiębiorstwa, administracja publiczna, w tym jednostki samorządu terytorialnego, NGO, jednostki naukowe, szkoły, które będą wykorzystywać TIK do usprawnienia swojego działania i do prowadzenia relacji z innymi podmiotami.</w:t>
            </w:r>
          </w:p>
          <w:p w14:paraId="44DE40FF" w14:textId="048E30E4" w:rsidR="00E4093A" w:rsidRDefault="00E4093A" w:rsidP="00E4093A">
            <w:pPr>
              <w:widowControl w:val="0"/>
              <w:jc w:val="both"/>
              <w:rPr>
                <w:rFonts w:cs="Arial"/>
              </w:rPr>
            </w:pPr>
            <w:r w:rsidRPr="00286C41">
              <w:rPr>
                <w:rFonts w:cs="Arial"/>
              </w:rPr>
              <w:t xml:space="preserve">W przypadku gdy beneficjentem pozostaje jeden podmiot, we wskaźniku należy ująć wartość „1”. </w:t>
            </w:r>
            <w:r>
              <w:rPr>
                <w:rFonts w:cs="Arial"/>
              </w:rPr>
              <w:br/>
            </w:r>
            <w:r w:rsidRPr="00286C41">
              <w:rPr>
                <w:rFonts w:cs="Arial"/>
              </w:rPr>
              <w:lastRenderedPageBreak/>
              <w:t>W przypadku gdy projekt jest realizowany przez partnerstwo podmiotów, w wartości wskaźnika należy ująć każdy z podmiotów wchodzących w skład partnerstwa, który wdrożył w swojej działalności narzędzia TIK.</w:t>
            </w:r>
            <w:r>
              <w:rPr>
                <w:rFonts w:cs="Arial"/>
              </w:rPr>
              <w:t>”</w:t>
            </w:r>
          </w:p>
          <w:p w14:paraId="4FF12DC3" w14:textId="77777777" w:rsidR="00E4093A" w:rsidRPr="005E584D" w:rsidRDefault="00E4093A" w:rsidP="00E4093A">
            <w:pPr>
              <w:widowControl w:val="0"/>
              <w:jc w:val="both"/>
              <w:rPr>
                <w:rFonts w:cs="Arial"/>
              </w:rPr>
            </w:pPr>
          </w:p>
          <w:p w14:paraId="3E8FD5F8" w14:textId="77777777" w:rsidR="00E4093A" w:rsidRPr="005E584D" w:rsidRDefault="00E4093A" w:rsidP="00E4093A">
            <w:pPr>
              <w:widowControl w:val="0"/>
              <w:rPr>
                <w:rFonts w:cstheme="minorHAnsi"/>
              </w:rPr>
            </w:pPr>
          </w:p>
        </w:tc>
      </w:tr>
      <w:tr w:rsidR="00E4093A" w:rsidRPr="00FC7FC2" w14:paraId="15A4A045" w14:textId="77777777" w:rsidTr="00A927CC">
        <w:trPr>
          <w:trHeight w:val="450"/>
        </w:trPr>
        <w:tc>
          <w:tcPr>
            <w:tcW w:w="1033" w:type="dxa"/>
          </w:tcPr>
          <w:p w14:paraId="17584877" w14:textId="3D6F8C06" w:rsidR="00E4093A" w:rsidRPr="005E584D" w:rsidRDefault="00E4093A" w:rsidP="00E4093A">
            <w:pPr>
              <w:jc w:val="center"/>
              <w:rPr>
                <w:rFonts w:cstheme="minorHAnsi"/>
              </w:rPr>
            </w:pPr>
            <w:r w:rsidRPr="005E584D">
              <w:rPr>
                <w:rFonts w:cstheme="minorHAnsi"/>
              </w:rPr>
              <w:lastRenderedPageBreak/>
              <w:t>4</w:t>
            </w:r>
          </w:p>
        </w:tc>
        <w:tc>
          <w:tcPr>
            <w:tcW w:w="3489" w:type="dxa"/>
            <w:shd w:val="clear" w:color="auto" w:fill="auto"/>
          </w:tcPr>
          <w:p w14:paraId="622E3607" w14:textId="77777777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  <w:b/>
              </w:rPr>
              <w:t>Regulamin</w:t>
            </w:r>
            <w:r w:rsidRPr="005E584D">
              <w:rPr>
                <w:rFonts w:cstheme="minorHAnsi"/>
              </w:rPr>
              <w:t xml:space="preserve"> </w:t>
            </w:r>
          </w:p>
          <w:p w14:paraId="21DB92EC" w14:textId="77777777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5 OGÓLNE WARUNKI ZAWARCIA UMOWY O DOFINANSOWANIE PROJEKTU </w:t>
            </w:r>
          </w:p>
          <w:p w14:paraId="30E0CA8F" w14:textId="7FA01C2E" w:rsidR="00E4093A" w:rsidRPr="005E584D" w:rsidRDefault="00E4093A" w:rsidP="00E4093A">
            <w:pPr>
              <w:rPr>
                <w:rFonts w:cstheme="minorHAnsi"/>
                <w:b/>
              </w:rPr>
            </w:pPr>
            <w:r w:rsidRPr="005E584D">
              <w:rPr>
                <w:rFonts w:cstheme="minorHAnsi"/>
              </w:rPr>
              <w:t xml:space="preserve">Podpisanie umowy </w:t>
            </w:r>
            <w:r w:rsidRPr="005E584D">
              <w:rPr>
                <w:rFonts w:cstheme="minorHAnsi"/>
              </w:rPr>
              <w:br/>
              <w:t>o dofinansowanie projektu</w:t>
            </w:r>
          </w:p>
        </w:tc>
        <w:tc>
          <w:tcPr>
            <w:tcW w:w="9620" w:type="dxa"/>
          </w:tcPr>
          <w:p w14:paraId="3C66169C" w14:textId="77777777" w:rsidR="00E4093A" w:rsidRPr="005E584D" w:rsidRDefault="00E4093A" w:rsidP="00E4093A">
            <w:pPr>
              <w:widowControl w:val="0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W akapicie szóstym </w:t>
            </w:r>
            <w:r w:rsidRPr="005E584D">
              <w:rPr>
                <w:rFonts w:cstheme="minorHAnsi"/>
                <w:b/>
              </w:rPr>
              <w:t>doprecyzowano</w:t>
            </w:r>
            <w:r w:rsidRPr="005E584D">
              <w:rPr>
                <w:rFonts w:cstheme="minorHAnsi"/>
              </w:rPr>
              <w:t xml:space="preserve"> podmioty, które podlegają weryfikacji przez Ministerstwo Finansów w zakresie wykluczenia, o którym mowa w art. 207 UFP:</w:t>
            </w:r>
          </w:p>
          <w:p w14:paraId="337E28ED" w14:textId="1C29D579" w:rsidR="00E4093A" w:rsidRPr="005E584D" w:rsidRDefault="00E4093A" w:rsidP="00E4093A">
            <w:pPr>
              <w:widowControl w:val="0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„Przed podpisaniem umowy o dofinansowanie projektu IZ RPO WP ustala także, na podstawie pisemnej informacji uzyskanej z Ministerstwa Finansów, czy wnioskodawca i partnerzy nie podlegają wykluczeniu, </w:t>
            </w:r>
            <w:r>
              <w:rPr>
                <w:rFonts w:cstheme="minorHAnsi"/>
              </w:rPr>
              <w:br/>
            </w:r>
            <w:r w:rsidRPr="005E584D">
              <w:rPr>
                <w:rFonts w:cstheme="minorHAnsi"/>
              </w:rPr>
              <w:t>o którym mowa w art. 207 UFP. IZ RPO WP weryfikuje również, czy wnioskodawca i partnerzy złożyli wraz z wnioskiem o dofinansowanie projektu oświadczenie o kwalifikowalności podatku VAT.”</w:t>
            </w:r>
          </w:p>
          <w:p w14:paraId="3AC794CF" w14:textId="77777777" w:rsidR="00E4093A" w:rsidRDefault="00E4093A" w:rsidP="00E4093A">
            <w:pPr>
              <w:widowControl w:val="0"/>
              <w:rPr>
                <w:rFonts w:cstheme="minorHAnsi"/>
              </w:rPr>
            </w:pPr>
          </w:p>
        </w:tc>
      </w:tr>
      <w:tr w:rsidR="00E4093A" w:rsidRPr="00FC7FC2" w14:paraId="0A987987" w14:textId="77777777" w:rsidTr="00A927CC">
        <w:trPr>
          <w:trHeight w:val="1741"/>
        </w:trPr>
        <w:tc>
          <w:tcPr>
            <w:tcW w:w="1033" w:type="dxa"/>
          </w:tcPr>
          <w:p w14:paraId="131D8C6B" w14:textId="011C5C15" w:rsidR="00E4093A" w:rsidRPr="005E584D" w:rsidRDefault="00E4093A" w:rsidP="00E409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89" w:type="dxa"/>
            <w:shd w:val="clear" w:color="auto" w:fill="auto"/>
          </w:tcPr>
          <w:p w14:paraId="5C2065ED" w14:textId="36FD6C57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  <w:b/>
              </w:rPr>
              <w:t xml:space="preserve">Regulamin </w:t>
            </w:r>
            <w:r w:rsidRPr="005E584D">
              <w:rPr>
                <w:rFonts w:cstheme="minorHAnsi"/>
              </w:rPr>
              <w:br/>
              <w:t xml:space="preserve">5 OGÓLNE WARUNKI ZAWARCIA UMOWY O DOFINANSOWANIE PROJEKTU </w:t>
            </w:r>
          </w:p>
          <w:p w14:paraId="089405C0" w14:textId="77777777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Odmowa podpisania umowy </w:t>
            </w:r>
            <w:r w:rsidRPr="005E584D">
              <w:rPr>
                <w:rFonts w:cstheme="minorHAnsi"/>
              </w:rPr>
              <w:br/>
              <w:t>o dofinansowanie projektu</w:t>
            </w:r>
          </w:p>
          <w:p w14:paraId="6FA091C0" w14:textId="31AD45A8" w:rsidR="00E4093A" w:rsidRPr="005E584D" w:rsidRDefault="00E4093A" w:rsidP="00E4093A">
            <w:pPr>
              <w:rPr>
                <w:rFonts w:cstheme="minorHAnsi"/>
              </w:rPr>
            </w:pPr>
          </w:p>
        </w:tc>
        <w:tc>
          <w:tcPr>
            <w:tcW w:w="9620" w:type="dxa"/>
          </w:tcPr>
          <w:p w14:paraId="2308D4D3" w14:textId="6677BDFF" w:rsidR="00E4093A" w:rsidRPr="005E584D" w:rsidRDefault="00E4093A" w:rsidP="00E4093A">
            <w:pPr>
              <w:widowControl w:val="0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Po akapicie drugim </w:t>
            </w:r>
            <w:r w:rsidRPr="005E584D">
              <w:rPr>
                <w:rFonts w:cstheme="minorHAnsi"/>
                <w:b/>
              </w:rPr>
              <w:t>dodano zapis</w:t>
            </w:r>
            <w:r w:rsidRPr="005E584D">
              <w:rPr>
                <w:rFonts w:cstheme="minorHAnsi"/>
              </w:rPr>
              <w:t xml:space="preserve"> doprecyzowujący okoliczność, w której IZ RPO WP odmówi podpisania umowy </w:t>
            </w:r>
            <w:r w:rsidRPr="005E584D">
              <w:rPr>
                <w:rFonts w:cstheme="minorHAnsi"/>
              </w:rPr>
              <w:br/>
              <w:t xml:space="preserve">o dofinansowanie projektu: </w:t>
            </w:r>
          </w:p>
          <w:p w14:paraId="7E046B62" w14:textId="0BEF4D84" w:rsidR="00E4093A" w:rsidRPr="005E584D" w:rsidRDefault="00E4093A" w:rsidP="00E4093A">
            <w:pPr>
              <w:widowControl w:val="0"/>
              <w:jc w:val="both"/>
              <w:rPr>
                <w:rFonts w:cstheme="minorHAnsi"/>
              </w:rPr>
            </w:pPr>
            <w:r w:rsidRPr="005E584D">
              <w:rPr>
                <w:rFonts w:eastAsiaTheme="minorHAnsi" w:cstheme="minorHAnsi"/>
                <w:lang w:eastAsia="en-US"/>
              </w:rPr>
              <w:t xml:space="preserve">„IZ RPO WP odmówi podpisania umowy o dofinansowanie projektu w przypadku, gdy uzyska </w:t>
            </w:r>
            <w:r>
              <w:rPr>
                <w:rFonts w:eastAsiaTheme="minorHAnsi" w:cstheme="minorHAnsi"/>
                <w:lang w:eastAsia="en-US"/>
              </w:rPr>
              <w:br/>
            </w:r>
            <w:r w:rsidRPr="005E584D">
              <w:rPr>
                <w:rFonts w:eastAsiaTheme="minorHAnsi" w:cstheme="minorHAnsi"/>
                <w:lang w:eastAsia="en-US"/>
              </w:rPr>
              <w:t xml:space="preserve">z Ministerstwa Finansów pisemną informację, że wnioskodawca i/lub partnerzy podlega/ją wykluczeniu, </w:t>
            </w:r>
            <w:r>
              <w:rPr>
                <w:rFonts w:eastAsiaTheme="minorHAnsi" w:cstheme="minorHAnsi"/>
                <w:lang w:eastAsia="en-US"/>
              </w:rPr>
              <w:br/>
            </w:r>
            <w:r w:rsidRPr="005E584D">
              <w:rPr>
                <w:rFonts w:eastAsiaTheme="minorHAnsi" w:cstheme="minorHAnsi"/>
                <w:lang w:eastAsia="en-US"/>
              </w:rPr>
              <w:t>o którym mowa w art. 207 UFP.”</w:t>
            </w:r>
          </w:p>
        </w:tc>
      </w:tr>
      <w:tr w:rsidR="00E4093A" w:rsidRPr="00FC7FC2" w14:paraId="74A7DC74" w14:textId="77777777" w:rsidTr="00A927CC">
        <w:trPr>
          <w:trHeight w:val="1166"/>
        </w:trPr>
        <w:tc>
          <w:tcPr>
            <w:tcW w:w="1033" w:type="dxa"/>
          </w:tcPr>
          <w:p w14:paraId="4CDD241E" w14:textId="38054687" w:rsidR="00E4093A" w:rsidRPr="005E584D" w:rsidRDefault="00E4093A" w:rsidP="00E409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89" w:type="dxa"/>
          </w:tcPr>
          <w:p w14:paraId="5ABF7A26" w14:textId="17C5E359" w:rsidR="00E4093A" w:rsidRPr="005E584D" w:rsidRDefault="00E4093A" w:rsidP="00E4093A">
            <w:pPr>
              <w:rPr>
                <w:rFonts w:cstheme="minorHAnsi"/>
                <w:b/>
              </w:rPr>
            </w:pPr>
            <w:r w:rsidRPr="005E584D">
              <w:rPr>
                <w:rFonts w:cstheme="minorHAnsi"/>
                <w:b/>
              </w:rPr>
              <w:t xml:space="preserve">Załącznik nr 9 </w:t>
            </w:r>
          </w:p>
          <w:p w14:paraId="7EBDE92E" w14:textId="77777777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>Wzór umowy o dofinansowanie projektu</w:t>
            </w:r>
          </w:p>
        </w:tc>
        <w:tc>
          <w:tcPr>
            <w:tcW w:w="9620" w:type="dxa"/>
          </w:tcPr>
          <w:p w14:paraId="639F2ADA" w14:textId="77777777" w:rsidR="00E4093A" w:rsidRPr="005E584D" w:rsidRDefault="00E4093A" w:rsidP="00E4093A">
            <w:pPr>
              <w:pStyle w:val="Tekstprzypisudolnego"/>
              <w:widowControl w:val="0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>w § 2 ust. 9 umowy:</w:t>
            </w:r>
          </w:p>
          <w:p w14:paraId="6C3BD02C" w14:textId="77777777" w:rsidR="00E4093A" w:rsidRPr="005E584D" w:rsidRDefault="00E4093A" w:rsidP="00E4093A">
            <w:pPr>
              <w:pStyle w:val="Tekstprzypisudolnego"/>
              <w:widowControl w:val="0"/>
              <w:spacing w:line="276" w:lineRule="auto"/>
              <w:ind w:left="7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- po wyrazie „corocznie” </w:t>
            </w:r>
            <w:r w:rsidRPr="005E584D">
              <w:rPr>
                <w:rFonts w:asciiTheme="minorHAnsi" w:hAnsiTheme="minorHAnsi" w:cstheme="minorHAnsi"/>
                <w:b/>
                <w:sz w:val="22"/>
                <w:szCs w:val="22"/>
              </w:rPr>
              <w:t>dodano przypis</w:t>
            </w: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 o następującej treści:</w:t>
            </w:r>
          </w:p>
          <w:p w14:paraId="4DAE262A" w14:textId="355624FC" w:rsidR="00E4093A" w:rsidRPr="005E584D" w:rsidRDefault="00E4093A" w:rsidP="00E4093A">
            <w:pPr>
              <w:pStyle w:val="Tekstprzypisudolnego"/>
              <w:widowControl w:val="0"/>
              <w:spacing w:line="276" w:lineRule="auto"/>
              <w:ind w:left="7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>„Nie dotyczy pierwszego wniosku o płatność, będącego podstawą wypłaty pierwszej transzy dofinansowania.”</w:t>
            </w:r>
          </w:p>
          <w:p w14:paraId="2CFAEE9A" w14:textId="77777777" w:rsidR="00E4093A" w:rsidRPr="005E584D" w:rsidRDefault="00E4093A" w:rsidP="00E4093A">
            <w:pPr>
              <w:pStyle w:val="Tekstprzypisudolnego"/>
              <w:widowControl w:val="0"/>
              <w:spacing w:line="276" w:lineRule="auto"/>
              <w:ind w:left="7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- przypisowi znajdującemu się na końcu ustępu </w:t>
            </w:r>
            <w:r w:rsidRPr="005E584D">
              <w:rPr>
                <w:rFonts w:asciiTheme="minorHAnsi" w:hAnsiTheme="minorHAnsi" w:cstheme="minorHAnsi"/>
                <w:b/>
                <w:sz w:val="22"/>
                <w:szCs w:val="22"/>
              </w:rPr>
              <w:t>nadano</w:t>
            </w: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 następującą treść:</w:t>
            </w:r>
          </w:p>
          <w:p w14:paraId="2B728683" w14:textId="767D6A29" w:rsidR="00E4093A" w:rsidRPr="005E584D" w:rsidRDefault="00E4093A" w:rsidP="00E4093A">
            <w:pPr>
              <w:pStyle w:val="Tekstprzypisudolnego"/>
              <w:widowControl w:val="0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„Należy wykreślić, w przypadku, gdy ani Beneficjent, ani Partner nie będą kwalifikowali kosztu podatku od towarów i usług. W  innym przypadku wskazać, który podmiot składa corocznie oświadczenie. </w:t>
            </w:r>
            <w:r w:rsidRPr="005E5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Obowiązek składania oświadczenia o kwalifikowalności podatku VAT wraz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5E5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 zaświadczeniem </w:t>
            </w:r>
            <w:r w:rsidRPr="005E584D">
              <w:rPr>
                <w:rFonts w:asciiTheme="minorHAnsi" w:hAnsiTheme="minorHAnsi" w:cstheme="minorHAnsi"/>
                <w:iCs/>
                <w:sz w:val="22"/>
                <w:szCs w:val="22"/>
              </w:rPr>
              <w:t>właściwego Urzędu Skarbowego o statusie podatnika VAT</w:t>
            </w:r>
            <w:r w:rsidRPr="005E5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nie dotyczy partnerów, którzy nie rozliczają wydatków w projekcie.”</w:t>
            </w:r>
          </w:p>
          <w:p w14:paraId="0D5E1BBC" w14:textId="18599177" w:rsidR="00E4093A" w:rsidRPr="005E584D" w:rsidRDefault="00E4093A" w:rsidP="00E4093A">
            <w:pPr>
              <w:pStyle w:val="Akapitzlist"/>
              <w:numPr>
                <w:ilvl w:val="0"/>
                <w:numId w:val="33"/>
              </w:numPr>
              <w:spacing w:before="120" w:after="120" w:line="276" w:lineRule="auto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w § 11 ust. 11 umowy </w:t>
            </w:r>
            <w:r w:rsidRPr="005E584D">
              <w:rPr>
                <w:rFonts w:cstheme="minorHAnsi"/>
                <w:b/>
              </w:rPr>
              <w:t xml:space="preserve">doprecyzowano </w:t>
            </w:r>
            <w:r w:rsidRPr="005E584D">
              <w:rPr>
                <w:rFonts w:cstheme="minorHAnsi"/>
              </w:rPr>
              <w:t>numer podrozdziału wytycznych, nadając powyższemu ustępowi następującą treść:</w:t>
            </w:r>
          </w:p>
          <w:p w14:paraId="68D2D1F7" w14:textId="046C65D8" w:rsidR="00E4093A" w:rsidRPr="005E584D" w:rsidRDefault="00E4093A" w:rsidP="00E4093A">
            <w:pPr>
              <w:pStyle w:val="Akapitzlist"/>
              <w:spacing w:before="120" w:after="120" w:line="276" w:lineRule="auto"/>
              <w:ind w:left="774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lastRenderedPageBreak/>
              <w:t xml:space="preserve"> „11. Beneficjent zobowiązany jest do rozliczenia całości otrzymanego dofinansowania </w:t>
            </w:r>
            <w:r>
              <w:rPr>
                <w:rFonts w:cstheme="minorHAnsi"/>
              </w:rPr>
              <w:br/>
            </w:r>
            <w:r w:rsidRPr="005E584D">
              <w:rPr>
                <w:rFonts w:cstheme="minorHAnsi"/>
              </w:rPr>
              <w:t>we wniosku o płatność końcową oraz do zwrotu niewykorzystanej w Projekcie części otrzymanych transz dofinansowania na rachunek bankowy wskazany przez Instytucję Zarządzającą, w terminie 30 dni od dnia zakończenia okresu realizacji Projektu. Instytucja Zarządzająca dokonuje ostatecznego rozliczenia Projektu pod względem finansowym z uwzględnieniem reguły proporcjonalności, o której mowa w podrozdziale 8.8 wytycznych, o których mowa w § 1 pkt 9 umowy.”</w:t>
            </w:r>
          </w:p>
          <w:p w14:paraId="2D50D54B" w14:textId="7571A739" w:rsidR="00E4093A" w:rsidRPr="005E584D" w:rsidRDefault="00E4093A" w:rsidP="00E4093A">
            <w:pPr>
              <w:pStyle w:val="Tekstprzypisudolnego"/>
              <w:widowControl w:val="0"/>
              <w:numPr>
                <w:ilvl w:val="0"/>
                <w:numId w:val="2"/>
              </w:numPr>
              <w:spacing w:line="276" w:lineRule="auto"/>
              <w:ind w:left="7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w § 30 pkt 4 umowy </w:t>
            </w:r>
            <w:r w:rsidRPr="005E58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zaktualizowano</w:t>
            </w: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 publikator ustawy z dnia 23 kwietnia 1964 r. - Kodeks cywilny </w:t>
            </w:r>
            <w:r w:rsidRPr="005E584D">
              <w:rPr>
                <w:rFonts w:asciiTheme="minorHAnsi" w:hAnsiTheme="minorHAnsi" w:cstheme="minorHAnsi"/>
                <w:sz w:val="22"/>
                <w:szCs w:val="22"/>
              </w:rPr>
              <w:br/>
              <w:t>(Dz.U. z 2017 r. poz. 459, z późn. zm.)</w:t>
            </w:r>
          </w:p>
          <w:p w14:paraId="6C46D6B5" w14:textId="5438DC31" w:rsidR="00E4093A" w:rsidRPr="005E584D" w:rsidRDefault="00E4093A" w:rsidP="00E4093A">
            <w:pPr>
              <w:pStyle w:val="Tekstprzypisudolnego"/>
              <w:widowControl w:val="0"/>
              <w:numPr>
                <w:ilvl w:val="0"/>
                <w:numId w:val="33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wprowadzono </w:t>
            </w:r>
            <w:r w:rsidRPr="005E584D">
              <w:rPr>
                <w:rFonts w:asciiTheme="minorHAnsi" w:hAnsiTheme="minorHAnsi" w:cstheme="minorHAnsi"/>
                <w:b/>
                <w:sz w:val="22"/>
                <w:szCs w:val="22"/>
              </w:rPr>
              <w:t>zmianę redakcyjną</w:t>
            </w:r>
            <w:r w:rsidRPr="005E584D">
              <w:rPr>
                <w:rFonts w:asciiTheme="minorHAnsi" w:hAnsiTheme="minorHAnsi" w:cstheme="minorHAnsi"/>
                <w:sz w:val="22"/>
                <w:szCs w:val="22"/>
              </w:rPr>
              <w:t xml:space="preserve"> w § 1 pkt. 8 umowy.</w:t>
            </w:r>
          </w:p>
        </w:tc>
      </w:tr>
      <w:tr w:rsidR="00E4093A" w:rsidRPr="00FC7FC2" w14:paraId="7BA32D43" w14:textId="77777777" w:rsidTr="00A927CC">
        <w:trPr>
          <w:trHeight w:val="1166"/>
        </w:trPr>
        <w:tc>
          <w:tcPr>
            <w:tcW w:w="1033" w:type="dxa"/>
          </w:tcPr>
          <w:p w14:paraId="3D27013D" w14:textId="7B5BA575" w:rsidR="00E4093A" w:rsidRPr="005E584D" w:rsidRDefault="00E4093A" w:rsidP="00E409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3489" w:type="dxa"/>
          </w:tcPr>
          <w:p w14:paraId="76448602" w14:textId="47AAEEFC" w:rsidR="00E4093A" w:rsidRPr="005E584D" w:rsidRDefault="00E4093A" w:rsidP="00E4093A">
            <w:pPr>
              <w:widowControl w:val="0"/>
              <w:rPr>
                <w:rFonts w:eastAsiaTheme="minorHAnsi" w:cstheme="minorHAnsi"/>
                <w:b/>
                <w:lang w:eastAsia="en-US"/>
              </w:rPr>
            </w:pPr>
            <w:r w:rsidRPr="005E584D">
              <w:rPr>
                <w:rFonts w:eastAsiaTheme="minorHAnsi" w:cstheme="minorHAnsi"/>
                <w:b/>
                <w:lang w:eastAsia="en-US"/>
              </w:rPr>
              <w:t xml:space="preserve">Załącznik nr 10 </w:t>
            </w:r>
          </w:p>
          <w:p w14:paraId="1C6758AE" w14:textId="0CF21136" w:rsidR="00E4093A" w:rsidRPr="005E584D" w:rsidRDefault="00E4093A" w:rsidP="00E4093A">
            <w:pPr>
              <w:rPr>
                <w:rFonts w:cstheme="minorHAnsi"/>
              </w:rPr>
            </w:pPr>
            <w:r w:rsidRPr="005E584D">
              <w:rPr>
                <w:rFonts w:cstheme="minorHAnsi"/>
              </w:rPr>
              <w:t>Wzór umowy o dofinansowanie projektu w przypadku gdy projekt jest rozliczany w sposób uproszczony w  oparciu o kwoty ryczałtowe</w:t>
            </w:r>
          </w:p>
        </w:tc>
        <w:tc>
          <w:tcPr>
            <w:tcW w:w="9620" w:type="dxa"/>
          </w:tcPr>
          <w:p w14:paraId="1925B91A" w14:textId="687B4802" w:rsidR="00E4093A" w:rsidRPr="005E584D" w:rsidRDefault="00E4093A" w:rsidP="00E4093A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w § 25 umowy </w:t>
            </w:r>
            <w:r w:rsidRPr="005E584D">
              <w:rPr>
                <w:rFonts w:cstheme="minorHAnsi"/>
                <w:b/>
              </w:rPr>
              <w:t xml:space="preserve"> zmianie uległy zapisy</w:t>
            </w:r>
            <w:r w:rsidRPr="005E584D">
              <w:rPr>
                <w:rFonts w:cstheme="minorHAnsi"/>
              </w:rPr>
              <w:t xml:space="preserve"> ust. 2:</w:t>
            </w:r>
          </w:p>
          <w:p w14:paraId="68AC567E" w14:textId="77777777" w:rsidR="00E4093A" w:rsidRPr="005E584D" w:rsidRDefault="00E4093A" w:rsidP="00E4093A">
            <w:pPr>
              <w:pStyle w:val="Akapitzlist"/>
              <w:spacing w:before="120" w:after="120" w:line="276" w:lineRule="auto"/>
              <w:jc w:val="both"/>
              <w:rPr>
                <w:rFonts w:cstheme="minorHAnsi"/>
                <w:b/>
              </w:rPr>
            </w:pPr>
            <w:r w:rsidRPr="005E584D">
              <w:rPr>
                <w:rFonts w:cstheme="minorHAnsi"/>
                <w:b/>
              </w:rPr>
              <w:t>Było:</w:t>
            </w:r>
          </w:p>
          <w:p w14:paraId="367F09B9" w14:textId="065808DD" w:rsidR="00E4093A" w:rsidRPr="005E584D" w:rsidRDefault="00E4093A" w:rsidP="00E4093A">
            <w:pPr>
              <w:pStyle w:val="Akapitzlist"/>
              <w:spacing w:before="120" w:after="120" w:line="276" w:lineRule="auto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„2. W przypadku rozwiązania umowy na podstawie § 23 ust. 2 i § 24 Beneficjent zobowiązany jest do zwrotu otrzymanego dofinansowania odpowiadającego nierozliczonym kwotom ryczałtowym, wraz z odsetkami w wysokości określonej jak dla zaległości podatkowych liczonymi od dnia przekazania środków dofinansowania, z zastrzeżeniem </w:t>
            </w:r>
            <w:r w:rsidRPr="005E584D">
              <w:rPr>
                <w:rFonts w:cstheme="minorHAnsi"/>
                <w:i/>
              </w:rPr>
              <w:t xml:space="preserve">§ 5 ust. 1 oraz </w:t>
            </w:r>
            <w:r w:rsidRPr="005E584D">
              <w:rPr>
                <w:rFonts w:cstheme="minorHAnsi"/>
                <w:i/>
                <w:vertAlign w:val="superscript"/>
              </w:rPr>
              <w:footnoteReference w:id="1"/>
            </w:r>
            <w:r w:rsidRPr="005E584D">
              <w:rPr>
                <w:rFonts w:cstheme="minorHAnsi"/>
                <w:i/>
              </w:rPr>
              <w:t xml:space="preserve"> </w:t>
            </w:r>
            <w:r w:rsidRPr="005E584D">
              <w:rPr>
                <w:rFonts w:cstheme="minorHAnsi"/>
              </w:rPr>
              <w:t>§ 7 ust. 6 umowy.”</w:t>
            </w:r>
          </w:p>
          <w:p w14:paraId="42A4D1E7" w14:textId="77777777" w:rsidR="00E4093A" w:rsidRPr="005E584D" w:rsidRDefault="00E4093A" w:rsidP="00E4093A">
            <w:pPr>
              <w:pStyle w:val="Akapitzlist"/>
              <w:spacing w:before="120" w:after="120" w:line="276" w:lineRule="auto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  <w:b/>
              </w:rPr>
              <w:t>Jest</w:t>
            </w:r>
            <w:r w:rsidRPr="005E584D">
              <w:rPr>
                <w:rFonts w:cstheme="minorHAnsi"/>
              </w:rPr>
              <w:t>:</w:t>
            </w:r>
          </w:p>
          <w:p w14:paraId="0AEB1455" w14:textId="28B80FAF" w:rsidR="00E4093A" w:rsidRPr="005E584D" w:rsidRDefault="00E4093A" w:rsidP="00E4093A">
            <w:pPr>
              <w:pStyle w:val="Akapitzlist"/>
              <w:spacing w:before="120" w:after="120" w:line="276" w:lineRule="auto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„2. W przypadku rozwiązania umowy na podstawie § 23 ust. 2 i § 24 Beneficjent zobowiązany jest do zwrotu otrzymanego dofinansowania odpowiadającego nierozliczonym kwotom ryczałtowym, z zastrzeżeniem </w:t>
            </w:r>
            <w:r w:rsidRPr="005E584D">
              <w:rPr>
                <w:rFonts w:cstheme="minorHAnsi"/>
                <w:i/>
              </w:rPr>
              <w:t xml:space="preserve">§ 5 ust. 1 oraz </w:t>
            </w:r>
            <w:r w:rsidRPr="005E584D">
              <w:rPr>
                <w:rFonts w:cstheme="minorHAnsi"/>
                <w:i/>
                <w:vertAlign w:val="superscript"/>
              </w:rPr>
              <w:footnoteReference w:id="2"/>
            </w:r>
            <w:r w:rsidRPr="005E584D">
              <w:rPr>
                <w:rFonts w:cstheme="minorHAnsi"/>
                <w:i/>
              </w:rPr>
              <w:t xml:space="preserve"> </w:t>
            </w:r>
            <w:r w:rsidRPr="005E584D">
              <w:rPr>
                <w:rFonts w:cstheme="minorHAnsi"/>
              </w:rPr>
              <w:t>§ 7 ust. 6 umowy.”</w:t>
            </w:r>
          </w:p>
          <w:p w14:paraId="43C1C4AE" w14:textId="383E8703" w:rsidR="00E4093A" w:rsidRPr="005E584D" w:rsidRDefault="00E4093A" w:rsidP="00E4093A">
            <w:pPr>
              <w:pStyle w:val="Akapitzlist"/>
              <w:numPr>
                <w:ilvl w:val="0"/>
                <w:numId w:val="32"/>
              </w:numPr>
              <w:spacing w:before="120" w:after="120" w:line="276" w:lineRule="auto"/>
              <w:jc w:val="both"/>
              <w:rPr>
                <w:rFonts w:cstheme="minorHAnsi"/>
              </w:rPr>
            </w:pPr>
            <w:r w:rsidRPr="005E584D">
              <w:rPr>
                <w:rFonts w:cstheme="minorHAnsi"/>
              </w:rPr>
              <w:t xml:space="preserve">w § 29 pkt 4 umowy </w:t>
            </w:r>
            <w:r w:rsidRPr="005E584D">
              <w:rPr>
                <w:rFonts w:cstheme="minorHAnsi"/>
                <w:b/>
              </w:rPr>
              <w:t>zaktualizowano</w:t>
            </w:r>
            <w:r w:rsidRPr="005E584D">
              <w:rPr>
                <w:rFonts w:cstheme="minorHAnsi"/>
              </w:rPr>
              <w:t xml:space="preserve"> publikator ustawy z dnia 23 kwietnia 1964 r. - Kodeks cywilny </w:t>
            </w:r>
            <w:r w:rsidRPr="005E584D">
              <w:rPr>
                <w:rFonts w:cstheme="minorHAnsi"/>
              </w:rPr>
              <w:br/>
              <w:t>(Dz.U. z 2017 r. poz. 459, z późn. zm.).</w:t>
            </w:r>
          </w:p>
        </w:tc>
      </w:tr>
    </w:tbl>
    <w:p w14:paraId="66C15456" w14:textId="77777777" w:rsidR="00710FBA" w:rsidRDefault="007D7CDC">
      <w:r>
        <w:br w:type="textWrapping" w:clear="all"/>
      </w:r>
    </w:p>
    <w:sectPr w:rsidR="00710FBA" w:rsidSect="00710FBA">
      <w:headerReference w:type="default" r:id="rId23"/>
      <w:footerReference w:type="default" r:id="rId2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F843D" w14:textId="77777777" w:rsidR="008F0A5A" w:rsidRDefault="008F0A5A" w:rsidP="007061C7">
      <w:pPr>
        <w:spacing w:after="0" w:line="240" w:lineRule="auto"/>
      </w:pPr>
      <w:r>
        <w:separator/>
      </w:r>
    </w:p>
  </w:endnote>
  <w:endnote w:type="continuationSeparator" w:id="0">
    <w:p w14:paraId="788EBDDA" w14:textId="77777777" w:rsidR="008F0A5A" w:rsidRDefault="008F0A5A" w:rsidP="007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CA7B" w14:textId="77777777" w:rsidR="00CE7977" w:rsidRDefault="0072094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4EDD6B1" wp14:editId="3351F47B">
          <wp:simplePos x="0" y="0"/>
          <wp:positionH relativeFrom="column">
            <wp:posOffset>929031</wp:posOffset>
          </wp:positionH>
          <wp:positionV relativeFrom="page">
            <wp:posOffset>6822872</wp:posOffset>
          </wp:positionV>
          <wp:extent cx="7019925" cy="363855"/>
          <wp:effectExtent l="0" t="0" r="9525" b="0"/>
          <wp:wrapNone/>
          <wp:docPr id="13" name="Obraz 13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3B50C" w14:textId="77777777" w:rsidR="008F0A5A" w:rsidRDefault="008F0A5A" w:rsidP="007061C7">
      <w:pPr>
        <w:spacing w:after="0" w:line="240" w:lineRule="auto"/>
      </w:pPr>
      <w:r>
        <w:separator/>
      </w:r>
    </w:p>
  </w:footnote>
  <w:footnote w:type="continuationSeparator" w:id="0">
    <w:p w14:paraId="42537050" w14:textId="77777777" w:rsidR="008F0A5A" w:rsidRDefault="008F0A5A" w:rsidP="007061C7">
      <w:pPr>
        <w:spacing w:after="0" w:line="240" w:lineRule="auto"/>
      </w:pPr>
      <w:r>
        <w:continuationSeparator/>
      </w:r>
    </w:p>
  </w:footnote>
  <w:footnote w:id="1">
    <w:p w14:paraId="77291F42" w14:textId="77777777" w:rsidR="00E4093A" w:rsidRPr="00091700" w:rsidRDefault="00E4093A" w:rsidP="00425722">
      <w:pPr>
        <w:pStyle w:val="Tekstprzypisudolnego"/>
        <w:jc w:val="both"/>
        <w:rPr>
          <w:rFonts w:ascii="Calibri" w:hAnsi="Calibri" w:cs="Tahoma"/>
        </w:rPr>
      </w:pPr>
      <w:r w:rsidRPr="00091700">
        <w:rPr>
          <w:rStyle w:val="Odwoanieprzypisudolnego"/>
          <w:rFonts w:ascii="Calibri" w:hAnsi="Calibri" w:cs="Tahoma"/>
        </w:rPr>
        <w:footnoteRef/>
      </w:r>
      <w:r w:rsidRPr="00091700">
        <w:rPr>
          <w:rFonts w:ascii="Calibri" w:hAnsi="Calibri" w:cs="Tahoma"/>
        </w:rPr>
        <w:t xml:space="preserve"> Wykreślić, jeśli nie dotyczy.</w:t>
      </w:r>
    </w:p>
  </w:footnote>
  <w:footnote w:id="2">
    <w:p w14:paraId="7FA12334" w14:textId="77777777" w:rsidR="00E4093A" w:rsidRPr="00091700" w:rsidRDefault="00E4093A" w:rsidP="00425722">
      <w:pPr>
        <w:pStyle w:val="Tekstprzypisudolnego"/>
        <w:jc w:val="both"/>
        <w:rPr>
          <w:rFonts w:ascii="Calibri" w:hAnsi="Calibri" w:cs="Tahoma"/>
        </w:rPr>
      </w:pPr>
      <w:r w:rsidRPr="00091700">
        <w:rPr>
          <w:rStyle w:val="Odwoanieprzypisudolnego"/>
          <w:rFonts w:ascii="Calibri" w:hAnsi="Calibri" w:cs="Tahoma"/>
        </w:rPr>
        <w:footnoteRef/>
      </w:r>
      <w:r w:rsidRPr="00091700">
        <w:rPr>
          <w:rFonts w:ascii="Calibri" w:hAnsi="Calibri" w:cs="Tahoma"/>
        </w:rPr>
        <w:t xml:space="preserve"> Wykreślić,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69212" w14:textId="77777777" w:rsidR="00CE7977" w:rsidRDefault="00CE797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6928A3F" wp14:editId="6ECE8C6B">
          <wp:simplePos x="0" y="0"/>
          <wp:positionH relativeFrom="page">
            <wp:posOffset>1814195</wp:posOffset>
          </wp:positionH>
          <wp:positionV relativeFrom="page">
            <wp:posOffset>134620</wp:posOffset>
          </wp:positionV>
          <wp:extent cx="7056120" cy="759460"/>
          <wp:effectExtent l="0" t="0" r="0" b="2540"/>
          <wp:wrapNone/>
          <wp:docPr id="1" name="Obraz 1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auto"/>
        <w:sz w:val="22"/>
        <w:szCs w:val="22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</w:abstractNum>
  <w:abstractNum w:abstractNumId="3" w15:restartNumberingAfterBreak="0">
    <w:nsid w:val="02077787"/>
    <w:multiLevelType w:val="hybridMultilevel"/>
    <w:tmpl w:val="A6C2F0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3A55D3"/>
    <w:multiLevelType w:val="hybridMultilevel"/>
    <w:tmpl w:val="93BC0AD6"/>
    <w:lvl w:ilvl="0" w:tplc="03F0717A">
      <w:start w:val="1"/>
      <w:numFmt w:val="decimal"/>
      <w:lvlText w:val="%1)"/>
      <w:lvlJc w:val="left"/>
      <w:pPr>
        <w:ind w:left="86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5A24822"/>
    <w:multiLevelType w:val="hybridMultilevel"/>
    <w:tmpl w:val="2C5C1064"/>
    <w:lvl w:ilvl="0" w:tplc="38E2B9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B1258"/>
    <w:multiLevelType w:val="hybridMultilevel"/>
    <w:tmpl w:val="01289344"/>
    <w:lvl w:ilvl="0" w:tplc="D6120FC8">
      <w:start w:val="1"/>
      <w:numFmt w:val="bullet"/>
      <w:lvlText w:val="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 w15:restartNumberingAfterBreak="0">
    <w:nsid w:val="0AF1683A"/>
    <w:multiLevelType w:val="hybridMultilevel"/>
    <w:tmpl w:val="0DDE6E3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0CC8773A"/>
    <w:multiLevelType w:val="hybridMultilevel"/>
    <w:tmpl w:val="A1FCDD0C"/>
    <w:lvl w:ilvl="0" w:tplc="0415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9" w15:restartNumberingAfterBreak="0">
    <w:nsid w:val="15384023"/>
    <w:multiLevelType w:val="hybridMultilevel"/>
    <w:tmpl w:val="5A6C7B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8D46F4"/>
    <w:multiLevelType w:val="hybridMultilevel"/>
    <w:tmpl w:val="7C400114"/>
    <w:lvl w:ilvl="0" w:tplc="D612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8E0"/>
    <w:multiLevelType w:val="hybridMultilevel"/>
    <w:tmpl w:val="A704B61E"/>
    <w:lvl w:ilvl="0" w:tplc="D612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C7849"/>
    <w:multiLevelType w:val="hybridMultilevel"/>
    <w:tmpl w:val="725C9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E41DC"/>
    <w:multiLevelType w:val="hybridMultilevel"/>
    <w:tmpl w:val="AE1E48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DC29AE"/>
    <w:multiLevelType w:val="hybridMultilevel"/>
    <w:tmpl w:val="B5E00654"/>
    <w:lvl w:ilvl="0" w:tplc="149058E0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2D107D79"/>
    <w:multiLevelType w:val="hybridMultilevel"/>
    <w:tmpl w:val="59DCA252"/>
    <w:lvl w:ilvl="0" w:tplc="10EA39A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F5C20"/>
    <w:multiLevelType w:val="hybridMultilevel"/>
    <w:tmpl w:val="E5BC073C"/>
    <w:lvl w:ilvl="0" w:tplc="D6120FC8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7" w15:restartNumberingAfterBreak="0">
    <w:nsid w:val="343766FE"/>
    <w:multiLevelType w:val="hybridMultilevel"/>
    <w:tmpl w:val="D076B700"/>
    <w:lvl w:ilvl="0" w:tplc="D6120FC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BDB0A24"/>
    <w:multiLevelType w:val="hybridMultilevel"/>
    <w:tmpl w:val="6DCEE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0036"/>
    <w:multiLevelType w:val="hybridMultilevel"/>
    <w:tmpl w:val="AF18C8BE"/>
    <w:lvl w:ilvl="0" w:tplc="9F782C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628BE"/>
    <w:multiLevelType w:val="hybridMultilevel"/>
    <w:tmpl w:val="731EB126"/>
    <w:lvl w:ilvl="0" w:tplc="D6120FC8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3526E23"/>
    <w:multiLevelType w:val="hybridMultilevel"/>
    <w:tmpl w:val="0F8C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60323"/>
    <w:multiLevelType w:val="hybridMultilevel"/>
    <w:tmpl w:val="2898A41A"/>
    <w:lvl w:ilvl="0" w:tplc="D612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26A7"/>
    <w:multiLevelType w:val="hybridMultilevel"/>
    <w:tmpl w:val="8AAA369A"/>
    <w:lvl w:ilvl="0" w:tplc="351A91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10759"/>
    <w:multiLevelType w:val="hybridMultilevel"/>
    <w:tmpl w:val="2152C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C72890"/>
    <w:multiLevelType w:val="hybridMultilevel"/>
    <w:tmpl w:val="809C5046"/>
    <w:lvl w:ilvl="0" w:tplc="D68408B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0230F"/>
    <w:multiLevelType w:val="hybridMultilevel"/>
    <w:tmpl w:val="0136D5C4"/>
    <w:lvl w:ilvl="0" w:tplc="6F56A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2016C"/>
    <w:multiLevelType w:val="multilevel"/>
    <w:tmpl w:val="FCC6C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E26D18"/>
    <w:multiLevelType w:val="hybridMultilevel"/>
    <w:tmpl w:val="0DDE6E3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69577EA0"/>
    <w:multiLevelType w:val="hybridMultilevel"/>
    <w:tmpl w:val="1B8ACD52"/>
    <w:lvl w:ilvl="0" w:tplc="D6120FC8">
      <w:start w:val="1"/>
      <w:numFmt w:val="bullet"/>
      <w:lvlText w:val="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0" w15:restartNumberingAfterBreak="0">
    <w:nsid w:val="696C0F3B"/>
    <w:multiLevelType w:val="hybridMultilevel"/>
    <w:tmpl w:val="0F603484"/>
    <w:lvl w:ilvl="0" w:tplc="FD0C5A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3DC"/>
    <w:multiLevelType w:val="hybridMultilevel"/>
    <w:tmpl w:val="0F8C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31457"/>
    <w:multiLevelType w:val="hybridMultilevel"/>
    <w:tmpl w:val="E53A7AE4"/>
    <w:lvl w:ilvl="0" w:tplc="D6120FC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AF0353"/>
    <w:multiLevelType w:val="hybridMultilevel"/>
    <w:tmpl w:val="F81ABCC4"/>
    <w:lvl w:ilvl="0" w:tplc="663447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2C24"/>
    <w:multiLevelType w:val="hybridMultilevel"/>
    <w:tmpl w:val="2E3ACEF6"/>
    <w:lvl w:ilvl="0" w:tplc="D6120FC8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5" w15:restartNumberingAfterBreak="0">
    <w:nsid w:val="77890895"/>
    <w:multiLevelType w:val="hybridMultilevel"/>
    <w:tmpl w:val="54A22CA2"/>
    <w:lvl w:ilvl="0" w:tplc="D6120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4A50A2"/>
    <w:multiLevelType w:val="hybridMultilevel"/>
    <w:tmpl w:val="5E042EB4"/>
    <w:lvl w:ilvl="0" w:tplc="7D3491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9E6D41"/>
    <w:multiLevelType w:val="hybridMultilevel"/>
    <w:tmpl w:val="34F05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E0FE5"/>
    <w:multiLevelType w:val="hybridMultilevel"/>
    <w:tmpl w:val="12B4FECE"/>
    <w:lvl w:ilvl="0" w:tplc="D6120FC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31"/>
  </w:num>
  <w:num w:numId="5">
    <w:abstractNumId w:val="34"/>
  </w:num>
  <w:num w:numId="6">
    <w:abstractNumId w:val="32"/>
  </w:num>
  <w:num w:numId="7">
    <w:abstractNumId w:val="17"/>
  </w:num>
  <w:num w:numId="8">
    <w:abstractNumId w:val="6"/>
  </w:num>
  <w:num w:numId="9">
    <w:abstractNumId w:val="24"/>
  </w:num>
  <w:num w:numId="10">
    <w:abstractNumId w:val="22"/>
  </w:num>
  <w:num w:numId="11">
    <w:abstractNumId w:val="8"/>
  </w:num>
  <w:num w:numId="12">
    <w:abstractNumId w:val="35"/>
  </w:num>
  <w:num w:numId="13">
    <w:abstractNumId w:val="38"/>
  </w:num>
  <w:num w:numId="14">
    <w:abstractNumId w:val="10"/>
  </w:num>
  <w:num w:numId="15">
    <w:abstractNumId w:val="0"/>
  </w:num>
  <w:num w:numId="16">
    <w:abstractNumId w:val="14"/>
  </w:num>
  <w:num w:numId="17">
    <w:abstractNumId w:val="16"/>
  </w:num>
  <w:num w:numId="18">
    <w:abstractNumId w:val="19"/>
  </w:num>
  <w:num w:numId="19">
    <w:abstractNumId w:val="21"/>
  </w:num>
  <w:num w:numId="20">
    <w:abstractNumId w:val="11"/>
  </w:num>
  <w:num w:numId="21">
    <w:abstractNumId w:val="20"/>
  </w:num>
  <w:num w:numId="22">
    <w:abstractNumId w:val="23"/>
  </w:num>
  <w:num w:numId="23">
    <w:abstractNumId w:val="27"/>
  </w:num>
  <w:num w:numId="24">
    <w:abstractNumId w:val="12"/>
  </w:num>
  <w:num w:numId="25">
    <w:abstractNumId w:val="30"/>
  </w:num>
  <w:num w:numId="26">
    <w:abstractNumId w:val="4"/>
  </w:num>
  <w:num w:numId="27">
    <w:abstractNumId w:val="9"/>
  </w:num>
  <w:num w:numId="28">
    <w:abstractNumId w:val="33"/>
  </w:num>
  <w:num w:numId="29">
    <w:abstractNumId w:val="5"/>
  </w:num>
  <w:num w:numId="30">
    <w:abstractNumId w:val="37"/>
  </w:num>
  <w:num w:numId="31">
    <w:abstractNumId w:val="15"/>
  </w:num>
  <w:num w:numId="32">
    <w:abstractNumId w:val="25"/>
  </w:num>
  <w:num w:numId="33">
    <w:abstractNumId w:val="7"/>
  </w:num>
  <w:num w:numId="34">
    <w:abstractNumId w:val="18"/>
  </w:num>
  <w:num w:numId="35">
    <w:abstractNumId w:val="3"/>
  </w:num>
  <w:num w:numId="36">
    <w:abstractNumId w:val="36"/>
  </w:num>
  <w:num w:numId="37">
    <w:abstractNumId w:val="36"/>
  </w:num>
  <w:num w:numId="3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8B"/>
    <w:rsid w:val="00001AC3"/>
    <w:rsid w:val="00027595"/>
    <w:rsid w:val="000357A0"/>
    <w:rsid w:val="00060149"/>
    <w:rsid w:val="000617EA"/>
    <w:rsid w:val="000656F5"/>
    <w:rsid w:val="00070562"/>
    <w:rsid w:val="000747BB"/>
    <w:rsid w:val="00077752"/>
    <w:rsid w:val="000805FB"/>
    <w:rsid w:val="00086287"/>
    <w:rsid w:val="000A014A"/>
    <w:rsid w:val="000A0F9A"/>
    <w:rsid w:val="000B23CE"/>
    <w:rsid w:val="000C0084"/>
    <w:rsid w:val="000C6603"/>
    <w:rsid w:val="000D217C"/>
    <w:rsid w:val="000D66E5"/>
    <w:rsid w:val="00102D0B"/>
    <w:rsid w:val="00135A11"/>
    <w:rsid w:val="00137F7F"/>
    <w:rsid w:val="00145E90"/>
    <w:rsid w:val="0015362A"/>
    <w:rsid w:val="0015645E"/>
    <w:rsid w:val="00160C74"/>
    <w:rsid w:val="00177BF3"/>
    <w:rsid w:val="001C201E"/>
    <w:rsid w:val="001C3409"/>
    <w:rsid w:val="001F1D87"/>
    <w:rsid w:val="00213E43"/>
    <w:rsid w:val="00217A9A"/>
    <w:rsid w:val="0022288B"/>
    <w:rsid w:val="00234E60"/>
    <w:rsid w:val="00245192"/>
    <w:rsid w:val="00246378"/>
    <w:rsid w:val="00251602"/>
    <w:rsid w:val="00254A86"/>
    <w:rsid w:val="00256883"/>
    <w:rsid w:val="00261BC9"/>
    <w:rsid w:val="00272A9A"/>
    <w:rsid w:val="0029765D"/>
    <w:rsid w:val="002B6029"/>
    <w:rsid w:val="002C0303"/>
    <w:rsid w:val="002C4479"/>
    <w:rsid w:val="002D1456"/>
    <w:rsid w:val="002D24AD"/>
    <w:rsid w:val="002D498C"/>
    <w:rsid w:val="002F0F3E"/>
    <w:rsid w:val="002F7E28"/>
    <w:rsid w:val="00306BBA"/>
    <w:rsid w:val="00317C1F"/>
    <w:rsid w:val="00332E1A"/>
    <w:rsid w:val="00344F72"/>
    <w:rsid w:val="00352225"/>
    <w:rsid w:val="003527CF"/>
    <w:rsid w:val="00353A36"/>
    <w:rsid w:val="0036182F"/>
    <w:rsid w:val="00364547"/>
    <w:rsid w:val="00365546"/>
    <w:rsid w:val="00395E05"/>
    <w:rsid w:val="003C1526"/>
    <w:rsid w:val="003C77FA"/>
    <w:rsid w:val="003F139D"/>
    <w:rsid w:val="00414926"/>
    <w:rsid w:val="00425722"/>
    <w:rsid w:val="00427294"/>
    <w:rsid w:val="00434270"/>
    <w:rsid w:val="00462B1C"/>
    <w:rsid w:val="0046317F"/>
    <w:rsid w:val="004658CE"/>
    <w:rsid w:val="00466C7B"/>
    <w:rsid w:val="00467DF9"/>
    <w:rsid w:val="004A3C60"/>
    <w:rsid w:val="004A5F53"/>
    <w:rsid w:val="004A6E22"/>
    <w:rsid w:val="004D5220"/>
    <w:rsid w:val="004E0FBE"/>
    <w:rsid w:val="004E190C"/>
    <w:rsid w:val="004F0752"/>
    <w:rsid w:val="00502A8F"/>
    <w:rsid w:val="0050407F"/>
    <w:rsid w:val="00505ADF"/>
    <w:rsid w:val="00512DF0"/>
    <w:rsid w:val="00532908"/>
    <w:rsid w:val="00537309"/>
    <w:rsid w:val="00540F7A"/>
    <w:rsid w:val="0054309B"/>
    <w:rsid w:val="00546BB2"/>
    <w:rsid w:val="005718F5"/>
    <w:rsid w:val="005804B8"/>
    <w:rsid w:val="00595A36"/>
    <w:rsid w:val="005A2EA6"/>
    <w:rsid w:val="005B3EFB"/>
    <w:rsid w:val="005B4455"/>
    <w:rsid w:val="005C7F10"/>
    <w:rsid w:val="005D2B91"/>
    <w:rsid w:val="005E584D"/>
    <w:rsid w:val="00602BA8"/>
    <w:rsid w:val="0061432A"/>
    <w:rsid w:val="00617D33"/>
    <w:rsid w:val="0064466E"/>
    <w:rsid w:val="006638DD"/>
    <w:rsid w:val="00667067"/>
    <w:rsid w:val="0069475B"/>
    <w:rsid w:val="006A714D"/>
    <w:rsid w:val="006B691E"/>
    <w:rsid w:val="006C2160"/>
    <w:rsid w:val="006D5BF2"/>
    <w:rsid w:val="006D7AB4"/>
    <w:rsid w:val="006E056A"/>
    <w:rsid w:val="006E0593"/>
    <w:rsid w:val="006E5A3B"/>
    <w:rsid w:val="006F64F7"/>
    <w:rsid w:val="006F7EFD"/>
    <w:rsid w:val="00703617"/>
    <w:rsid w:val="007061C7"/>
    <w:rsid w:val="007077ED"/>
    <w:rsid w:val="00710FBA"/>
    <w:rsid w:val="00720940"/>
    <w:rsid w:val="00740BF7"/>
    <w:rsid w:val="0074166E"/>
    <w:rsid w:val="00753859"/>
    <w:rsid w:val="00755209"/>
    <w:rsid w:val="00756A82"/>
    <w:rsid w:val="00760614"/>
    <w:rsid w:val="00760719"/>
    <w:rsid w:val="007639A6"/>
    <w:rsid w:val="007727A3"/>
    <w:rsid w:val="0077611F"/>
    <w:rsid w:val="007868F7"/>
    <w:rsid w:val="00787F88"/>
    <w:rsid w:val="00791E9C"/>
    <w:rsid w:val="00794558"/>
    <w:rsid w:val="007A0FE6"/>
    <w:rsid w:val="007B26C9"/>
    <w:rsid w:val="007B3F57"/>
    <w:rsid w:val="007C3081"/>
    <w:rsid w:val="007D40CA"/>
    <w:rsid w:val="007D7CDC"/>
    <w:rsid w:val="007E62AA"/>
    <w:rsid w:val="008221E1"/>
    <w:rsid w:val="008242D8"/>
    <w:rsid w:val="008256F7"/>
    <w:rsid w:val="0082591B"/>
    <w:rsid w:val="0082754A"/>
    <w:rsid w:val="00843087"/>
    <w:rsid w:val="00861F0C"/>
    <w:rsid w:val="008663C5"/>
    <w:rsid w:val="00872DBC"/>
    <w:rsid w:val="00873968"/>
    <w:rsid w:val="008845A6"/>
    <w:rsid w:val="00886A27"/>
    <w:rsid w:val="008A519D"/>
    <w:rsid w:val="008A7765"/>
    <w:rsid w:val="008B3829"/>
    <w:rsid w:val="008C74D9"/>
    <w:rsid w:val="008F0A5A"/>
    <w:rsid w:val="008F692E"/>
    <w:rsid w:val="009052AD"/>
    <w:rsid w:val="00913365"/>
    <w:rsid w:val="009201F1"/>
    <w:rsid w:val="009211E8"/>
    <w:rsid w:val="00940346"/>
    <w:rsid w:val="009428EC"/>
    <w:rsid w:val="0094504C"/>
    <w:rsid w:val="0095151B"/>
    <w:rsid w:val="00955C95"/>
    <w:rsid w:val="00962362"/>
    <w:rsid w:val="00962588"/>
    <w:rsid w:val="00991000"/>
    <w:rsid w:val="009B35A3"/>
    <w:rsid w:val="009B6695"/>
    <w:rsid w:val="009D2BFC"/>
    <w:rsid w:val="009D788D"/>
    <w:rsid w:val="009E3B8F"/>
    <w:rsid w:val="009F2ABE"/>
    <w:rsid w:val="00A047AF"/>
    <w:rsid w:val="00A178FA"/>
    <w:rsid w:val="00A2005A"/>
    <w:rsid w:val="00A266DD"/>
    <w:rsid w:val="00A34677"/>
    <w:rsid w:val="00A65E27"/>
    <w:rsid w:val="00A65F6C"/>
    <w:rsid w:val="00A663E0"/>
    <w:rsid w:val="00A91B88"/>
    <w:rsid w:val="00A927CC"/>
    <w:rsid w:val="00A92B61"/>
    <w:rsid w:val="00AB007D"/>
    <w:rsid w:val="00AC1BBA"/>
    <w:rsid w:val="00AD4368"/>
    <w:rsid w:val="00AD531D"/>
    <w:rsid w:val="00AE0FD3"/>
    <w:rsid w:val="00AE1731"/>
    <w:rsid w:val="00B133CF"/>
    <w:rsid w:val="00B134EE"/>
    <w:rsid w:val="00B226F5"/>
    <w:rsid w:val="00B55D82"/>
    <w:rsid w:val="00B673B8"/>
    <w:rsid w:val="00B82EA7"/>
    <w:rsid w:val="00B83117"/>
    <w:rsid w:val="00B91712"/>
    <w:rsid w:val="00B93F0E"/>
    <w:rsid w:val="00BA1F25"/>
    <w:rsid w:val="00BC248F"/>
    <w:rsid w:val="00BC7097"/>
    <w:rsid w:val="00BC7932"/>
    <w:rsid w:val="00BF1101"/>
    <w:rsid w:val="00C23FA7"/>
    <w:rsid w:val="00C3400E"/>
    <w:rsid w:val="00C36E51"/>
    <w:rsid w:val="00C51EB5"/>
    <w:rsid w:val="00C85077"/>
    <w:rsid w:val="00C92FC1"/>
    <w:rsid w:val="00CA1980"/>
    <w:rsid w:val="00CA1D96"/>
    <w:rsid w:val="00CB09EA"/>
    <w:rsid w:val="00CB5751"/>
    <w:rsid w:val="00CC34F9"/>
    <w:rsid w:val="00CD5B0E"/>
    <w:rsid w:val="00CE0B00"/>
    <w:rsid w:val="00CE7977"/>
    <w:rsid w:val="00CF1ED6"/>
    <w:rsid w:val="00D06D93"/>
    <w:rsid w:val="00D079B7"/>
    <w:rsid w:val="00D2141B"/>
    <w:rsid w:val="00D51809"/>
    <w:rsid w:val="00D71F31"/>
    <w:rsid w:val="00D725E8"/>
    <w:rsid w:val="00D8758F"/>
    <w:rsid w:val="00D94C18"/>
    <w:rsid w:val="00DC1DBD"/>
    <w:rsid w:val="00DF06E0"/>
    <w:rsid w:val="00DF6DDE"/>
    <w:rsid w:val="00E00791"/>
    <w:rsid w:val="00E01FE1"/>
    <w:rsid w:val="00E0303C"/>
    <w:rsid w:val="00E14D6F"/>
    <w:rsid w:val="00E16682"/>
    <w:rsid w:val="00E175A4"/>
    <w:rsid w:val="00E312BB"/>
    <w:rsid w:val="00E4093A"/>
    <w:rsid w:val="00E4182F"/>
    <w:rsid w:val="00E77659"/>
    <w:rsid w:val="00E91808"/>
    <w:rsid w:val="00EA17E4"/>
    <w:rsid w:val="00EA4715"/>
    <w:rsid w:val="00EB222B"/>
    <w:rsid w:val="00EB5379"/>
    <w:rsid w:val="00EE2CA6"/>
    <w:rsid w:val="00EF5738"/>
    <w:rsid w:val="00F106EC"/>
    <w:rsid w:val="00F13D6A"/>
    <w:rsid w:val="00F22116"/>
    <w:rsid w:val="00F254A2"/>
    <w:rsid w:val="00F310E1"/>
    <w:rsid w:val="00F33664"/>
    <w:rsid w:val="00F72BBB"/>
    <w:rsid w:val="00F73748"/>
    <w:rsid w:val="00F73AB4"/>
    <w:rsid w:val="00F742F2"/>
    <w:rsid w:val="00F74CB1"/>
    <w:rsid w:val="00F855C0"/>
    <w:rsid w:val="00F943E6"/>
    <w:rsid w:val="00FB52AD"/>
    <w:rsid w:val="00FC7FC2"/>
    <w:rsid w:val="00FD5F23"/>
    <w:rsid w:val="00FD7E61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FAE7"/>
  <w15:docId w15:val="{759793E9-6100-41E6-85DA-9B0DFC8E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45E"/>
  </w:style>
  <w:style w:type="paragraph" w:styleId="Nagwek1">
    <w:name w:val="heading 1"/>
    <w:basedOn w:val="Normalny"/>
    <w:next w:val="Normalny"/>
    <w:link w:val="Nagwek1Znak"/>
    <w:uiPriority w:val="9"/>
    <w:qFormat/>
    <w:rsid w:val="00A34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9"/>
    <w:unhideWhenUsed/>
    <w:qFormat/>
    <w:rsid w:val="00353A36"/>
    <w:pPr>
      <w:shd w:val="clear" w:color="auto" w:fill="8DB3E2" w:themeFill="text2" w:themeFillTint="66"/>
      <w:spacing w:after="0"/>
      <w:ind w:left="567" w:hanging="567"/>
      <w:jc w:val="both"/>
      <w:outlineLvl w:val="1"/>
    </w:pPr>
    <w:rPr>
      <w:rFonts w:eastAsiaTheme="majorEastAsia" w:cs="Times New Roman"/>
      <w:b/>
      <w:bCs/>
      <w:iCs/>
      <w:color w:val="FFFFFF" w:themeColor="background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6E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10FB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353A36"/>
    <w:rPr>
      <w:rFonts w:eastAsiaTheme="majorEastAsia" w:cs="Times New Roman"/>
      <w:b/>
      <w:bCs/>
      <w:iCs/>
      <w:color w:val="FFFFFF" w:themeColor="background1"/>
      <w:sz w:val="24"/>
      <w:szCs w:val="24"/>
      <w:shd w:val="clear" w:color="auto" w:fill="8DB3E2" w:themeFill="text2" w:themeFillTint="66"/>
    </w:rPr>
  </w:style>
  <w:style w:type="character" w:styleId="Hipercze">
    <w:name w:val="Hyperlink"/>
    <w:basedOn w:val="Domylnaczcionkaakapitu"/>
    <w:uiPriority w:val="99"/>
    <w:unhideWhenUsed/>
    <w:rsid w:val="00F73AB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6E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1C7"/>
  </w:style>
  <w:style w:type="paragraph" w:styleId="Stopka">
    <w:name w:val="footer"/>
    <w:basedOn w:val="Normalny"/>
    <w:link w:val="StopkaZnak"/>
    <w:uiPriority w:val="99"/>
    <w:unhideWhenUsed/>
    <w:rsid w:val="00706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1C7"/>
  </w:style>
  <w:style w:type="paragraph" w:styleId="Zwykytekst">
    <w:name w:val="Plain Text"/>
    <w:basedOn w:val="Normalny"/>
    <w:link w:val="ZwykytekstZnak"/>
    <w:uiPriority w:val="99"/>
    <w:unhideWhenUsed/>
    <w:rsid w:val="00C92FC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92FC1"/>
    <w:rPr>
      <w:rFonts w:ascii="Calibri" w:eastAsiaTheme="minorHAnsi" w:hAnsi="Calibri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3E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1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1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1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F25"/>
    <w:rPr>
      <w:b/>
      <w:bCs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13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135A11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B52AD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5C7F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346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24">
    <w:name w:val="Style24"/>
    <w:basedOn w:val="Normalny"/>
    <w:uiPriority w:val="99"/>
    <w:rsid w:val="000D217C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WW-Default">
    <w:name w:val="WW-Default"/>
    <w:uiPriority w:val="99"/>
    <w:rsid w:val="00CB57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D5BF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D5BF2"/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45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morskie.eu/" TargetMode="External"/><Relationship Id="rId13" Type="http://schemas.openxmlformats.org/officeDocument/2006/relationships/hyperlink" Target="http://www.mr.gov.pl" TargetMode="External"/><Relationship Id="rId18" Type="http://schemas.openxmlformats.org/officeDocument/2006/relationships/hyperlink" Target="http://www.kiw-pokl.org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iw-pokl.org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r.gov.pl/" TargetMode="External"/><Relationship Id="rId17" Type="http://schemas.openxmlformats.org/officeDocument/2006/relationships/hyperlink" Target="http://www.gwa.pomorskie.e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wa.pomorskie.eu/" TargetMode="External"/><Relationship Id="rId20" Type="http://schemas.openxmlformats.org/officeDocument/2006/relationships/hyperlink" Target="http://www.kiw-pokl.org.pl/index.php?option=com_sobipro&amp;task=search&amp;sid=285&amp;Itemid=690&amp;lang=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rpo.pomorskie.e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funduszeeuropejskie.gov.pl/" TargetMode="External"/><Relationship Id="rId19" Type="http://schemas.openxmlformats.org/officeDocument/2006/relationships/hyperlink" Target="http://www.kiw-pokl.org.pl/index.php?option=com_k2&amp;view=item&amp;layout=item&amp;id=1522&amp;Itemid=776&amp;lang=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pomorskie.eu" TargetMode="External"/><Relationship Id="rId14" Type="http://schemas.openxmlformats.org/officeDocument/2006/relationships/hyperlink" Target="http://www.rpo.pomorskie.eu/" TargetMode="External"/><Relationship Id="rId22" Type="http://schemas.openxmlformats.org/officeDocument/2006/relationships/hyperlink" Target="http://www.ecb.europa.eu/stats/policy_and_exchange_rates/euro_reference_exchange_rates/html/eurofxref-graph-pln.en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76A3-25DB-4E3C-9146-BE90C4C5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1321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Kurniewicz</dc:creator>
  <cp:keywords/>
  <dc:description/>
  <cp:lastModifiedBy>Mazur Aleksandra</cp:lastModifiedBy>
  <cp:revision>14</cp:revision>
  <cp:lastPrinted>2015-08-11T10:05:00Z</cp:lastPrinted>
  <dcterms:created xsi:type="dcterms:W3CDTF">2017-07-07T09:25:00Z</dcterms:created>
  <dcterms:modified xsi:type="dcterms:W3CDTF">2017-07-11T09:25:00Z</dcterms:modified>
</cp:coreProperties>
</file>