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7D1" w:rsidRDefault="00625273" w:rsidP="00A647A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753100" cy="419100"/>
            <wp:effectExtent l="0" t="0" r="0" b="0"/>
            <wp:docPr id="2" name="Obraz 2" descr="Pasek logotypów: Fundusze Europejskie Program Regionalny, Barwy Rzeczpospolitej Polskiej, Podkarpackie,  Unia Europejska 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ek logotypów: Fundusze Europejskie Program Regionalny, Barwy Rzeczpospolitej Polskiej, Podkarpackie,  Unia Europejska EF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DF" w:rsidRDefault="00C21E71" w:rsidP="006F025D">
      <w:pPr>
        <w:spacing w:before="240" w:after="64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Rzeszów, </w:t>
      </w:r>
      <w:r w:rsidR="00741931">
        <w:rPr>
          <w:rFonts w:ascii="Arial" w:hAnsi="Arial" w:cs="Arial"/>
        </w:rPr>
        <w:t>22</w:t>
      </w:r>
      <w:r w:rsidR="002E2F9B">
        <w:rPr>
          <w:rFonts w:ascii="Arial" w:hAnsi="Arial" w:cs="Arial"/>
        </w:rPr>
        <w:t>.</w:t>
      </w:r>
      <w:r w:rsidR="00625273">
        <w:rPr>
          <w:rFonts w:ascii="Arial" w:hAnsi="Arial" w:cs="Arial"/>
        </w:rPr>
        <w:t>0</w:t>
      </w:r>
      <w:r w:rsidR="00A70076">
        <w:rPr>
          <w:rFonts w:ascii="Arial" w:hAnsi="Arial" w:cs="Arial"/>
        </w:rPr>
        <w:t>1</w:t>
      </w:r>
      <w:r w:rsidR="002E2F9B">
        <w:rPr>
          <w:rFonts w:ascii="Arial" w:hAnsi="Arial" w:cs="Arial"/>
        </w:rPr>
        <w:t>.202</w:t>
      </w:r>
      <w:r w:rsidR="00A70076">
        <w:rPr>
          <w:rFonts w:ascii="Arial" w:hAnsi="Arial" w:cs="Arial"/>
        </w:rPr>
        <w:t>5</w:t>
      </w:r>
      <w:r w:rsidR="002E2F9B">
        <w:rPr>
          <w:rFonts w:ascii="Arial" w:hAnsi="Arial" w:cs="Arial"/>
        </w:rPr>
        <w:t xml:space="preserve"> r.</w:t>
      </w:r>
    </w:p>
    <w:p w:rsidR="007C4822" w:rsidRPr="0000585F" w:rsidRDefault="007C4822" w:rsidP="006F025D">
      <w:pPr>
        <w:pStyle w:val="Nagwek1"/>
        <w:spacing w:after="640"/>
        <w:rPr>
          <w:rFonts w:ascii="Arial" w:hAnsi="Arial" w:cs="Arial"/>
        </w:rPr>
      </w:pPr>
      <w:r w:rsidRPr="0000585F">
        <w:rPr>
          <w:rFonts w:ascii="Arial" w:hAnsi="Arial" w:cs="Arial"/>
        </w:rPr>
        <w:t>Wykaz głównych zmian RPO WP 2014-2020</w:t>
      </w:r>
    </w:p>
    <w:p w:rsidR="00FC5A39" w:rsidRPr="00E01BBF" w:rsidRDefault="00FC5A39" w:rsidP="00FC5A39">
      <w:pPr>
        <w:suppressAutoHyphens/>
        <w:kinsoku w:val="0"/>
        <w:overflowPunct w:val="0"/>
        <w:spacing w:line="276" w:lineRule="auto"/>
        <w:textAlignment w:val="baseline"/>
        <w:rPr>
          <w:rFonts w:ascii="Arial" w:hAnsi="Arial" w:cs="Arial"/>
          <w:sz w:val="21"/>
          <w:szCs w:val="21"/>
        </w:rPr>
      </w:pPr>
      <w:r w:rsidRPr="00E01BBF">
        <w:rPr>
          <w:rFonts w:ascii="Arial" w:hAnsi="Arial" w:cs="Arial"/>
          <w:sz w:val="21"/>
          <w:szCs w:val="21"/>
        </w:rPr>
        <w:t>Zmiany wprowadzone do ww. dokumentu w porównaniu do wcześniej obowiązującej</w:t>
      </w:r>
    </w:p>
    <w:p w:rsidR="00BF742A" w:rsidRPr="00E01BBF" w:rsidRDefault="00FC5A39" w:rsidP="00FC5A39">
      <w:pPr>
        <w:suppressAutoHyphens/>
        <w:kinsoku w:val="0"/>
        <w:overflowPunct w:val="0"/>
        <w:spacing w:line="276" w:lineRule="auto"/>
        <w:textAlignment w:val="baseline"/>
        <w:rPr>
          <w:rFonts w:ascii="Arial" w:hAnsi="Arial" w:cs="Arial"/>
          <w:sz w:val="21"/>
          <w:szCs w:val="21"/>
        </w:rPr>
      </w:pPr>
      <w:r w:rsidRPr="00E01BBF">
        <w:rPr>
          <w:rFonts w:ascii="Arial" w:hAnsi="Arial" w:cs="Arial"/>
          <w:sz w:val="21"/>
          <w:szCs w:val="21"/>
        </w:rPr>
        <w:t xml:space="preserve">wersji RPO WP 2014-2020 (z dnia 16 sierpnia 2023 r.) </w:t>
      </w:r>
      <w:r w:rsidR="00BA3785" w:rsidRPr="00E01BBF">
        <w:rPr>
          <w:rFonts w:ascii="Arial" w:hAnsi="Arial" w:cs="Arial"/>
          <w:sz w:val="21"/>
          <w:szCs w:val="21"/>
        </w:rPr>
        <w:t xml:space="preserve">dotyczą zwiększenia dofinansowania do 100% w zakresie </w:t>
      </w:r>
      <w:r w:rsidR="00EE14C8" w:rsidRPr="00E01BBF">
        <w:rPr>
          <w:rFonts w:ascii="Arial" w:hAnsi="Arial" w:cs="Arial"/>
          <w:sz w:val="21"/>
          <w:szCs w:val="21"/>
        </w:rPr>
        <w:t>O</w:t>
      </w:r>
      <w:r w:rsidR="00BA3785" w:rsidRPr="00E01BBF">
        <w:rPr>
          <w:rFonts w:ascii="Arial" w:hAnsi="Arial" w:cs="Arial"/>
          <w:sz w:val="21"/>
          <w:szCs w:val="21"/>
        </w:rPr>
        <w:t xml:space="preserve">si priorytetowej II. </w:t>
      </w:r>
      <w:r w:rsidR="00BA3785" w:rsidRPr="00E01BBF">
        <w:rPr>
          <w:rFonts w:ascii="Arial" w:hAnsi="Arial" w:cs="Arial"/>
          <w:i/>
          <w:sz w:val="21"/>
          <w:szCs w:val="21"/>
        </w:rPr>
        <w:t>Cyfrowe Podkarpackie</w:t>
      </w:r>
      <w:r w:rsidR="00BA3785" w:rsidRPr="00E01BBF">
        <w:rPr>
          <w:rFonts w:ascii="Arial" w:hAnsi="Arial" w:cs="Arial"/>
          <w:sz w:val="21"/>
          <w:szCs w:val="21"/>
        </w:rPr>
        <w:t xml:space="preserve">, </w:t>
      </w:r>
      <w:r w:rsidR="00EE14C8" w:rsidRPr="00E01BBF">
        <w:rPr>
          <w:rFonts w:ascii="Arial" w:hAnsi="Arial" w:cs="Arial"/>
          <w:sz w:val="21"/>
          <w:szCs w:val="21"/>
        </w:rPr>
        <w:t>O</w:t>
      </w:r>
      <w:r w:rsidR="00BA3785" w:rsidRPr="00E01BBF">
        <w:rPr>
          <w:rFonts w:ascii="Arial" w:hAnsi="Arial" w:cs="Arial"/>
          <w:sz w:val="21"/>
          <w:szCs w:val="21"/>
        </w:rPr>
        <w:t xml:space="preserve">si priorytetowej III. </w:t>
      </w:r>
      <w:r w:rsidR="00BA3785" w:rsidRPr="00E01BBF">
        <w:rPr>
          <w:rFonts w:ascii="Arial" w:hAnsi="Arial" w:cs="Arial"/>
          <w:i/>
          <w:sz w:val="21"/>
          <w:szCs w:val="21"/>
        </w:rPr>
        <w:t>Czysta energia</w:t>
      </w:r>
      <w:r w:rsidR="00BA3785" w:rsidRPr="00E01BBF">
        <w:rPr>
          <w:rFonts w:ascii="Arial" w:hAnsi="Arial" w:cs="Arial"/>
          <w:sz w:val="21"/>
          <w:szCs w:val="21"/>
        </w:rPr>
        <w:t xml:space="preserve"> (EFRR) oraz </w:t>
      </w:r>
      <w:r w:rsidR="00EE14C8" w:rsidRPr="00E01BBF">
        <w:rPr>
          <w:rFonts w:ascii="Arial" w:hAnsi="Arial" w:cs="Arial"/>
          <w:sz w:val="21"/>
          <w:szCs w:val="21"/>
        </w:rPr>
        <w:t>O</w:t>
      </w:r>
      <w:r w:rsidR="00BA3785" w:rsidRPr="00E01BBF">
        <w:rPr>
          <w:rFonts w:ascii="Arial" w:hAnsi="Arial" w:cs="Arial"/>
          <w:sz w:val="21"/>
          <w:szCs w:val="21"/>
        </w:rPr>
        <w:t xml:space="preserve">si priorytetowej VII. </w:t>
      </w:r>
      <w:r w:rsidR="00BA3785" w:rsidRPr="00E01BBF">
        <w:rPr>
          <w:rFonts w:ascii="Arial" w:hAnsi="Arial" w:cs="Arial"/>
          <w:i/>
          <w:sz w:val="21"/>
          <w:szCs w:val="21"/>
        </w:rPr>
        <w:t>Regionalny rynek pracy</w:t>
      </w:r>
      <w:r w:rsidR="00BA3785" w:rsidRPr="00E01BBF">
        <w:rPr>
          <w:rFonts w:ascii="Arial" w:hAnsi="Arial" w:cs="Arial"/>
          <w:sz w:val="21"/>
          <w:szCs w:val="21"/>
        </w:rPr>
        <w:t xml:space="preserve"> i Osi priorytetowej VIII. </w:t>
      </w:r>
      <w:r w:rsidR="00BA3785" w:rsidRPr="00E01BBF">
        <w:rPr>
          <w:rFonts w:ascii="Arial" w:hAnsi="Arial" w:cs="Arial"/>
          <w:i/>
          <w:sz w:val="21"/>
          <w:szCs w:val="21"/>
        </w:rPr>
        <w:t>Integracja społeczna</w:t>
      </w:r>
      <w:r w:rsidR="00BA3785" w:rsidRPr="00E01BBF">
        <w:rPr>
          <w:rFonts w:ascii="Arial" w:hAnsi="Arial" w:cs="Arial"/>
          <w:sz w:val="21"/>
          <w:szCs w:val="21"/>
        </w:rPr>
        <w:t xml:space="preserve"> (EFS) RPO WP 2014-2020 i zostały zaimplementowane w Sekcji 3. </w:t>
      </w:r>
      <w:r w:rsidR="00BA3785" w:rsidRPr="00E01BBF">
        <w:rPr>
          <w:rFonts w:ascii="Arial" w:hAnsi="Arial" w:cs="Arial"/>
          <w:i/>
          <w:sz w:val="21"/>
          <w:szCs w:val="21"/>
        </w:rPr>
        <w:t>Plan finansowy</w:t>
      </w:r>
      <w:r w:rsidR="00BA3785" w:rsidRPr="00E01BBF">
        <w:rPr>
          <w:rFonts w:ascii="Arial" w:hAnsi="Arial" w:cs="Arial"/>
          <w:sz w:val="21"/>
          <w:szCs w:val="21"/>
        </w:rPr>
        <w:t xml:space="preserve">, Sekcja 3.2 </w:t>
      </w:r>
      <w:r w:rsidR="00BA3785" w:rsidRPr="00E01BBF">
        <w:rPr>
          <w:rFonts w:ascii="Arial" w:hAnsi="Arial" w:cs="Arial"/>
          <w:i/>
          <w:sz w:val="21"/>
          <w:szCs w:val="21"/>
        </w:rPr>
        <w:t>Łączne środki finansowe w podziale na fundusz oraz współfinansowanie krajowe</w:t>
      </w:r>
      <w:r w:rsidR="00BA3785" w:rsidRPr="00E01BBF">
        <w:rPr>
          <w:rFonts w:ascii="Arial" w:hAnsi="Arial" w:cs="Arial"/>
          <w:sz w:val="21"/>
          <w:szCs w:val="21"/>
        </w:rPr>
        <w:t xml:space="preserve"> (EUR), Tabela 18a: </w:t>
      </w:r>
      <w:r w:rsidR="00BA3785" w:rsidRPr="00E01BBF">
        <w:rPr>
          <w:rFonts w:ascii="Arial" w:hAnsi="Arial" w:cs="Arial"/>
          <w:i/>
          <w:sz w:val="21"/>
          <w:szCs w:val="21"/>
        </w:rPr>
        <w:t>Plan finansowy programu (EUR) Programu</w:t>
      </w:r>
      <w:r w:rsidR="00EE14C8" w:rsidRPr="00E01BBF">
        <w:rPr>
          <w:rFonts w:ascii="Arial" w:hAnsi="Arial" w:cs="Arial"/>
          <w:sz w:val="21"/>
          <w:szCs w:val="21"/>
        </w:rPr>
        <w:t>.</w:t>
      </w:r>
    </w:p>
    <w:p w:rsidR="00126D94" w:rsidRPr="00E01BBF" w:rsidRDefault="00126D94" w:rsidP="00126D94">
      <w:pPr>
        <w:suppressAutoHyphens/>
        <w:kinsoku w:val="0"/>
        <w:overflowPunct w:val="0"/>
        <w:spacing w:line="276" w:lineRule="auto"/>
        <w:textAlignment w:val="baseline"/>
        <w:rPr>
          <w:rFonts w:ascii="Arial" w:hAnsi="Arial" w:cs="Arial"/>
          <w:sz w:val="21"/>
          <w:szCs w:val="21"/>
        </w:rPr>
      </w:pPr>
      <w:r w:rsidRPr="00E01BBF">
        <w:rPr>
          <w:rFonts w:ascii="Arial" w:hAnsi="Arial" w:cs="Arial"/>
          <w:sz w:val="21"/>
          <w:szCs w:val="21"/>
        </w:rPr>
        <w:t>Zastosowanie w Programie RPO WP 2014-2020 stopy współfinansowania na poziomie 100% dla wydatków zadeklarowanych we wnioskach o płatność do Komisji Europejskiej za ostatni rok obrachunkowy, tj. od 1 lipca 2023 r. do 30 czerwca 2024 r. w odniesieniu do jednej lub więcej osi priorytetowych (wszystkich funduszy) umożliwiło wejście w życie Rozporządzenia Parlamentu Europejskiego i Rady (UE) Nr 2024/795 z dnia 29 lutego 2024r. w sprawie ustanowienia Platformy na rzecz Technologii Strategicznych dla Europy (dalej: Rozporządzenie STEP) w</w:t>
      </w:r>
      <w:r w:rsidR="00EE14C8" w:rsidRPr="00E01BBF">
        <w:rPr>
          <w:rFonts w:ascii="Arial" w:hAnsi="Arial" w:cs="Arial"/>
          <w:sz w:val="21"/>
          <w:szCs w:val="21"/>
        </w:rPr>
        <w:t xml:space="preserve"> wynik</w:t>
      </w:r>
      <w:r w:rsidRPr="00E01BBF">
        <w:rPr>
          <w:rFonts w:ascii="Arial" w:hAnsi="Arial" w:cs="Arial"/>
          <w:sz w:val="21"/>
          <w:szCs w:val="21"/>
        </w:rPr>
        <w:t>u</w:t>
      </w:r>
      <w:r w:rsidR="00EE14C8" w:rsidRPr="00E01BBF">
        <w:rPr>
          <w:rFonts w:ascii="Arial" w:hAnsi="Arial" w:cs="Arial"/>
          <w:sz w:val="21"/>
          <w:szCs w:val="21"/>
        </w:rPr>
        <w:t xml:space="preserve"> </w:t>
      </w:r>
      <w:r w:rsidRPr="00E01BBF">
        <w:rPr>
          <w:rFonts w:ascii="Arial" w:hAnsi="Arial" w:cs="Arial"/>
          <w:sz w:val="21"/>
          <w:szCs w:val="21"/>
        </w:rPr>
        <w:t xml:space="preserve">czego </w:t>
      </w:r>
      <w:r w:rsidR="00EE14C8" w:rsidRPr="00E01BBF">
        <w:rPr>
          <w:rFonts w:ascii="Arial" w:hAnsi="Arial" w:cs="Arial"/>
          <w:sz w:val="21"/>
          <w:szCs w:val="21"/>
        </w:rPr>
        <w:t xml:space="preserve">nowelizacji </w:t>
      </w:r>
      <w:r w:rsidRPr="00E01BBF">
        <w:rPr>
          <w:rFonts w:ascii="Arial" w:hAnsi="Arial" w:cs="Arial"/>
          <w:sz w:val="21"/>
          <w:szCs w:val="21"/>
        </w:rPr>
        <w:t xml:space="preserve">uległo </w:t>
      </w:r>
      <w:r w:rsidR="00EE14C8" w:rsidRPr="00E01BBF">
        <w:rPr>
          <w:rFonts w:ascii="Arial" w:hAnsi="Arial" w:cs="Arial"/>
          <w:sz w:val="21"/>
          <w:szCs w:val="21"/>
        </w:rPr>
        <w:t>Rozporządzeni</w:t>
      </w:r>
      <w:r w:rsidRPr="00E01BBF">
        <w:rPr>
          <w:rFonts w:ascii="Arial" w:hAnsi="Arial" w:cs="Arial"/>
          <w:sz w:val="21"/>
          <w:szCs w:val="21"/>
        </w:rPr>
        <w:t>e</w:t>
      </w:r>
      <w:r w:rsidR="00EE14C8" w:rsidRPr="00E01BBF">
        <w:rPr>
          <w:rFonts w:ascii="Arial" w:hAnsi="Arial" w:cs="Arial"/>
          <w:sz w:val="21"/>
          <w:szCs w:val="21"/>
        </w:rPr>
        <w:t xml:space="preserve"> ogólne nr 1303/2013, poprzez dodanie w artykule 25a ustępu 1b</w:t>
      </w:r>
      <w:r w:rsidRPr="00E01BBF">
        <w:rPr>
          <w:rFonts w:ascii="Arial" w:hAnsi="Arial" w:cs="Arial"/>
          <w:sz w:val="21"/>
          <w:szCs w:val="21"/>
        </w:rPr>
        <w:t>.</w:t>
      </w:r>
    </w:p>
    <w:p w:rsidR="00EE14C8" w:rsidRPr="00E01BBF" w:rsidRDefault="00EE14C8" w:rsidP="00EE14C8">
      <w:pPr>
        <w:suppressAutoHyphens/>
        <w:kinsoku w:val="0"/>
        <w:overflowPunct w:val="0"/>
        <w:spacing w:line="276" w:lineRule="auto"/>
        <w:textAlignment w:val="baseline"/>
        <w:rPr>
          <w:rFonts w:ascii="Arial" w:hAnsi="Arial" w:cs="Arial"/>
          <w:sz w:val="21"/>
          <w:szCs w:val="21"/>
        </w:rPr>
      </w:pPr>
      <w:r w:rsidRPr="00E01BBF">
        <w:rPr>
          <w:rFonts w:ascii="Arial" w:hAnsi="Arial" w:cs="Arial"/>
          <w:sz w:val="21"/>
          <w:szCs w:val="21"/>
        </w:rPr>
        <w:t>Określona kwota wydatków kwalifikowalnych certyfikowanych objęta ww. zmianą umożliwi wygenerowanie wyższych wnioskowanych kwot wkładu UE, tj. 100% deklarowanych wydatków kwalifikowalnych, a nie jak dotychczas 85%.</w:t>
      </w:r>
    </w:p>
    <w:p w:rsidR="00625273" w:rsidRPr="00E01BBF" w:rsidRDefault="004716DC" w:rsidP="00AB4ECC">
      <w:pPr>
        <w:spacing w:after="160" w:line="276" w:lineRule="auto"/>
        <w:rPr>
          <w:rFonts w:ascii="Arial" w:eastAsia="Calibri" w:hAnsi="Arial" w:cs="Arial"/>
          <w:sz w:val="21"/>
          <w:szCs w:val="21"/>
        </w:rPr>
      </w:pPr>
      <w:r w:rsidRPr="00E01BBF">
        <w:rPr>
          <w:rFonts w:ascii="Arial" w:eastAsia="Calibri" w:hAnsi="Arial" w:cs="Arial"/>
          <w:sz w:val="21"/>
          <w:szCs w:val="21"/>
        </w:rPr>
        <w:t>Stopa dofinansowania 100% będzie miała zastosowanie do wszystkich wydatków zadeklarowanych w ostatnim roku obrachunkowym – nawet jeśli w ostatecznym wniosku o płatność okresową nie zostaną zadeklarowane żadne nowe wydatki. Nie będzie możliwości zastosowania stopy dofinansowania 100% w odniesieniu do wydatków deklarowanych jedynie w jakimś wycinku czasowym ostatniego roku obrachunkowego.</w:t>
      </w:r>
    </w:p>
    <w:p w:rsidR="00625273" w:rsidRPr="00B816CE" w:rsidRDefault="00625273" w:rsidP="00147AD1">
      <w:pPr>
        <w:widowControl w:val="0"/>
        <w:autoSpaceDE w:val="0"/>
        <w:autoSpaceDN w:val="0"/>
        <w:adjustRightInd w:val="0"/>
        <w:spacing w:after="160" w:line="276" w:lineRule="auto"/>
        <w:ind w:right="4"/>
        <w:rPr>
          <w:rFonts w:ascii="Arial" w:hAnsi="Arial" w:cs="Arial"/>
          <w:b/>
          <w:sz w:val="22"/>
          <w:szCs w:val="22"/>
          <w:lang w:eastAsia="ar-SA"/>
        </w:rPr>
      </w:pPr>
      <w:r w:rsidRPr="00B816CE">
        <w:rPr>
          <w:rFonts w:ascii="Arial" w:hAnsi="Arial" w:cs="Arial"/>
          <w:b/>
          <w:sz w:val="22"/>
          <w:szCs w:val="22"/>
          <w:lang w:eastAsia="ar-SA"/>
        </w:rPr>
        <w:t>Zakres zmian RPO WP 2014-2020 obejmuje</w:t>
      </w:r>
      <w:r w:rsidR="00BA3785" w:rsidRPr="00B816CE">
        <w:rPr>
          <w:rFonts w:ascii="Arial" w:hAnsi="Arial" w:cs="Arial"/>
          <w:b/>
          <w:sz w:val="22"/>
          <w:szCs w:val="22"/>
          <w:lang w:eastAsia="ar-SA"/>
        </w:rPr>
        <w:t>:</w:t>
      </w:r>
    </w:p>
    <w:p w:rsidR="00A17A38" w:rsidRPr="00E01BBF" w:rsidRDefault="00BA3785" w:rsidP="00147AD1">
      <w:pPr>
        <w:pStyle w:val="Akapitzlist"/>
        <w:numPr>
          <w:ilvl w:val="0"/>
          <w:numId w:val="35"/>
        </w:numPr>
        <w:suppressAutoHyphens/>
        <w:spacing w:before="160" w:after="160" w:line="276" w:lineRule="auto"/>
        <w:ind w:left="284"/>
        <w:contextualSpacing w:val="0"/>
        <w:rPr>
          <w:rFonts w:ascii="Arial" w:hAnsi="Arial" w:cs="Arial"/>
          <w:iCs/>
          <w:sz w:val="21"/>
          <w:szCs w:val="21"/>
        </w:rPr>
      </w:pPr>
      <w:r w:rsidRPr="00E01BBF">
        <w:rPr>
          <w:rFonts w:ascii="Arial" w:hAnsi="Arial" w:cs="Arial"/>
          <w:iCs/>
          <w:sz w:val="21"/>
          <w:szCs w:val="21"/>
        </w:rPr>
        <w:t>dodanie nowej</w:t>
      </w:r>
      <w:r w:rsidRPr="00E01BBF">
        <w:rPr>
          <w:sz w:val="21"/>
          <w:szCs w:val="21"/>
        </w:rPr>
        <w:t xml:space="preserve"> </w:t>
      </w:r>
      <w:r w:rsidRPr="00E01BBF">
        <w:rPr>
          <w:rFonts w:ascii="Arial" w:hAnsi="Arial" w:cs="Arial"/>
          <w:iCs/>
          <w:sz w:val="21"/>
          <w:szCs w:val="21"/>
        </w:rPr>
        <w:t xml:space="preserve">kolumny w Sekcji 3. </w:t>
      </w:r>
      <w:r w:rsidRPr="00E01BBF">
        <w:rPr>
          <w:rFonts w:ascii="Arial" w:hAnsi="Arial" w:cs="Arial"/>
          <w:i/>
          <w:iCs/>
          <w:sz w:val="21"/>
          <w:szCs w:val="21"/>
        </w:rPr>
        <w:t>Plan finansowy</w:t>
      </w:r>
      <w:r w:rsidRPr="00E01BBF">
        <w:rPr>
          <w:rFonts w:ascii="Arial" w:hAnsi="Arial" w:cs="Arial"/>
          <w:iCs/>
          <w:sz w:val="21"/>
          <w:szCs w:val="21"/>
        </w:rPr>
        <w:t xml:space="preserve">, Sekcja 3.2 </w:t>
      </w:r>
      <w:r w:rsidRPr="00E01BBF">
        <w:rPr>
          <w:rFonts w:ascii="Arial" w:hAnsi="Arial" w:cs="Arial"/>
          <w:i/>
          <w:iCs/>
          <w:sz w:val="21"/>
          <w:szCs w:val="21"/>
        </w:rPr>
        <w:t>Łączne środki finansowe w podziale na fundusz oraz współfinansowanie krajowe (EUR)</w:t>
      </w:r>
      <w:r w:rsidRPr="00E01BBF">
        <w:rPr>
          <w:rFonts w:ascii="Arial" w:hAnsi="Arial" w:cs="Arial"/>
          <w:iCs/>
          <w:sz w:val="21"/>
          <w:szCs w:val="21"/>
        </w:rPr>
        <w:t xml:space="preserve">, Tabela 18a: </w:t>
      </w:r>
      <w:r w:rsidRPr="00E01BBF">
        <w:rPr>
          <w:rFonts w:ascii="Arial" w:hAnsi="Arial" w:cs="Arial"/>
          <w:i/>
          <w:iCs/>
          <w:sz w:val="21"/>
          <w:szCs w:val="21"/>
        </w:rPr>
        <w:t>Plan finansowy programu</w:t>
      </w:r>
      <w:r w:rsidRPr="00E01BBF">
        <w:rPr>
          <w:rFonts w:ascii="Arial" w:hAnsi="Arial" w:cs="Arial"/>
          <w:iCs/>
          <w:sz w:val="21"/>
          <w:szCs w:val="21"/>
        </w:rPr>
        <w:t xml:space="preserve"> (EUR) Programu pn. S</w:t>
      </w:r>
      <w:r w:rsidRPr="00E01BBF">
        <w:rPr>
          <w:rFonts w:ascii="Arial" w:hAnsi="Arial" w:cs="Arial"/>
          <w:i/>
          <w:iCs/>
          <w:sz w:val="21"/>
          <w:szCs w:val="21"/>
        </w:rPr>
        <w:t>topa dofinansowania w wysokości 100% w roku obliczeniowym 2023-2024</w:t>
      </w:r>
      <w:r w:rsidRPr="00E01BBF">
        <w:rPr>
          <w:rFonts w:ascii="Arial" w:hAnsi="Arial" w:cs="Arial"/>
          <w:iCs/>
          <w:sz w:val="21"/>
          <w:szCs w:val="21"/>
        </w:rPr>
        <w:t xml:space="preserve"> i zaznaczenie tzw. </w:t>
      </w:r>
      <w:proofErr w:type="spellStart"/>
      <w:r w:rsidRPr="00E01BBF">
        <w:rPr>
          <w:rFonts w:ascii="Arial" w:hAnsi="Arial" w:cs="Arial"/>
          <w:iCs/>
          <w:sz w:val="21"/>
          <w:szCs w:val="21"/>
        </w:rPr>
        <w:t>checkboxu</w:t>
      </w:r>
      <w:proofErr w:type="spellEnd"/>
      <w:r w:rsidRPr="00E01BBF">
        <w:rPr>
          <w:rFonts w:ascii="Arial" w:hAnsi="Arial" w:cs="Arial"/>
          <w:iCs/>
          <w:sz w:val="21"/>
          <w:szCs w:val="21"/>
        </w:rPr>
        <w:t xml:space="preserve"> przy </w:t>
      </w:r>
      <w:r w:rsidR="004B5945" w:rsidRPr="004B5945">
        <w:rPr>
          <w:rFonts w:ascii="Arial" w:hAnsi="Arial" w:cs="Arial"/>
          <w:iCs/>
          <w:sz w:val="21"/>
          <w:szCs w:val="21"/>
        </w:rPr>
        <w:t xml:space="preserve">Osi priorytetowej II. </w:t>
      </w:r>
      <w:r w:rsidR="004B5945" w:rsidRPr="004B5945">
        <w:rPr>
          <w:rFonts w:ascii="Arial" w:hAnsi="Arial" w:cs="Arial"/>
          <w:i/>
          <w:iCs/>
          <w:sz w:val="21"/>
          <w:szCs w:val="21"/>
        </w:rPr>
        <w:t>Cyfrowe Podkarpackie</w:t>
      </w:r>
      <w:r w:rsidR="004B5945" w:rsidRPr="004B5945">
        <w:rPr>
          <w:rFonts w:ascii="Arial" w:hAnsi="Arial" w:cs="Arial"/>
          <w:iCs/>
          <w:sz w:val="21"/>
          <w:szCs w:val="21"/>
        </w:rPr>
        <w:t xml:space="preserve">, Osi priorytetowej III. </w:t>
      </w:r>
      <w:r w:rsidR="004B5945" w:rsidRPr="004B5945">
        <w:rPr>
          <w:rFonts w:ascii="Arial" w:hAnsi="Arial" w:cs="Arial"/>
          <w:i/>
          <w:iCs/>
          <w:sz w:val="21"/>
          <w:szCs w:val="21"/>
        </w:rPr>
        <w:t>Czysta energia</w:t>
      </w:r>
      <w:r w:rsidR="004B5945" w:rsidRPr="004B5945">
        <w:rPr>
          <w:rFonts w:ascii="Arial" w:hAnsi="Arial" w:cs="Arial"/>
          <w:iCs/>
          <w:sz w:val="21"/>
          <w:szCs w:val="21"/>
        </w:rPr>
        <w:t xml:space="preserve"> (EFRR) oraz Osi priorytetowej VII. </w:t>
      </w:r>
      <w:r w:rsidR="004B5945" w:rsidRPr="004B5945">
        <w:rPr>
          <w:rFonts w:ascii="Arial" w:hAnsi="Arial" w:cs="Arial"/>
          <w:i/>
          <w:iCs/>
          <w:sz w:val="21"/>
          <w:szCs w:val="21"/>
        </w:rPr>
        <w:t>Regionalny rynek pracy</w:t>
      </w:r>
      <w:r w:rsidR="004B5945" w:rsidRPr="004B5945">
        <w:rPr>
          <w:rFonts w:ascii="Arial" w:hAnsi="Arial" w:cs="Arial"/>
          <w:iCs/>
          <w:sz w:val="21"/>
          <w:szCs w:val="21"/>
        </w:rPr>
        <w:t xml:space="preserve"> i Osi priorytetowej VIII. </w:t>
      </w:r>
      <w:r w:rsidR="004B5945" w:rsidRPr="004B5945">
        <w:rPr>
          <w:rFonts w:ascii="Arial" w:hAnsi="Arial" w:cs="Arial"/>
          <w:i/>
          <w:iCs/>
          <w:sz w:val="21"/>
          <w:szCs w:val="21"/>
        </w:rPr>
        <w:t>Integracja społeczna</w:t>
      </w:r>
      <w:r w:rsidR="004B5945" w:rsidRPr="004B5945">
        <w:rPr>
          <w:rFonts w:ascii="Arial" w:hAnsi="Arial" w:cs="Arial"/>
          <w:iCs/>
          <w:sz w:val="21"/>
          <w:szCs w:val="21"/>
        </w:rPr>
        <w:t xml:space="preserve"> (EFS) RPO WP 2014-2020</w:t>
      </w:r>
      <w:r w:rsidRPr="00E01BBF">
        <w:rPr>
          <w:rFonts w:ascii="Arial" w:hAnsi="Arial" w:cs="Arial"/>
          <w:iCs/>
          <w:sz w:val="21"/>
          <w:szCs w:val="21"/>
        </w:rPr>
        <w:t>. Określona kwota wydatków kwalifikowalnych certyfikowanych objęta ww. zmianą umożliwi wygenerowanie wyższych wnioskowanych kwot wkładu UE, tj. 100% deklarowanych wydatków kwalifikowalnych, a nie jak dotychczas 85%</w:t>
      </w:r>
      <w:r w:rsidR="00A17A38" w:rsidRPr="00E01BBF">
        <w:rPr>
          <w:rFonts w:ascii="Arial" w:hAnsi="Arial" w:cs="Arial"/>
          <w:iCs/>
          <w:sz w:val="21"/>
          <w:szCs w:val="21"/>
        </w:rPr>
        <w:t>.</w:t>
      </w:r>
    </w:p>
    <w:p w:rsidR="00494347" w:rsidRDefault="00AB4ECC" w:rsidP="00147AD1">
      <w:pPr>
        <w:pStyle w:val="Akapitzlist"/>
        <w:spacing w:before="160" w:after="160" w:line="276" w:lineRule="auto"/>
        <w:ind w:left="0"/>
        <w:contextualSpacing w:val="0"/>
      </w:pPr>
      <w:r w:rsidRPr="00B816CE">
        <w:rPr>
          <w:rFonts w:ascii="Arial" w:hAnsi="Arial" w:cs="Arial"/>
          <w:b/>
          <w:bCs/>
          <w:sz w:val="22"/>
          <w:szCs w:val="22"/>
        </w:rPr>
        <w:t>Zidentyfikowan</w:t>
      </w:r>
      <w:r w:rsidR="005A6DB0">
        <w:rPr>
          <w:rFonts w:ascii="Arial" w:hAnsi="Arial" w:cs="Arial"/>
          <w:b/>
          <w:bCs/>
          <w:sz w:val="22"/>
          <w:szCs w:val="22"/>
        </w:rPr>
        <w:t>y</w:t>
      </w:r>
      <w:r w:rsidRPr="00B816CE">
        <w:rPr>
          <w:rFonts w:ascii="Arial" w:hAnsi="Arial" w:cs="Arial"/>
          <w:b/>
          <w:bCs/>
          <w:sz w:val="22"/>
          <w:szCs w:val="22"/>
        </w:rPr>
        <w:t xml:space="preserve"> </w:t>
      </w:r>
      <w:r w:rsidR="005A6DB0" w:rsidRPr="005A6DB0">
        <w:rPr>
          <w:rFonts w:ascii="Arial" w:hAnsi="Arial" w:cs="Arial"/>
          <w:b/>
          <w:bCs/>
          <w:sz w:val="22"/>
          <w:szCs w:val="22"/>
        </w:rPr>
        <w:t xml:space="preserve">zakres </w:t>
      </w:r>
      <w:r w:rsidRPr="00B816CE">
        <w:rPr>
          <w:rFonts w:ascii="Arial" w:hAnsi="Arial" w:cs="Arial"/>
          <w:b/>
          <w:bCs/>
          <w:sz w:val="22"/>
          <w:szCs w:val="22"/>
        </w:rPr>
        <w:t xml:space="preserve">zmian </w:t>
      </w:r>
      <w:r w:rsidR="005A6DB0" w:rsidRPr="005A6DB0">
        <w:rPr>
          <w:rFonts w:ascii="Arial" w:hAnsi="Arial" w:cs="Arial"/>
          <w:b/>
          <w:bCs/>
          <w:sz w:val="22"/>
          <w:szCs w:val="22"/>
        </w:rPr>
        <w:t>wymaga wyłącznie notyfikacji K</w:t>
      </w:r>
      <w:r w:rsidR="005A6DB0">
        <w:rPr>
          <w:rFonts w:ascii="Arial" w:hAnsi="Arial" w:cs="Arial"/>
          <w:b/>
          <w:bCs/>
          <w:sz w:val="22"/>
          <w:szCs w:val="22"/>
        </w:rPr>
        <w:t xml:space="preserve">omisji </w:t>
      </w:r>
      <w:r w:rsidR="005A6DB0" w:rsidRPr="005A6DB0">
        <w:rPr>
          <w:rFonts w:ascii="Arial" w:hAnsi="Arial" w:cs="Arial"/>
          <w:b/>
          <w:bCs/>
          <w:sz w:val="22"/>
          <w:szCs w:val="22"/>
        </w:rPr>
        <w:t>E</w:t>
      </w:r>
      <w:r w:rsidR="005A6DB0">
        <w:rPr>
          <w:rFonts w:ascii="Arial" w:hAnsi="Arial" w:cs="Arial"/>
          <w:b/>
          <w:bCs/>
          <w:sz w:val="22"/>
          <w:szCs w:val="22"/>
        </w:rPr>
        <w:t>uropejskiej</w:t>
      </w:r>
      <w:r w:rsidRPr="00B816CE">
        <w:rPr>
          <w:rFonts w:ascii="Arial" w:hAnsi="Arial" w:cs="Arial"/>
          <w:sz w:val="22"/>
          <w:szCs w:val="22"/>
        </w:rPr>
        <w:t>.</w:t>
      </w:r>
    </w:p>
    <w:p w:rsidR="00625273" w:rsidRPr="00F363BD" w:rsidRDefault="00625273" w:rsidP="00147AD1">
      <w:pPr>
        <w:widowControl w:val="0"/>
        <w:suppressAutoHyphens/>
        <w:autoSpaceDE w:val="0"/>
        <w:autoSpaceDN w:val="0"/>
        <w:adjustRightInd w:val="0"/>
        <w:spacing w:after="160" w:line="276" w:lineRule="auto"/>
        <w:rPr>
          <w:rFonts w:ascii="Arial" w:hAnsi="Arial" w:cs="Arial"/>
          <w:b/>
          <w:bCs/>
          <w:sz w:val="21"/>
          <w:szCs w:val="21"/>
        </w:rPr>
      </w:pPr>
      <w:r w:rsidRPr="00E01BBF">
        <w:rPr>
          <w:rFonts w:ascii="Arial" w:hAnsi="Arial" w:cs="Arial"/>
          <w:sz w:val="21"/>
          <w:szCs w:val="21"/>
        </w:rPr>
        <w:t xml:space="preserve">Zmieniony RPO WP 2014-2020, o którym mowa powyżej </w:t>
      </w:r>
      <w:r w:rsidRPr="00E01BBF">
        <w:rPr>
          <w:rFonts w:ascii="Arial" w:hAnsi="Arial" w:cs="Arial"/>
          <w:b/>
          <w:bCs/>
          <w:sz w:val="21"/>
          <w:szCs w:val="21"/>
        </w:rPr>
        <w:t xml:space="preserve">jest stosowany </w:t>
      </w:r>
      <w:r w:rsidRPr="00A45ACD">
        <w:rPr>
          <w:rFonts w:ascii="Arial" w:hAnsi="Arial" w:cs="Arial"/>
          <w:bCs/>
          <w:sz w:val="21"/>
          <w:szCs w:val="21"/>
        </w:rPr>
        <w:t xml:space="preserve">od dnia </w:t>
      </w:r>
      <w:r w:rsidR="00AB4ECC" w:rsidRPr="00A45ACD">
        <w:rPr>
          <w:rFonts w:ascii="Arial" w:hAnsi="Arial" w:cs="Arial"/>
          <w:bCs/>
          <w:sz w:val="21"/>
          <w:szCs w:val="21"/>
        </w:rPr>
        <w:t>ogłoszenia</w:t>
      </w:r>
      <w:r w:rsidR="00D75EC7" w:rsidRPr="00A45ACD">
        <w:rPr>
          <w:rFonts w:ascii="Arial" w:hAnsi="Arial" w:cs="Arial"/>
          <w:bCs/>
          <w:sz w:val="21"/>
          <w:szCs w:val="21"/>
        </w:rPr>
        <w:t xml:space="preserve"> Komunikatu ZWP w Dzienniku Urzędowym Województwa</w:t>
      </w:r>
      <w:r w:rsidR="00F363BD" w:rsidRPr="00A45ACD">
        <w:rPr>
          <w:rFonts w:ascii="Arial" w:hAnsi="Arial" w:cs="Arial"/>
          <w:bCs/>
          <w:sz w:val="21"/>
          <w:szCs w:val="21"/>
        </w:rPr>
        <w:t xml:space="preserve"> </w:t>
      </w:r>
      <w:r w:rsidR="00D75EC7" w:rsidRPr="00A45ACD">
        <w:rPr>
          <w:rFonts w:ascii="Arial" w:hAnsi="Arial" w:cs="Arial"/>
          <w:bCs/>
          <w:sz w:val="21"/>
          <w:szCs w:val="21"/>
        </w:rPr>
        <w:t>Podkarpackiego, tj.</w:t>
      </w:r>
      <w:r w:rsidR="00D75EC7" w:rsidRPr="00E01BBF">
        <w:rPr>
          <w:rFonts w:ascii="Arial" w:hAnsi="Arial" w:cs="Arial"/>
          <w:b/>
          <w:bCs/>
          <w:sz w:val="21"/>
          <w:szCs w:val="21"/>
        </w:rPr>
        <w:t xml:space="preserve"> od dnia </w:t>
      </w:r>
      <w:r w:rsidR="003963BA">
        <w:rPr>
          <w:rFonts w:ascii="Arial" w:hAnsi="Arial" w:cs="Arial"/>
          <w:b/>
          <w:bCs/>
          <w:sz w:val="21"/>
          <w:szCs w:val="21"/>
        </w:rPr>
        <w:t>22</w:t>
      </w:r>
      <w:bookmarkStart w:id="0" w:name="_GoBack"/>
      <w:bookmarkEnd w:id="0"/>
      <w:r w:rsidR="00D75EC7" w:rsidRPr="00A05A64">
        <w:rPr>
          <w:rFonts w:ascii="Arial" w:hAnsi="Arial" w:cs="Arial"/>
          <w:b/>
          <w:bCs/>
          <w:sz w:val="21"/>
          <w:szCs w:val="21"/>
        </w:rPr>
        <w:t xml:space="preserve"> stycznia 2025 r</w:t>
      </w:r>
      <w:r w:rsidR="00AB4ECC" w:rsidRPr="00A05A64">
        <w:rPr>
          <w:rFonts w:ascii="Arial" w:hAnsi="Arial" w:cs="Arial"/>
          <w:b/>
          <w:bCs/>
          <w:sz w:val="21"/>
          <w:szCs w:val="21"/>
        </w:rPr>
        <w:t>.</w:t>
      </w:r>
    </w:p>
    <w:sectPr w:rsidR="00625273" w:rsidRPr="00F363BD" w:rsidSect="00E01BBF">
      <w:footerReference w:type="default" r:id="rId9"/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D98" w:rsidRDefault="00A76D98" w:rsidP="00220D3D">
      <w:r>
        <w:separator/>
      </w:r>
    </w:p>
  </w:endnote>
  <w:endnote w:type="continuationSeparator" w:id="0">
    <w:p w:rsidR="00A76D98" w:rsidRDefault="00A76D98" w:rsidP="0022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C9" w:rsidRPr="00FE7DC9" w:rsidRDefault="00FE7DC9">
    <w:pPr>
      <w:pStyle w:val="Stopka"/>
      <w:jc w:val="right"/>
      <w:rPr>
        <w:rFonts w:ascii="Arial" w:hAnsi="Arial" w:cs="Arial"/>
        <w:sz w:val="22"/>
      </w:rPr>
    </w:pPr>
    <w:r w:rsidRPr="00FE7DC9">
      <w:rPr>
        <w:rFonts w:ascii="Arial" w:hAnsi="Arial" w:cs="Arial"/>
        <w:sz w:val="22"/>
      </w:rPr>
      <w:t xml:space="preserve">Strona </w:t>
    </w:r>
    <w:r w:rsidRPr="00FE7DC9">
      <w:rPr>
        <w:rFonts w:ascii="Arial" w:hAnsi="Arial" w:cs="Arial"/>
        <w:b/>
        <w:bCs/>
        <w:sz w:val="22"/>
      </w:rPr>
      <w:fldChar w:fldCharType="begin"/>
    </w:r>
    <w:r w:rsidRPr="00FE7DC9">
      <w:rPr>
        <w:rFonts w:ascii="Arial" w:hAnsi="Arial" w:cs="Arial"/>
        <w:b/>
        <w:bCs/>
        <w:sz w:val="22"/>
      </w:rPr>
      <w:instrText>PAGE</w:instrText>
    </w:r>
    <w:r w:rsidRPr="00FE7DC9">
      <w:rPr>
        <w:rFonts w:ascii="Arial" w:hAnsi="Arial" w:cs="Arial"/>
        <w:b/>
        <w:bCs/>
        <w:sz w:val="22"/>
      </w:rPr>
      <w:fldChar w:fldCharType="separate"/>
    </w:r>
    <w:r w:rsidR="00205726">
      <w:rPr>
        <w:rFonts w:ascii="Arial" w:hAnsi="Arial" w:cs="Arial"/>
        <w:b/>
        <w:bCs/>
        <w:noProof/>
        <w:sz w:val="22"/>
      </w:rPr>
      <w:t>1</w:t>
    </w:r>
    <w:r w:rsidRPr="00FE7DC9">
      <w:rPr>
        <w:rFonts w:ascii="Arial" w:hAnsi="Arial" w:cs="Arial"/>
        <w:b/>
        <w:bCs/>
        <w:sz w:val="22"/>
      </w:rPr>
      <w:fldChar w:fldCharType="end"/>
    </w:r>
    <w:r w:rsidRPr="00FE7DC9">
      <w:rPr>
        <w:rFonts w:ascii="Arial" w:hAnsi="Arial" w:cs="Arial"/>
        <w:sz w:val="22"/>
      </w:rPr>
      <w:t xml:space="preserve"> z </w:t>
    </w:r>
    <w:r w:rsidRPr="00FE7DC9">
      <w:rPr>
        <w:rFonts w:ascii="Arial" w:hAnsi="Arial" w:cs="Arial"/>
        <w:b/>
        <w:bCs/>
        <w:sz w:val="22"/>
      </w:rPr>
      <w:fldChar w:fldCharType="begin"/>
    </w:r>
    <w:r w:rsidRPr="00FE7DC9">
      <w:rPr>
        <w:rFonts w:ascii="Arial" w:hAnsi="Arial" w:cs="Arial"/>
        <w:b/>
        <w:bCs/>
        <w:sz w:val="22"/>
      </w:rPr>
      <w:instrText>NUMPAGES</w:instrText>
    </w:r>
    <w:r w:rsidRPr="00FE7DC9">
      <w:rPr>
        <w:rFonts w:ascii="Arial" w:hAnsi="Arial" w:cs="Arial"/>
        <w:b/>
        <w:bCs/>
        <w:sz w:val="22"/>
      </w:rPr>
      <w:fldChar w:fldCharType="separate"/>
    </w:r>
    <w:r w:rsidR="00205726">
      <w:rPr>
        <w:rFonts w:ascii="Arial" w:hAnsi="Arial" w:cs="Arial"/>
        <w:b/>
        <w:bCs/>
        <w:noProof/>
        <w:sz w:val="22"/>
      </w:rPr>
      <w:t>1</w:t>
    </w:r>
    <w:r w:rsidRPr="00FE7DC9">
      <w:rPr>
        <w:rFonts w:ascii="Arial" w:hAnsi="Arial" w:cs="Arial"/>
        <w:b/>
        <w:bCs/>
        <w:sz w:val="22"/>
      </w:rPr>
      <w:fldChar w:fldCharType="end"/>
    </w:r>
  </w:p>
  <w:p w:rsidR="00220D3D" w:rsidRPr="00FE7DC9" w:rsidRDefault="00220D3D">
    <w:pPr>
      <w:pStyle w:val="Stopka"/>
      <w:rPr>
        <w:rFonts w:ascii="Arial" w:hAnsi="Arial" w:cs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D98" w:rsidRDefault="00A76D98" w:rsidP="00220D3D">
      <w:r>
        <w:separator/>
      </w:r>
    </w:p>
  </w:footnote>
  <w:footnote w:type="continuationSeparator" w:id="0">
    <w:p w:rsidR="00A76D98" w:rsidRDefault="00A76D98" w:rsidP="0022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5687"/>
    <w:multiLevelType w:val="hybridMultilevel"/>
    <w:tmpl w:val="DF52DA42"/>
    <w:lvl w:ilvl="0" w:tplc="E24643D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C48CDF82">
      <w:numFmt w:val="bullet"/>
      <w:lvlText w:val=""/>
      <w:lvlJc w:val="left"/>
      <w:pPr>
        <w:ind w:left="2324" w:hanging="705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8EF5C58"/>
    <w:multiLevelType w:val="hybridMultilevel"/>
    <w:tmpl w:val="D0A86142"/>
    <w:lvl w:ilvl="0" w:tplc="4AFE4AD4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0C13594F"/>
    <w:multiLevelType w:val="hybridMultilevel"/>
    <w:tmpl w:val="C7E06F5C"/>
    <w:lvl w:ilvl="0" w:tplc="581A7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6FC"/>
    <w:multiLevelType w:val="hybridMultilevel"/>
    <w:tmpl w:val="49C436C2"/>
    <w:lvl w:ilvl="0" w:tplc="88E06F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23C65"/>
    <w:multiLevelType w:val="hybridMultilevel"/>
    <w:tmpl w:val="50F65258"/>
    <w:lvl w:ilvl="0" w:tplc="216A6846">
      <w:numFmt w:val="bullet"/>
      <w:lvlText w:val="•"/>
      <w:lvlJc w:val="left"/>
      <w:pPr>
        <w:ind w:left="1429" w:hanging="360"/>
      </w:pPr>
      <w:rPr>
        <w:rFonts w:ascii="Garamond" w:eastAsia="Calibri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4C3E3C"/>
    <w:multiLevelType w:val="hybridMultilevel"/>
    <w:tmpl w:val="A848848A"/>
    <w:lvl w:ilvl="0" w:tplc="2D9E7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0733A"/>
    <w:multiLevelType w:val="hybridMultilevel"/>
    <w:tmpl w:val="A8A41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6371"/>
    <w:multiLevelType w:val="hybridMultilevel"/>
    <w:tmpl w:val="432427D6"/>
    <w:lvl w:ilvl="0" w:tplc="21D670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0E0847"/>
    <w:multiLevelType w:val="hybridMultilevel"/>
    <w:tmpl w:val="C6AC5D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C1A1E"/>
    <w:multiLevelType w:val="hybridMultilevel"/>
    <w:tmpl w:val="1ADA70DE"/>
    <w:lvl w:ilvl="0" w:tplc="216A6846">
      <w:numFmt w:val="bullet"/>
      <w:lvlText w:val="•"/>
      <w:lvlJc w:val="left"/>
      <w:pPr>
        <w:ind w:left="2160" w:hanging="360"/>
      </w:pPr>
      <w:rPr>
        <w:rFonts w:ascii="Garamond" w:eastAsia="Calibri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5337AE"/>
    <w:multiLevelType w:val="hybridMultilevel"/>
    <w:tmpl w:val="E5908292"/>
    <w:lvl w:ilvl="0" w:tplc="216A6846">
      <w:numFmt w:val="bullet"/>
      <w:lvlText w:val="•"/>
      <w:lvlJc w:val="left"/>
      <w:pPr>
        <w:ind w:left="2160" w:hanging="360"/>
      </w:pPr>
      <w:rPr>
        <w:rFonts w:ascii="Garamond" w:eastAsia="Calibri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D105D6"/>
    <w:multiLevelType w:val="hybridMultilevel"/>
    <w:tmpl w:val="11625368"/>
    <w:lvl w:ilvl="0" w:tplc="0415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9862E00"/>
    <w:multiLevelType w:val="hybridMultilevel"/>
    <w:tmpl w:val="86DE9108"/>
    <w:lvl w:ilvl="0" w:tplc="216A6846">
      <w:numFmt w:val="bullet"/>
      <w:lvlText w:val="•"/>
      <w:lvlJc w:val="left"/>
      <w:pPr>
        <w:ind w:left="2160" w:hanging="360"/>
      </w:pPr>
      <w:rPr>
        <w:rFonts w:ascii="Garamond" w:eastAsia="Calibri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AC6179A"/>
    <w:multiLevelType w:val="hybridMultilevel"/>
    <w:tmpl w:val="41780558"/>
    <w:lvl w:ilvl="0" w:tplc="E2464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CF7239"/>
    <w:multiLevelType w:val="hybridMultilevel"/>
    <w:tmpl w:val="66A66F7A"/>
    <w:lvl w:ilvl="0" w:tplc="E24643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B1216A6"/>
    <w:multiLevelType w:val="hybridMultilevel"/>
    <w:tmpl w:val="17880EBC"/>
    <w:lvl w:ilvl="0" w:tplc="4AFE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32D45"/>
    <w:multiLevelType w:val="hybridMultilevel"/>
    <w:tmpl w:val="D702ED58"/>
    <w:lvl w:ilvl="0" w:tplc="216A6846">
      <w:numFmt w:val="bullet"/>
      <w:lvlText w:val="•"/>
      <w:lvlJc w:val="left"/>
      <w:pPr>
        <w:ind w:left="1429" w:hanging="360"/>
      </w:pPr>
      <w:rPr>
        <w:rFonts w:ascii="Garamond" w:eastAsia="Calibri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111CF"/>
    <w:multiLevelType w:val="hybridMultilevel"/>
    <w:tmpl w:val="EC02A6EC"/>
    <w:lvl w:ilvl="0" w:tplc="4AFE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031F4"/>
    <w:multiLevelType w:val="hybridMultilevel"/>
    <w:tmpl w:val="93D4D49C"/>
    <w:lvl w:ilvl="0" w:tplc="216A6846">
      <w:numFmt w:val="bullet"/>
      <w:lvlText w:val="•"/>
      <w:lvlJc w:val="left"/>
      <w:pPr>
        <w:ind w:left="1429" w:hanging="360"/>
      </w:pPr>
      <w:rPr>
        <w:rFonts w:ascii="Garamond" w:eastAsia="Calibri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673936"/>
    <w:multiLevelType w:val="hybridMultilevel"/>
    <w:tmpl w:val="15CA4BF8"/>
    <w:lvl w:ilvl="0" w:tplc="88E06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070DF"/>
    <w:multiLevelType w:val="hybridMultilevel"/>
    <w:tmpl w:val="E7EE4962"/>
    <w:lvl w:ilvl="0" w:tplc="317261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26215"/>
    <w:multiLevelType w:val="hybridMultilevel"/>
    <w:tmpl w:val="F3D4D3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905EB"/>
    <w:multiLevelType w:val="hybridMultilevel"/>
    <w:tmpl w:val="7898C9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C1219"/>
    <w:multiLevelType w:val="hybridMultilevel"/>
    <w:tmpl w:val="508691D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7A2232"/>
    <w:multiLevelType w:val="hybridMultilevel"/>
    <w:tmpl w:val="0E041AF8"/>
    <w:lvl w:ilvl="0" w:tplc="0415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 w15:restartNumberingAfterBreak="0">
    <w:nsid w:val="487C0AA3"/>
    <w:multiLevelType w:val="hybridMultilevel"/>
    <w:tmpl w:val="B902200C"/>
    <w:lvl w:ilvl="0" w:tplc="322AEA06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D262B"/>
    <w:multiLevelType w:val="hybridMultilevel"/>
    <w:tmpl w:val="B47099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714E00"/>
    <w:multiLevelType w:val="hybridMultilevel"/>
    <w:tmpl w:val="28B87416"/>
    <w:lvl w:ilvl="0" w:tplc="4AFE4A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2E7D84"/>
    <w:multiLevelType w:val="hybridMultilevel"/>
    <w:tmpl w:val="A68E45B8"/>
    <w:lvl w:ilvl="0" w:tplc="4AFE4A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4C4235"/>
    <w:multiLevelType w:val="hybridMultilevel"/>
    <w:tmpl w:val="86341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2D54"/>
    <w:multiLevelType w:val="hybridMultilevel"/>
    <w:tmpl w:val="FF3E7166"/>
    <w:lvl w:ilvl="0" w:tplc="4AFE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647DF"/>
    <w:multiLevelType w:val="hybridMultilevel"/>
    <w:tmpl w:val="501EE38E"/>
    <w:lvl w:ilvl="0" w:tplc="58E015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23C67"/>
    <w:multiLevelType w:val="hybridMultilevel"/>
    <w:tmpl w:val="DBFE5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3594F"/>
    <w:multiLevelType w:val="hybridMultilevel"/>
    <w:tmpl w:val="89C48B34"/>
    <w:lvl w:ilvl="0" w:tplc="322AEA06">
      <w:start w:val="1"/>
      <w:numFmt w:val="bullet"/>
      <w:lvlText w:val="─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5F2C13"/>
    <w:multiLevelType w:val="hybridMultilevel"/>
    <w:tmpl w:val="4B2436E8"/>
    <w:lvl w:ilvl="0" w:tplc="42982C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17"/>
  </w:num>
  <w:num w:numId="5">
    <w:abstractNumId w:val="24"/>
  </w:num>
  <w:num w:numId="6">
    <w:abstractNumId w:val="15"/>
  </w:num>
  <w:num w:numId="7">
    <w:abstractNumId w:val="6"/>
  </w:num>
  <w:num w:numId="8">
    <w:abstractNumId w:val="3"/>
  </w:num>
  <w:num w:numId="9">
    <w:abstractNumId w:val="31"/>
  </w:num>
  <w:num w:numId="10">
    <w:abstractNumId w:val="13"/>
  </w:num>
  <w:num w:numId="11">
    <w:abstractNumId w:val="28"/>
  </w:num>
  <w:num w:numId="12">
    <w:abstractNumId w:val="5"/>
  </w:num>
  <w:num w:numId="13">
    <w:abstractNumId w:val="11"/>
  </w:num>
  <w:num w:numId="14">
    <w:abstractNumId w:val="14"/>
  </w:num>
  <w:num w:numId="15">
    <w:abstractNumId w:val="23"/>
  </w:num>
  <w:num w:numId="16">
    <w:abstractNumId w:val="30"/>
  </w:num>
  <w:num w:numId="17">
    <w:abstractNumId w:val="1"/>
  </w:num>
  <w:num w:numId="18">
    <w:abstractNumId w:val="8"/>
  </w:num>
  <w:num w:numId="19">
    <w:abstractNumId w:val="29"/>
  </w:num>
  <w:num w:numId="20">
    <w:abstractNumId w:val="27"/>
  </w:num>
  <w:num w:numId="21">
    <w:abstractNumId w:val="26"/>
  </w:num>
  <w:num w:numId="22">
    <w:abstractNumId w:val="33"/>
  </w:num>
  <w:num w:numId="23">
    <w:abstractNumId w:val="32"/>
  </w:num>
  <w:num w:numId="24">
    <w:abstractNumId w:val="18"/>
  </w:num>
  <w:num w:numId="25">
    <w:abstractNumId w:val="12"/>
  </w:num>
  <w:num w:numId="26">
    <w:abstractNumId w:val="10"/>
  </w:num>
  <w:num w:numId="27">
    <w:abstractNumId w:val="25"/>
  </w:num>
  <w:num w:numId="28">
    <w:abstractNumId w:val="9"/>
  </w:num>
  <w:num w:numId="29">
    <w:abstractNumId w:val="2"/>
  </w:num>
  <w:num w:numId="30">
    <w:abstractNumId w:val="20"/>
  </w:num>
  <w:num w:numId="31">
    <w:abstractNumId w:val="4"/>
  </w:num>
  <w:num w:numId="32">
    <w:abstractNumId w:val="16"/>
  </w:num>
  <w:num w:numId="33">
    <w:abstractNumId w:val="34"/>
  </w:num>
  <w:num w:numId="34">
    <w:abstractNumId w:val="19"/>
  </w:num>
  <w:num w:numId="3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57"/>
    <w:rsid w:val="00000394"/>
    <w:rsid w:val="0000585F"/>
    <w:rsid w:val="00007C5E"/>
    <w:rsid w:val="00024D0F"/>
    <w:rsid w:val="00033ECB"/>
    <w:rsid w:val="00046F0E"/>
    <w:rsid w:val="00051AC8"/>
    <w:rsid w:val="00052B5B"/>
    <w:rsid w:val="00056923"/>
    <w:rsid w:val="00057F4B"/>
    <w:rsid w:val="00072E90"/>
    <w:rsid w:val="000961F6"/>
    <w:rsid w:val="000C3C91"/>
    <w:rsid w:val="000C51A5"/>
    <w:rsid w:val="000D14A1"/>
    <w:rsid w:val="000D6204"/>
    <w:rsid w:val="000E180E"/>
    <w:rsid w:val="00111966"/>
    <w:rsid w:val="00122C23"/>
    <w:rsid w:val="00126D94"/>
    <w:rsid w:val="001328FA"/>
    <w:rsid w:val="00147AD1"/>
    <w:rsid w:val="001507B1"/>
    <w:rsid w:val="00160347"/>
    <w:rsid w:val="00166750"/>
    <w:rsid w:val="00172B88"/>
    <w:rsid w:val="00184A41"/>
    <w:rsid w:val="001A25F8"/>
    <w:rsid w:val="001A3174"/>
    <w:rsid w:val="001A6A82"/>
    <w:rsid w:val="001A74FA"/>
    <w:rsid w:val="001B11C1"/>
    <w:rsid w:val="001C1E59"/>
    <w:rsid w:val="001C4E0F"/>
    <w:rsid w:val="001C5333"/>
    <w:rsid w:val="001E4CB4"/>
    <w:rsid w:val="001F1D14"/>
    <w:rsid w:val="002049C5"/>
    <w:rsid w:val="00205726"/>
    <w:rsid w:val="00214408"/>
    <w:rsid w:val="0021782B"/>
    <w:rsid w:val="00220D3D"/>
    <w:rsid w:val="00221204"/>
    <w:rsid w:val="00224993"/>
    <w:rsid w:val="002275B0"/>
    <w:rsid w:val="002335E1"/>
    <w:rsid w:val="002455DA"/>
    <w:rsid w:val="002622D5"/>
    <w:rsid w:val="0026264B"/>
    <w:rsid w:val="002870FF"/>
    <w:rsid w:val="00291830"/>
    <w:rsid w:val="00296241"/>
    <w:rsid w:val="002964FE"/>
    <w:rsid w:val="002B1A32"/>
    <w:rsid w:val="002B6215"/>
    <w:rsid w:val="002B6BE2"/>
    <w:rsid w:val="002C1097"/>
    <w:rsid w:val="002D71E9"/>
    <w:rsid w:val="002D7960"/>
    <w:rsid w:val="002E2F9B"/>
    <w:rsid w:val="0030239A"/>
    <w:rsid w:val="003073AF"/>
    <w:rsid w:val="0031519B"/>
    <w:rsid w:val="003172A7"/>
    <w:rsid w:val="00331275"/>
    <w:rsid w:val="00352E1D"/>
    <w:rsid w:val="003545DE"/>
    <w:rsid w:val="00366219"/>
    <w:rsid w:val="00366A0E"/>
    <w:rsid w:val="00371641"/>
    <w:rsid w:val="00381F03"/>
    <w:rsid w:val="003963BA"/>
    <w:rsid w:val="003970E0"/>
    <w:rsid w:val="003A6587"/>
    <w:rsid w:val="003D1511"/>
    <w:rsid w:val="003E282D"/>
    <w:rsid w:val="003E54AC"/>
    <w:rsid w:val="003F009C"/>
    <w:rsid w:val="003F7D34"/>
    <w:rsid w:val="00403BD3"/>
    <w:rsid w:val="004119C6"/>
    <w:rsid w:val="004229C8"/>
    <w:rsid w:val="004353CF"/>
    <w:rsid w:val="00453D5D"/>
    <w:rsid w:val="004603B1"/>
    <w:rsid w:val="00461025"/>
    <w:rsid w:val="004716DC"/>
    <w:rsid w:val="004768FF"/>
    <w:rsid w:val="0048102C"/>
    <w:rsid w:val="00494347"/>
    <w:rsid w:val="004A4644"/>
    <w:rsid w:val="004B5945"/>
    <w:rsid w:val="004C21D8"/>
    <w:rsid w:val="004D20C6"/>
    <w:rsid w:val="004D5024"/>
    <w:rsid w:val="004E79B5"/>
    <w:rsid w:val="004F216B"/>
    <w:rsid w:val="00501ED3"/>
    <w:rsid w:val="00521551"/>
    <w:rsid w:val="00537F57"/>
    <w:rsid w:val="00544A41"/>
    <w:rsid w:val="0055357C"/>
    <w:rsid w:val="00592A36"/>
    <w:rsid w:val="005930E7"/>
    <w:rsid w:val="00596DC4"/>
    <w:rsid w:val="005A6DB0"/>
    <w:rsid w:val="005B429C"/>
    <w:rsid w:val="00600349"/>
    <w:rsid w:val="00605EBE"/>
    <w:rsid w:val="00610AC8"/>
    <w:rsid w:val="00621BB6"/>
    <w:rsid w:val="00625273"/>
    <w:rsid w:val="00631C31"/>
    <w:rsid w:val="00650059"/>
    <w:rsid w:val="0065241C"/>
    <w:rsid w:val="0066150C"/>
    <w:rsid w:val="0067614B"/>
    <w:rsid w:val="006956CA"/>
    <w:rsid w:val="006C039F"/>
    <w:rsid w:val="006C393C"/>
    <w:rsid w:val="006D4973"/>
    <w:rsid w:val="006D69EB"/>
    <w:rsid w:val="006D6AF1"/>
    <w:rsid w:val="006D75B3"/>
    <w:rsid w:val="006E7020"/>
    <w:rsid w:val="006F025D"/>
    <w:rsid w:val="007239B6"/>
    <w:rsid w:val="00727378"/>
    <w:rsid w:val="0073178D"/>
    <w:rsid w:val="0073379C"/>
    <w:rsid w:val="00741931"/>
    <w:rsid w:val="00746159"/>
    <w:rsid w:val="007470AB"/>
    <w:rsid w:val="0075357C"/>
    <w:rsid w:val="007666B3"/>
    <w:rsid w:val="0079286D"/>
    <w:rsid w:val="00797E05"/>
    <w:rsid w:val="007C4822"/>
    <w:rsid w:val="007D0149"/>
    <w:rsid w:val="007D39C9"/>
    <w:rsid w:val="007D79C6"/>
    <w:rsid w:val="007E3706"/>
    <w:rsid w:val="007E46A1"/>
    <w:rsid w:val="008028EE"/>
    <w:rsid w:val="008129B3"/>
    <w:rsid w:val="0081413E"/>
    <w:rsid w:val="008162B4"/>
    <w:rsid w:val="00833A3F"/>
    <w:rsid w:val="00853143"/>
    <w:rsid w:val="00862373"/>
    <w:rsid w:val="00863E02"/>
    <w:rsid w:val="0086753D"/>
    <w:rsid w:val="008712E6"/>
    <w:rsid w:val="008724A2"/>
    <w:rsid w:val="00883DFC"/>
    <w:rsid w:val="00891BDD"/>
    <w:rsid w:val="008A0056"/>
    <w:rsid w:val="008A289D"/>
    <w:rsid w:val="008E7ECD"/>
    <w:rsid w:val="00921506"/>
    <w:rsid w:val="00922363"/>
    <w:rsid w:val="0096747E"/>
    <w:rsid w:val="009706FB"/>
    <w:rsid w:val="00980D04"/>
    <w:rsid w:val="00994F56"/>
    <w:rsid w:val="009A2DC8"/>
    <w:rsid w:val="009A4864"/>
    <w:rsid w:val="009B7457"/>
    <w:rsid w:val="009C32F6"/>
    <w:rsid w:val="009D2A2F"/>
    <w:rsid w:val="00A00B66"/>
    <w:rsid w:val="00A01CB8"/>
    <w:rsid w:val="00A05A64"/>
    <w:rsid w:val="00A101B3"/>
    <w:rsid w:val="00A12826"/>
    <w:rsid w:val="00A17A38"/>
    <w:rsid w:val="00A21F40"/>
    <w:rsid w:val="00A33ADC"/>
    <w:rsid w:val="00A44487"/>
    <w:rsid w:val="00A45ACD"/>
    <w:rsid w:val="00A53BAF"/>
    <w:rsid w:val="00A647A4"/>
    <w:rsid w:val="00A7004D"/>
    <w:rsid w:val="00A70076"/>
    <w:rsid w:val="00A711C9"/>
    <w:rsid w:val="00A76066"/>
    <w:rsid w:val="00A76D98"/>
    <w:rsid w:val="00A910BE"/>
    <w:rsid w:val="00AB4ECC"/>
    <w:rsid w:val="00AB76FA"/>
    <w:rsid w:val="00AC1F92"/>
    <w:rsid w:val="00AC4A7B"/>
    <w:rsid w:val="00AC6BE3"/>
    <w:rsid w:val="00AE4947"/>
    <w:rsid w:val="00AF4F81"/>
    <w:rsid w:val="00AF5820"/>
    <w:rsid w:val="00B0489F"/>
    <w:rsid w:val="00B053A9"/>
    <w:rsid w:val="00B147D1"/>
    <w:rsid w:val="00B229F3"/>
    <w:rsid w:val="00B23F21"/>
    <w:rsid w:val="00B3703D"/>
    <w:rsid w:val="00B60F6A"/>
    <w:rsid w:val="00B61CDF"/>
    <w:rsid w:val="00B74367"/>
    <w:rsid w:val="00B816CE"/>
    <w:rsid w:val="00BA3785"/>
    <w:rsid w:val="00BB642B"/>
    <w:rsid w:val="00BE0768"/>
    <w:rsid w:val="00BE3D1E"/>
    <w:rsid w:val="00BE6C5D"/>
    <w:rsid w:val="00BF742A"/>
    <w:rsid w:val="00C0064C"/>
    <w:rsid w:val="00C113CF"/>
    <w:rsid w:val="00C21375"/>
    <w:rsid w:val="00C21E71"/>
    <w:rsid w:val="00C25302"/>
    <w:rsid w:val="00C3552F"/>
    <w:rsid w:val="00C42C53"/>
    <w:rsid w:val="00C47AB8"/>
    <w:rsid w:val="00C56434"/>
    <w:rsid w:val="00C572C9"/>
    <w:rsid w:val="00C72EB9"/>
    <w:rsid w:val="00C760D8"/>
    <w:rsid w:val="00CA5336"/>
    <w:rsid w:val="00CB0172"/>
    <w:rsid w:val="00CB2E89"/>
    <w:rsid w:val="00CB5D12"/>
    <w:rsid w:val="00CC28AF"/>
    <w:rsid w:val="00CC3C75"/>
    <w:rsid w:val="00CD62CB"/>
    <w:rsid w:val="00CF19B0"/>
    <w:rsid w:val="00CF21E1"/>
    <w:rsid w:val="00CF671E"/>
    <w:rsid w:val="00D13DBA"/>
    <w:rsid w:val="00D163DA"/>
    <w:rsid w:val="00D24FEC"/>
    <w:rsid w:val="00D32C41"/>
    <w:rsid w:val="00D40E0E"/>
    <w:rsid w:val="00D41A41"/>
    <w:rsid w:val="00D52184"/>
    <w:rsid w:val="00D610A2"/>
    <w:rsid w:val="00D616FE"/>
    <w:rsid w:val="00D75EC7"/>
    <w:rsid w:val="00DA2702"/>
    <w:rsid w:val="00DB2F55"/>
    <w:rsid w:val="00DC31BE"/>
    <w:rsid w:val="00DE5DEB"/>
    <w:rsid w:val="00DF09BD"/>
    <w:rsid w:val="00DF2002"/>
    <w:rsid w:val="00DF6572"/>
    <w:rsid w:val="00E01BBF"/>
    <w:rsid w:val="00E03696"/>
    <w:rsid w:val="00E11C8B"/>
    <w:rsid w:val="00E13E38"/>
    <w:rsid w:val="00E23200"/>
    <w:rsid w:val="00E2736B"/>
    <w:rsid w:val="00E3630B"/>
    <w:rsid w:val="00E40E71"/>
    <w:rsid w:val="00E5230D"/>
    <w:rsid w:val="00E704DA"/>
    <w:rsid w:val="00E71A66"/>
    <w:rsid w:val="00EB035C"/>
    <w:rsid w:val="00ED578B"/>
    <w:rsid w:val="00EE14C8"/>
    <w:rsid w:val="00EE174D"/>
    <w:rsid w:val="00EF3B99"/>
    <w:rsid w:val="00EF3D2C"/>
    <w:rsid w:val="00EF4A61"/>
    <w:rsid w:val="00EF7C9F"/>
    <w:rsid w:val="00F01A83"/>
    <w:rsid w:val="00F250E7"/>
    <w:rsid w:val="00F317CE"/>
    <w:rsid w:val="00F32E70"/>
    <w:rsid w:val="00F34454"/>
    <w:rsid w:val="00F363BD"/>
    <w:rsid w:val="00F471A7"/>
    <w:rsid w:val="00F65E4B"/>
    <w:rsid w:val="00F67AD6"/>
    <w:rsid w:val="00F95DCE"/>
    <w:rsid w:val="00FB2A5B"/>
    <w:rsid w:val="00FB59AA"/>
    <w:rsid w:val="00FC5A39"/>
    <w:rsid w:val="00FD3EDF"/>
    <w:rsid w:val="00FE7DC9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9A60"/>
  <w15:chartTrackingRefBased/>
  <w15:docId w15:val="{D34F9B93-2BAF-4ECC-BBAF-EA79552B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74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66A0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4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B7457"/>
    <w:rPr>
      <w:color w:val="0563C1"/>
      <w:u w:val="single"/>
    </w:rPr>
  </w:style>
  <w:style w:type="paragraph" w:styleId="Akapitzlist">
    <w:name w:val="List Paragraph"/>
    <w:aliases w:val="Numerowanie,List Paragraph,Akapit z listą BS"/>
    <w:basedOn w:val="Normalny"/>
    <w:uiPriority w:val="34"/>
    <w:qFormat/>
    <w:rsid w:val="009B74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18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91830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A3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DE5DEB"/>
    <w:pPr>
      <w:jc w:val="both"/>
    </w:pPr>
    <w:rPr>
      <w:rFonts w:ascii="Arial" w:hAnsi="Arial"/>
      <w:lang w:val="x-none"/>
    </w:rPr>
  </w:style>
  <w:style w:type="character" w:customStyle="1" w:styleId="TekstpodstawowyZnak">
    <w:name w:val="Tekst podstawowy Znak"/>
    <w:link w:val="Tekstpodstawowy"/>
    <w:rsid w:val="00DE5DEB"/>
    <w:rPr>
      <w:rFonts w:ascii="Arial" w:eastAsia="Times New Roman" w:hAnsi="Arial"/>
      <w:sz w:val="24"/>
      <w:szCs w:val="24"/>
      <w:lang w:val="x-none"/>
    </w:rPr>
  </w:style>
  <w:style w:type="paragraph" w:customStyle="1" w:styleId="Tekst">
    <w:name w:val="Tekst"/>
    <w:basedOn w:val="Normalny"/>
    <w:rsid w:val="00DE5DEB"/>
    <w:pPr>
      <w:ind w:firstLine="567"/>
      <w:jc w:val="both"/>
    </w:pPr>
    <w:rPr>
      <w:rFonts w:ascii="Arial" w:hAnsi="Arial"/>
      <w:szCs w:val="20"/>
    </w:rPr>
  </w:style>
  <w:style w:type="paragraph" w:customStyle="1" w:styleId="Default">
    <w:name w:val="Default"/>
    <w:qFormat/>
    <w:rsid w:val="00A91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6E70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02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E702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0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7020"/>
    <w:rPr>
      <w:rFonts w:ascii="Times New Roman" w:eastAsia="Times New Roman" w:hAnsi="Times New Roman"/>
      <w:b/>
      <w:bCs/>
    </w:rPr>
  </w:style>
  <w:style w:type="character" w:customStyle="1" w:styleId="Nagwek2Znak">
    <w:name w:val="Nagłówek 2 Znak"/>
    <w:link w:val="Nagwek2"/>
    <w:uiPriority w:val="9"/>
    <w:semiHidden/>
    <w:rsid w:val="00F344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uiPriority w:val="9"/>
    <w:rsid w:val="00366A0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20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0D3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20D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0D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2E957-DF77-4240-95C5-C7FE766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głównych zmian Regionalengo Programu Operacyjnego Województwa Podkarpackiego na lata 2014-2020 do poprzedniej zmiany dokumentu z dnia 16 sierpnia 2023 roku</vt:lpstr>
    </vt:vector>
  </TitlesOfParts>
  <Company>Urząd Marszałkowski Województwa Podkarpackiego w Rzeszowie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głównych zmian Regionalengo Programu Operacyjnego Województwa Podkarpackiego na lata 2014-2020 do poprzedniej zmiany dokumentu z dnia 16 sierpnia 2023 roku</dc:title>
  <dc:subject>Zmiany Programu dotyczą zwiększenia dofinansowania do 100% w zakresie Osi priorytetowej II. Cyfrowe Podkarpackie, Osi priorytetowej III. Czysta energia (EUROPEJSKIEGO FUNDUSZU ROZWOJU REGIONALNEGO) oraz Osi priorytetowej VII. Regionalny rynek pracy i Osi priorytetowej VIII. Integracja społeczna (EUROPEJSKIEGO FUNDUSZU SPOŁECZNEGO) Regionalengo Programu Operacyjnego Województwa Podkarpackiego na lata 2014-2020 </dc:subject>
  <dc:creator>Departament Zarządzania Regionalnym Programem Operacyjnym</dc:creator>
  <cp:keywords/>
  <cp:lastModifiedBy>Sączawa Elwira</cp:lastModifiedBy>
  <cp:revision>52</cp:revision>
  <cp:lastPrinted>2020-05-27T09:39:00Z</cp:lastPrinted>
  <dcterms:created xsi:type="dcterms:W3CDTF">2022-08-30T12:52:00Z</dcterms:created>
  <dcterms:modified xsi:type="dcterms:W3CDTF">2025-01-22T09:06:00Z</dcterms:modified>
</cp:coreProperties>
</file>