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427F2" w14:textId="1FC51C27" w:rsidR="006229D7" w:rsidRPr="000F6A89" w:rsidRDefault="00556A8D" w:rsidP="009E0D4A">
      <w:pPr>
        <w:pStyle w:val="Nagwek1"/>
        <w:spacing w:after="1920"/>
        <w:jc w:val="right"/>
        <w:rPr>
          <w:color w:val="auto"/>
        </w:rPr>
      </w:pPr>
      <w:r w:rsidRPr="000F6A89">
        <w:rPr>
          <w:color w:val="auto"/>
        </w:rPr>
        <w:t xml:space="preserve">Załącznik nr </w:t>
      </w:r>
      <w:r w:rsidR="00452E1F" w:rsidRPr="000F6A89">
        <w:rPr>
          <w:color w:val="auto"/>
        </w:rPr>
        <w:t>6</w:t>
      </w:r>
      <w:r w:rsidR="003A603E" w:rsidRPr="000F6A89">
        <w:rPr>
          <w:color w:val="auto"/>
        </w:rPr>
        <w:t xml:space="preserve"> do Regulaminu wyboru projektów</w:t>
      </w:r>
    </w:p>
    <w:p w14:paraId="2900B9BF" w14:textId="77777777" w:rsidR="000C64AA" w:rsidRDefault="00A00E09" w:rsidP="000C64AA">
      <w:pPr>
        <w:pStyle w:val="Nagwek2"/>
        <w:spacing w:after="1920"/>
        <w:jc w:val="center"/>
        <w:rPr>
          <w:rFonts w:cs="Arial"/>
          <w:color w:val="auto"/>
          <w:sz w:val="32"/>
          <w:szCs w:val="32"/>
        </w:rPr>
      </w:pPr>
      <w:r w:rsidRPr="000F6A89">
        <w:rPr>
          <w:color w:val="auto"/>
          <w:sz w:val="32"/>
          <w:szCs w:val="32"/>
        </w:rPr>
        <w:t xml:space="preserve">Lista wskaźników </w:t>
      </w:r>
      <w:r w:rsidR="003A603E" w:rsidRPr="000F6A89">
        <w:rPr>
          <w:color w:val="auto"/>
          <w:sz w:val="32"/>
          <w:szCs w:val="32"/>
        </w:rPr>
        <w:t>(EFRR)</w:t>
      </w:r>
      <w:r w:rsidR="009E0D4A" w:rsidRPr="000F6A89">
        <w:rPr>
          <w:color w:val="auto"/>
          <w:sz w:val="32"/>
          <w:szCs w:val="32"/>
        </w:rPr>
        <w:br/>
      </w:r>
      <w:r w:rsidR="005300F2" w:rsidRPr="000F6A89">
        <w:rPr>
          <w:bCs/>
          <w:color w:val="auto"/>
          <w:sz w:val="32"/>
          <w:szCs w:val="32"/>
        </w:rPr>
        <w:t>Priorytet FEPK.06 Rozwój Zrównoważony Terytorialnie</w:t>
      </w:r>
      <w:r w:rsidR="009E0D4A" w:rsidRPr="000F6A89">
        <w:rPr>
          <w:rFonts w:cs="Arial"/>
          <w:bCs/>
          <w:color w:val="auto"/>
          <w:sz w:val="32"/>
          <w:szCs w:val="32"/>
        </w:rPr>
        <w:br/>
      </w:r>
      <w:r w:rsidR="005300F2" w:rsidRPr="000F6A89">
        <w:rPr>
          <w:rFonts w:cs="Arial"/>
          <w:bCs/>
          <w:color w:val="auto"/>
          <w:sz w:val="32"/>
          <w:szCs w:val="32"/>
        </w:rPr>
        <w:t xml:space="preserve">Działanie </w:t>
      </w:r>
      <w:r w:rsidR="005300F2" w:rsidRPr="000F6A89">
        <w:rPr>
          <w:bCs/>
          <w:color w:val="auto"/>
          <w:sz w:val="32"/>
          <w:szCs w:val="32"/>
        </w:rPr>
        <w:t>FEPK</w:t>
      </w:r>
      <w:r w:rsidR="005300F2" w:rsidRPr="000F6A89">
        <w:rPr>
          <w:rFonts w:cs="Arial"/>
          <w:bCs/>
          <w:color w:val="auto"/>
          <w:sz w:val="32"/>
          <w:szCs w:val="32"/>
        </w:rPr>
        <w:t>.06.01 Zrównoważony Rozwój Miejskich Obszarów Funkcjonalnych</w:t>
      </w:r>
      <w:r w:rsidR="005300F2" w:rsidRPr="000F6A89">
        <w:rPr>
          <w:rFonts w:cs="Arial"/>
          <w:bCs/>
          <w:color w:val="auto"/>
          <w:sz w:val="32"/>
          <w:szCs w:val="32"/>
        </w:rPr>
        <w:br/>
      </w:r>
      <w:r w:rsidR="00097FED" w:rsidRPr="000F6A89">
        <w:rPr>
          <w:rFonts w:cs="Arial"/>
          <w:color w:val="auto"/>
          <w:sz w:val="32"/>
          <w:szCs w:val="32"/>
        </w:rPr>
        <w:t>Programu Regionalnego Fundusze Europejskie dla Podkarpacia 2021-2027</w:t>
      </w:r>
    </w:p>
    <w:p w14:paraId="04C62BBB" w14:textId="0081A294" w:rsidR="000C64AA" w:rsidRPr="000C64AA" w:rsidRDefault="000C64AA" w:rsidP="000C64AA">
      <w:pPr>
        <w:pStyle w:val="Nagwek2"/>
        <w:spacing w:after="1920"/>
        <w:jc w:val="center"/>
        <w:rPr>
          <w:rFonts w:cs="Arial"/>
          <w:color w:val="auto"/>
          <w:sz w:val="32"/>
          <w:szCs w:val="32"/>
        </w:rPr>
      </w:pPr>
      <w:r w:rsidRPr="001A0BF6">
        <w:rPr>
          <w:rFonts w:cs="Arial"/>
          <w:color w:val="auto"/>
          <w:sz w:val="32"/>
          <w:szCs w:val="32"/>
        </w:rPr>
        <w:t>Typ projektów</w:t>
      </w:r>
      <w:r w:rsidR="00517741">
        <w:rPr>
          <w:rFonts w:cs="Arial"/>
          <w:color w:val="auto"/>
          <w:sz w:val="32"/>
          <w:szCs w:val="32"/>
        </w:rPr>
        <w:t xml:space="preserve"> I</w:t>
      </w:r>
      <w:r w:rsidRPr="001A0BF6">
        <w:rPr>
          <w:rFonts w:cs="Arial"/>
          <w:color w:val="auto"/>
          <w:sz w:val="32"/>
          <w:szCs w:val="32"/>
        </w:rPr>
        <w:t>:</w:t>
      </w:r>
      <w:r w:rsidR="001A0BF6" w:rsidRPr="001A0BF6">
        <w:rPr>
          <w:rFonts w:cs="Arial"/>
          <w:color w:val="auto"/>
          <w:sz w:val="32"/>
          <w:szCs w:val="32"/>
        </w:rPr>
        <w:t xml:space="preserve"> </w:t>
      </w:r>
      <w:r w:rsidR="00517741">
        <w:rPr>
          <w:rFonts w:cs="Arial"/>
          <w:color w:val="auto"/>
          <w:sz w:val="32"/>
          <w:szCs w:val="32"/>
        </w:rPr>
        <w:t>O</w:t>
      </w:r>
      <w:r w:rsidR="001A0BF6" w:rsidRPr="001A0BF6">
        <w:rPr>
          <w:rFonts w:cs="Arial"/>
          <w:color w:val="auto"/>
          <w:sz w:val="32"/>
          <w:szCs w:val="32"/>
        </w:rPr>
        <w:t xml:space="preserve">chrona, rozwój i promowanie publicznych walorów turystycznych i usług turystycznych </w:t>
      </w:r>
      <w:r w:rsidR="009E0D4A" w:rsidRPr="000F6A89">
        <w:rPr>
          <w:rFonts w:cs="Arial"/>
          <w:color w:val="auto"/>
          <w:sz w:val="32"/>
          <w:szCs w:val="32"/>
        </w:rPr>
        <w:br w:type="page"/>
      </w:r>
    </w:p>
    <w:p w14:paraId="715C0C3F" w14:textId="3DBDAF7A" w:rsidR="00FB5F2B" w:rsidRPr="000F6A89" w:rsidRDefault="00D70932" w:rsidP="009E0D4A">
      <w:pPr>
        <w:pStyle w:val="Nagwek3"/>
        <w:numPr>
          <w:ilvl w:val="0"/>
          <w:numId w:val="20"/>
        </w:numPr>
        <w:rPr>
          <w:color w:val="auto"/>
        </w:rPr>
      </w:pPr>
      <w:r w:rsidRPr="000F6A89">
        <w:rPr>
          <w:color w:val="auto"/>
        </w:rPr>
        <w:lastRenderedPageBreak/>
        <w:t>Wskaźniki produktu</w:t>
      </w:r>
    </w:p>
    <w:tbl>
      <w:tblPr>
        <w:tblW w:w="12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Wskaźniki produktu"/>
        <w:tblDescription w:val="Tabela zawiera wskaźniki produktu."/>
      </w:tblPr>
      <w:tblGrid>
        <w:gridCol w:w="824"/>
        <w:gridCol w:w="3282"/>
        <w:gridCol w:w="1418"/>
        <w:gridCol w:w="7087"/>
      </w:tblGrid>
      <w:tr w:rsidR="000F6A89" w:rsidRPr="000F6A89" w14:paraId="419230AF" w14:textId="77777777" w:rsidTr="009C6524">
        <w:trPr>
          <w:tblHeader/>
          <w:jc w:val="center"/>
        </w:trPr>
        <w:tc>
          <w:tcPr>
            <w:tcW w:w="824" w:type="dxa"/>
            <w:tcBorders>
              <w:top w:val="single" w:sz="4" w:space="0" w:color="auto"/>
              <w:left w:val="single" w:sz="4" w:space="0" w:color="auto"/>
              <w:bottom w:val="single" w:sz="4" w:space="0" w:color="auto"/>
              <w:right w:val="single" w:sz="4" w:space="0" w:color="auto"/>
            </w:tcBorders>
            <w:vAlign w:val="center"/>
          </w:tcPr>
          <w:p w14:paraId="734EB928" w14:textId="77777777" w:rsidR="00401CB5" w:rsidRPr="000F6A89" w:rsidRDefault="00401CB5">
            <w:pPr>
              <w:jc w:val="center"/>
              <w:rPr>
                <w:rFonts w:ascii="Arial" w:hAnsi="Arial" w:cs="Arial"/>
                <w:bCs/>
              </w:rPr>
            </w:pPr>
            <w:r w:rsidRPr="000F6A89">
              <w:rPr>
                <w:rFonts w:ascii="Arial" w:hAnsi="Arial" w:cs="Arial"/>
                <w:bCs/>
              </w:rPr>
              <w:t>L.p.</w:t>
            </w:r>
          </w:p>
        </w:tc>
        <w:tc>
          <w:tcPr>
            <w:tcW w:w="3282" w:type="dxa"/>
            <w:tcBorders>
              <w:top w:val="single" w:sz="4" w:space="0" w:color="auto"/>
              <w:left w:val="single" w:sz="4" w:space="0" w:color="auto"/>
              <w:bottom w:val="single" w:sz="4" w:space="0" w:color="auto"/>
              <w:right w:val="single" w:sz="4" w:space="0" w:color="auto"/>
            </w:tcBorders>
            <w:vAlign w:val="center"/>
          </w:tcPr>
          <w:p w14:paraId="45E428E0" w14:textId="77777777" w:rsidR="00401CB5" w:rsidRPr="000F6A89" w:rsidRDefault="00401CB5">
            <w:pPr>
              <w:jc w:val="center"/>
              <w:rPr>
                <w:rFonts w:ascii="Arial" w:hAnsi="Arial" w:cs="Arial"/>
              </w:rPr>
            </w:pPr>
            <w:r w:rsidRPr="000F6A89">
              <w:rPr>
                <w:rFonts w:ascii="Arial" w:hAnsi="Arial" w:cs="Arial"/>
              </w:rPr>
              <w:t>Nazwa wskaźnika</w:t>
            </w:r>
          </w:p>
        </w:tc>
        <w:tc>
          <w:tcPr>
            <w:tcW w:w="1418" w:type="dxa"/>
            <w:tcBorders>
              <w:top w:val="single" w:sz="4" w:space="0" w:color="auto"/>
              <w:left w:val="single" w:sz="4" w:space="0" w:color="auto"/>
              <w:bottom w:val="single" w:sz="4" w:space="0" w:color="auto"/>
              <w:right w:val="single" w:sz="4" w:space="0" w:color="auto"/>
            </w:tcBorders>
            <w:vAlign w:val="center"/>
          </w:tcPr>
          <w:p w14:paraId="5D00F16A" w14:textId="77777777" w:rsidR="00401CB5" w:rsidRPr="000F6A89" w:rsidRDefault="00401CB5">
            <w:pPr>
              <w:tabs>
                <w:tab w:val="center" w:pos="4536"/>
                <w:tab w:val="right" w:pos="9072"/>
              </w:tabs>
              <w:jc w:val="center"/>
              <w:rPr>
                <w:rFonts w:ascii="Arial" w:hAnsi="Arial" w:cs="Arial"/>
              </w:rPr>
            </w:pPr>
            <w:r w:rsidRPr="000F6A89">
              <w:rPr>
                <w:rFonts w:ascii="Arial" w:hAnsi="Arial" w:cs="Arial"/>
              </w:rPr>
              <w:t>Jednostka miary</w:t>
            </w:r>
          </w:p>
        </w:tc>
        <w:tc>
          <w:tcPr>
            <w:tcW w:w="7087" w:type="dxa"/>
            <w:tcBorders>
              <w:top w:val="single" w:sz="4" w:space="0" w:color="auto"/>
              <w:left w:val="single" w:sz="4" w:space="0" w:color="auto"/>
              <w:bottom w:val="single" w:sz="4" w:space="0" w:color="auto"/>
              <w:right w:val="single" w:sz="4" w:space="0" w:color="auto"/>
            </w:tcBorders>
            <w:vAlign w:val="center"/>
          </w:tcPr>
          <w:p w14:paraId="083A59C3" w14:textId="77777777" w:rsidR="00401CB5" w:rsidRPr="000F6A89" w:rsidRDefault="00401CB5">
            <w:pPr>
              <w:keepNext/>
              <w:keepLines/>
              <w:tabs>
                <w:tab w:val="center" w:pos="4536"/>
                <w:tab w:val="right" w:pos="9072"/>
              </w:tabs>
              <w:spacing w:before="200"/>
              <w:jc w:val="center"/>
              <w:outlineLvl w:val="2"/>
              <w:rPr>
                <w:rFonts w:ascii="Arial" w:hAnsi="Arial" w:cs="Arial"/>
              </w:rPr>
            </w:pPr>
            <w:r w:rsidRPr="000F6A89">
              <w:rPr>
                <w:rFonts w:ascii="Arial" w:hAnsi="Arial" w:cs="Arial"/>
              </w:rPr>
              <w:t>DEFINICJA</w:t>
            </w:r>
          </w:p>
        </w:tc>
      </w:tr>
      <w:tr w:rsidR="000F6A89" w:rsidRPr="000F6A89" w14:paraId="3C5D28E1" w14:textId="77777777" w:rsidTr="001954AD">
        <w:trPr>
          <w:trHeight w:val="464"/>
          <w:jc w:val="center"/>
        </w:trPr>
        <w:tc>
          <w:tcPr>
            <w:tcW w:w="824" w:type="dxa"/>
            <w:vAlign w:val="center"/>
          </w:tcPr>
          <w:p w14:paraId="26A53D2B" w14:textId="55A04CC4" w:rsidR="006A2313" w:rsidRPr="000F6A89" w:rsidRDefault="006A2313" w:rsidP="00FC07AA">
            <w:pPr>
              <w:pStyle w:val="Akapitzlist"/>
              <w:numPr>
                <w:ilvl w:val="0"/>
                <w:numId w:val="21"/>
              </w:numPr>
              <w:autoSpaceDE w:val="0"/>
              <w:autoSpaceDN w:val="0"/>
              <w:adjustRightInd w:val="0"/>
              <w:rPr>
                <w:rFonts w:ascii="Arial" w:hAnsi="Arial" w:cs="Arial"/>
              </w:rPr>
            </w:pPr>
            <w:r w:rsidRPr="000F6A89">
              <w:rPr>
                <w:rFonts w:ascii="Arial" w:hAnsi="Arial" w:cs="Arial"/>
              </w:rPr>
              <w:t>1.</w:t>
            </w:r>
          </w:p>
        </w:tc>
        <w:tc>
          <w:tcPr>
            <w:tcW w:w="3282" w:type="dxa"/>
            <w:vAlign w:val="center"/>
          </w:tcPr>
          <w:p w14:paraId="03D06AA7" w14:textId="7E6285B8" w:rsidR="006A2313" w:rsidRPr="000F6A89" w:rsidRDefault="006A2313" w:rsidP="006A2313">
            <w:pPr>
              <w:autoSpaceDE w:val="0"/>
              <w:autoSpaceDN w:val="0"/>
              <w:adjustRightInd w:val="0"/>
              <w:rPr>
                <w:rFonts w:ascii="Arial" w:hAnsi="Arial" w:cs="Arial"/>
                <w:bCs/>
              </w:rPr>
            </w:pPr>
            <w:r w:rsidRPr="000F6A89">
              <w:rPr>
                <w:rFonts w:ascii="Arial" w:hAnsi="Arial" w:cs="Arial"/>
                <w:bCs/>
              </w:rPr>
              <w:t>Liczba obiektów kulturalnych i turystycznych objętych wsparciem</w:t>
            </w:r>
          </w:p>
        </w:tc>
        <w:tc>
          <w:tcPr>
            <w:tcW w:w="1418" w:type="dxa"/>
            <w:vAlign w:val="center"/>
          </w:tcPr>
          <w:p w14:paraId="6D983386" w14:textId="24B0D776" w:rsidR="006A2313" w:rsidRPr="000F6A89" w:rsidRDefault="006A2313" w:rsidP="006A2313">
            <w:pPr>
              <w:rPr>
                <w:rFonts w:ascii="Arial" w:hAnsi="Arial" w:cs="Arial"/>
              </w:rPr>
            </w:pPr>
            <w:r w:rsidRPr="000F6A89">
              <w:rPr>
                <w:rFonts w:ascii="Arial" w:hAnsi="Arial" w:cs="Arial"/>
              </w:rPr>
              <w:t>szt.</w:t>
            </w:r>
          </w:p>
        </w:tc>
        <w:tc>
          <w:tcPr>
            <w:tcW w:w="7087" w:type="dxa"/>
            <w:vAlign w:val="center"/>
          </w:tcPr>
          <w:p w14:paraId="087F7111" w14:textId="409B581D" w:rsidR="005C15ED" w:rsidRPr="000F6A89" w:rsidRDefault="006A2313" w:rsidP="006A2313">
            <w:pPr>
              <w:rPr>
                <w:rFonts w:ascii="Arial" w:hAnsi="Arial" w:cs="Arial"/>
              </w:rPr>
            </w:pPr>
            <w:r w:rsidRPr="000F6A89">
              <w:rPr>
                <w:rFonts w:ascii="Arial" w:hAnsi="Arial" w:cs="Arial"/>
              </w:rPr>
              <w:t>Liczba obiektów kulturalnych i turystycznych wspieranych przez Fundusze</w:t>
            </w:r>
            <w:r w:rsidR="00C01799" w:rsidRPr="000F6A89">
              <w:rPr>
                <w:rFonts w:ascii="Arial" w:hAnsi="Arial" w:cs="Arial"/>
              </w:rPr>
              <w:t>.</w:t>
            </w:r>
          </w:p>
          <w:p w14:paraId="0CFF74F9" w14:textId="77777777" w:rsidR="0030130F" w:rsidRDefault="0030130F" w:rsidP="006A2313">
            <w:pPr>
              <w:rPr>
                <w:rFonts w:ascii="Arial" w:hAnsi="Arial" w:cs="Arial"/>
              </w:rPr>
            </w:pPr>
            <w:r>
              <w:rPr>
                <w:rFonts w:ascii="Arial" w:hAnsi="Arial" w:cs="Arial"/>
              </w:rPr>
              <w:t>Wyjaśnienie:</w:t>
            </w:r>
          </w:p>
          <w:p w14:paraId="55BC8593" w14:textId="064B2CB9" w:rsidR="005C15ED" w:rsidRPr="000F6A89" w:rsidRDefault="005C15ED" w:rsidP="006A2313">
            <w:pPr>
              <w:rPr>
                <w:rFonts w:ascii="Arial" w:hAnsi="Arial" w:cs="Arial"/>
              </w:rPr>
            </w:pPr>
            <w:r w:rsidRPr="000F6A89">
              <w:rPr>
                <w:rFonts w:ascii="Arial" w:hAnsi="Arial" w:cs="Arial"/>
              </w:rPr>
              <w:t>Do obiektów kulturalnych i turystycznych obok budynków można zaliczyć również punkty turystyczne rozumiane jako kompleksy wypoczynkowo- przystankowe i rekreacyjne, m.in. takie jak stanice kajakowe, punkty przystankowe i wypoczynkowe przy wspieranych szlakach (pieszych, kajakowych, czy rowerowych), w tym wiaty przystankowe wraz z infrastrukturą towarzyszącą.</w:t>
            </w:r>
            <w:r w:rsidR="00D445E3">
              <w:t xml:space="preserve"> </w:t>
            </w:r>
            <w:r w:rsidR="00D445E3" w:rsidRPr="00D445E3">
              <w:rPr>
                <w:rFonts w:ascii="Arial" w:hAnsi="Arial" w:cs="Arial"/>
              </w:rPr>
              <w:t>Kompleks wypoczynkowo-przystankowy lub rekreacyjny należy liczyć jako 1 obiekt.</w:t>
            </w:r>
          </w:p>
        </w:tc>
      </w:tr>
      <w:tr w:rsidR="000F6A89" w:rsidRPr="000F6A89" w14:paraId="512477D3" w14:textId="77777777" w:rsidTr="001954AD">
        <w:trPr>
          <w:trHeight w:val="464"/>
          <w:jc w:val="center"/>
        </w:trPr>
        <w:tc>
          <w:tcPr>
            <w:tcW w:w="824" w:type="dxa"/>
            <w:vAlign w:val="center"/>
          </w:tcPr>
          <w:p w14:paraId="0BBCCB58" w14:textId="77777777" w:rsidR="007E5211" w:rsidRPr="000F6A89" w:rsidRDefault="007E5211" w:rsidP="007E5211">
            <w:pPr>
              <w:pStyle w:val="Akapitzlist"/>
              <w:numPr>
                <w:ilvl w:val="0"/>
                <w:numId w:val="21"/>
              </w:numPr>
              <w:autoSpaceDE w:val="0"/>
              <w:autoSpaceDN w:val="0"/>
              <w:adjustRightInd w:val="0"/>
              <w:rPr>
                <w:rFonts w:ascii="Arial" w:hAnsi="Arial" w:cs="Arial"/>
              </w:rPr>
            </w:pPr>
          </w:p>
        </w:tc>
        <w:tc>
          <w:tcPr>
            <w:tcW w:w="3282" w:type="dxa"/>
            <w:vAlign w:val="center"/>
          </w:tcPr>
          <w:p w14:paraId="64D1A271" w14:textId="1E25BDAF" w:rsidR="007E5211" w:rsidRPr="000F6A89" w:rsidRDefault="009602C4" w:rsidP="007E5211">
            <w:pPr>
              <w:autoSpaceDE w:val="0"/>
              <w:autoSpaceDN w:val="0"/>
              <w:adjustRightInd w:val="0"/>
              <w:rPr>
                <w:rFonts w:ascii="Arial" w:hAnsi="Arial" w:cs="Arial"/>
                <w:bCs/>
              </w:rPr>
            </w:pPr>
            <w:r w:rsidRPr="000F6A89">
              <w:rPr>
                <w:rFonts w:ascii="Arial" w:eastAsia="Times New Roman" w:hAnsi="Arial" w:cs="Arial"/>
                <w:lang w:eastAsia="pl-PL"/>
              </w:rPr>
              <w:t>Ludność</w:t>
            </w:r>
            <w:r w:rsidR="007E5211" w:rsidRPr="000F6A89">
              <w:rPr>
                <w:rFonts w:ascii="Arial" w:eastAsia="Times New Roman" w:hAnsi="Arial" w:cs="Arial"/>
                <w:lang w:eastAsia="pl-PL"/>
              </w:rPr>
              <w:t xml:space="preserve">́ </w:t>
            </w:r>
            <w:r w:rsidRPr="000F6A89">
              <w:rPr>
                <w:rFonts w:ascii="Arial" w:eastAsia="Times New Roman" w:hAnsi="Arial" w:cs="Arial"/>
                <w:lang w:eastAsia="pl-PL"/>
              </w:rPr>
              <w:t>objęta</w:t>
            </w:r>
            <w:r w:rsidR="007E5211" w:rsidRPr="000F6A89">
              <w:rPr>
                <w:rFonts w:ascii="Arial" w:eastAsia="Times New Roman" w:hAnsi="Arial" w:cs="Arial"/>
                <w:lang w:eastAsia="pl-PL"/>
              </w:rPr>
              <w:t xml:space="preserve"> projektami w ramach strategii zintegrowanego rozwoju terytorialnego</w:t>
            </w:r>
          </w:p>
        </w:tc>
        <w:tc>
          <w:tcPr>
            <w:tcW w:w="1418" w:type="dxa"/>
            <w:vAlign w:val="center"/>
          </w:tcPr>
          <w:p w14:paraId="5951C116" w14:textId="7133CCC3" w:rsidR="007E5211" w:rsidRPr="000F6A89" w:rsidRDefault="007E5211" w:rsidP="007E5211">
            <w:pPr>
              <w:rPr>
                <w:rFonts w:ascii="Arial" w:hAnsi="Arial" w:cs="Arial"/>
              </w:rPr>
            </w:pPr>
            <w:r w:rsidRPr="000F6A89">
              <w:rPr>
                <w:rFonts w:ascii="Arial" w:hAnsi="Arial" w:cs="Arial"/>
              </w:rPr>
              <w:t>osoby</w:t>
            </w:r>
          </w:p>
        </w:tc>
        <w:tc>
          <w:tcPr>
            <w:tcW w:w="7087" w:type="dxa"/>
            <w:vAlign w:val="center"/>
          </w:tcPr>
          <w:p w14:paraId="6325D678" w14:textId="1B324178" w:rsidR="006E2570" w:rsidRPr="000F6A89" w:rsidRDefault="007E5211" w:rsidP="007E5211">
            <w:pPr>
              <w:rPr>
                <w:rFonts w:ascii="Arial" w:eastAsia="Times New Roman" w:hAnsi="Arial" w:cs="Arial"/>
                <w:lang w:eastAsia="pl-PL"/>
              </w:rPr>
            </w:pPr>
            <w:r w:rsidRPr="000F6A89">
              <w:rPr>
                <w:rFonts w:ascii="Arial" w:eastAsia="Times New Roman" w:hAnsi="Arial" w:cs="Arial"/>
                <w:lang w:eastAsia="pl-PL"/>
              </w:rPr>
              <w:t>Liczba osób objętych projektami wspieranymi przez fundusze w ramach strategii zintegrowanego rozwoju terytorialnego.</w:t>
            </w:r>
            <w:r w:rsidR="006E2570" w:rsidRPr="000F6A89">
              <w:rPr>
                <w:rFonts w:ascii="Arial" w:eastAsia="Times New Roman" w:hAnsi="Arial" w:cs="Arial"/>
                <w:lang w:eastAsia="pl-PL"/>
              </w:rPr>
              <w:t xml:space="preserve"> </w:t>
            </w:r>
          </w:p>
          <w:p w14:paraId="7DE2E7A1" w14:textId="77777777" w:rsidR="006E2570" w:rsidRPr="000F6A89" w:rsidRDefault="006E2570" w:rsidP="006E2570">
            <w:pPr>
              <w:rPr>
                <w:rFonts w:ascii="Arial" w:eastAsia="Times New Roman" w:hAnsi="Arial" w:cs="Arial"/>
                <w:lang w:eastAsia="pl-PL"/>
              </w:rPr>
            </w:pPr>
            <w:r w:rsidRPr="000F6A89">
              <w:rPr>
                <w:rFonts w:ascii="Arial" w:eastAsia="Times New Roman" w:hAnsi="Arial" w:cs="Arial"/>
                <w:lang w:eastAsia="pl-PL"/>
              </w:rPr>
              <w:t>Wyjaśnienie:</w:t>
            </w:r>
          </w:p>
          <w:p w14:paraId="41388F06" w14:textId="34E2DA71" w:rsidR="006E2570" w:rsidRPr="006A5753" w:rsidRDefault="006E2570" w:rsidP="006E2570">
            <w:pPr>
              <w:rPr>
                <w:rFonts w:ascii="Arial" w:eastAsia="Times New Roman" w:hAnsi="Arial" w:cs="Arial"/>
                <w:lang w:eastAsia="pl-PL"/>
              </w:rPr>
            </w:pPr>
            <w:r w:rsidRPr="006A5753">
              <w:rPr>
                <w:rFonts w:ascii="Arial" w:eastAsia="Times New Roman" w:hAnsi="Arial" w:cs="Arial"/>
                <w:lang w:eastAsia="pl-PL"/>
              </w:rPr>
              <w:t>W wartości docelowej wskaźnika należy podać liczbę ludności zamieszkującą MOF, na terenie którego realizowany będzie projekt wynikający z opracowanej dla danego MOF strategii zintegrowanego rozwoju terytorialnego.</w:t>
            </w:r>
          </w:p>
          <w:p w14:paraId="1667FA1B" w14:textId="16EDB36A" w:rsidR="001534EE" w:rsidRPr="00302445" w:rsidRDefault="006E2570" w:rsidP="007E5211">
            <w:pPr>
              <w:rPr>
                <w:rFonts w:ascii="Arial" w:eastAsia="Times New Roman" w:hAnsi="Arial" w:cs="Arial"/>
                <w:lang w:eastAsia="pl-PL"/>
              </w:rPr>
            </w:pPr>
            <w:r w:rsidRPr="00302445">
              <w:rPr>
                <w:rFonts w:ascii="Arial" w:eastAsia="Times New Roman" w:hAnsi="Arial" w:cs="Arial"/>
                <w:lang w:eastAsia="pl-PL"/>
              </w:rPr>
              <w:t>Informacje należy podać za pełny rok</w:t>
            </w:r>
            <w:r w:rsidR="00E019CF" w:rsidRPr="00302445">
              <w:rPr>
                <w:rFonts w:ascii="Arial" w:eastAsia="Times New Roman" w:hAnsi="Arial" w:cs="Arial"/>
                <w:lang w:eastAsia="pl-PL"/>
              </w:rPr>
              <w:t xml:space="preserve"> kalendarzowy</w:t>
            </w:r>
            <w:r w:rsidRPr="00302445">
              <w:rPr>
                <w:rFonts w:ascii="Arial" w:eastAsia="Times New Roman" w:hAnsi="Arial" w:cs="Arial"/>
                <w:lang w:eastAsia="pl-PL"/>
              </w:rPr>
              <w:t xml:space="preserve"> </w:t>
            </w:r>
            <w:r w:rsidR="00E019CF" w:rsidRPr="00302445">
              <w:rPr>
                <w:rFonts w:ascii="Arial" w:hAnsi="Arial" w:cs="Arial"/>
              </w:rPr>
              <w:t xml:space="preserve">na podstawie danych GUS według stanu na dzień </w:t>
            </w:r>
            <w:bookmarkStart w:id="0" w:name="_GoBack"/>
            <w:r w:rsidR="00E019CF" w:rsidRPr="000D1A94">
              <w:rPr>
                <w:rFonts w:ascii="Arial" w:hAnsi="Arial" w:cs="Arial"/>
              </w:rPr>
              <w:t xml:space="preserve">31.12.2023 </w:t>
            </w:r>
            <w:bookmarkEnd w:id="0"/>
            <w:r w:rsidR="00E019CF" w:rsidRPr="00302445">
              <w:rPr>
                <w:rFonts w:ascii="Arial" w:hAnsi="Arial" w:cs="Arial"/>
              </w:rPr>
              <w:t>r</w:t>
            </w:r>
            <w:r w:rsidRPr="00302445">
              <w:rPr>
                <w:rFonts w:ascii="Arial" w:eastAsia="Times New Roman" w:hAnsi="Arial" w:cs="Arial"/>
                <w:lang w:eastAsia="pl-PL"/>
              </w:rPr>
              <w:t>.</w:t>
            </w:r>
            <w:r w:rsidR="00D445E3" w:rsidRPr="00302445">
              <w:rPr>
                <w:rFonts w:ascii="Arial" w:eastAsia="Times New Roman" w:hAnsi="Arial" w:cs="Arial"/>
                <w:lang w:eastAsia="pl-PL"/>
              </w:rPr>
              <w:t xml:space="preserve"> </w:t>
            </w:r>
          </w:p>
          <w:p w14:paraId="30694262" w14:textId="68C987B4" w:rsidR="007E5211" w:rsidRPr="00D445E3" w:rsidRDefault="00D445E3" w:rsidP="007E5211">
            <w:pPr>
              <w:rPr>
                <w:rFonts w:ascii="Arial" w:eastAsia="Times New Roman" w:hAnsi="Arial" w:cs="Arial"/>
                <w:lang w:eastAsia="pl-PL"/>
              </w:rPr>
            </w:pPr>
            <w:r w:rsidRPr="006A5753">
              <w:rPr>
                <w:rFonts w:ascii="Arial" w:eastAsia="Times New Roman" w:hAnsi="Arial" w:cs="Arial"/>
                <w:lang w:eastAsia="pl-PL"/>
              </w:rPr>
              <w:t>Wskaźnik obligatoryjny na poziomie projektu.</w:t>
            </w:r>
          </w:p>
        </w:tc>
      </w:tr>
      <w:tr w:rsidR="000F6A89" w:rsidRPr="000F6A89" w14:paraId="1F09D815" w14:textId="77777777" w:rsidTr="001954AD">
        <w:trPr>
          <w:trHeight w:val="232"/>
          <w:jc w:val="center"/>
        </w:trPr>
        <w:tc>
          <w:tcPr>
            <w:tcW w:w="824" w:type="dxa"/>
            <w:vAlign w:val="center"/>
          </w:tcPr>
          <w:p w14:paraId="5CF60D5D" w14:textId="61FF1C96" w:rsidR="00401CB5" w:rsidRPr="000F6A89" w:rsidRDefault="00286EA5" w:rsidP="00FC07AA">
            <w:pPr>
              <w:pStyle w:val="Akapitzlist"/>
              <w:numPr>
                <w:ilvl w:val="0"/>
                <w:numId w:val="21"/>
              </w:numPr>
              <w:autoSpaceDE w:val="0"/>
              <w:autoSpaceDN w:val="0"/>
              <w:adjustRightInd w:val="0"/>
              <w:rPr>
                <w:rFonts w:ascii="Arial" w:hAnsi="Arial" w:cs="Arial"/>
              </w:rPr>
            </w:pPr>
            <w:r w:rsidRPr="000F6A89">
              <w:rPr>
                <w:rFonts w:ascii="Arial" w:hAnsi="Arial" w:cs="Arial"/>
              </w:rPr>
              <w:lastRenderedPageBreak/>
              <w:t>2.</w:t>
            </w:r>
          </w:p>
        </w:tc>
        <w:tc>
          <w:tcPr>
            <w:tcW w:w="3282" w:type="dxa"/>
            <w:vAlign w:val="center"/>
          </w:tcPr>
          <w:p w14:paraId="565C4A70" w14:textId="1818E200" w:rsidR="00401CB5" w:rsidRPr="000F6A89" w:rsidRDefault="006E01A0" w:rsidP="001D1CE2">
            <w:pPr>
              <w:tabs>
                <w:tab w:val="center" w:pos="4536"/>
                <w:tab w:val="right" w:pos="9072"/>
              </w:tabs>
              <w:autoSpaceDE w:val="0"/>
              <w:autoSpaceDN w:val="0"/>
              <w:adjustRightInd w:val="0"/>
              <w:rPr>
                <w:rFonts w:ascii="Arial" w:hAnsi="Arial" w:cs="Arial"/>
                <w:bCs/>
              </w:rPr>
            </w:pPr>
            <w:r w:rsidRPr="000F6A89">
              <w:rPr>
                <w:rFonts w:ascii="Arial" w:hAnsi="Arial" w:cs="Arial"/>
                <w:bCs/>
              </w:rPr>
              <w:t>Liczba obiektów dostosowanych do potrzeb osób z niepełnosprawnościami (EFRR/FST/FS)</w:t>
            </w:r>
          </w:p>
        </w:tc>
        <w:tc>
          <w:tcPr>
            <w:tcW w:w="1418" w:type="dxa"/>
            <w:vAlign w:val="center"/>
          </w:tcPr>
          <w:p w14:paraId="2DA09B62" w14:textId="77777777" w:rsidR="00401CB5" w:rsidRPr="000F6A89" w:rsidRDefault="00401CB5" w:rsidP="001D1CE2">
            <w:pPr>
              <w:tabs>
                <w:tab w:val="center" w:pos="4536"/>
                <w:tab w:val="right" w:pos="9072"/>
              </w:tabs>
              <w:rPr>
                <w:rFonts w:ascii="Arial" w:hAnsi="Arial" w:cs="Arial"/>
              </w:rPr>
            </w:pPr>
            <w:r w:rsidRPr="000F6A89">
              <w:rPr>
                <w:rFonts w:ascii="Arial" w:hAnsi="Arial" w:cs="Arial"/>
              </w:rPr>
              <w:t>szt.</w:t>
            </w:r>
          </w:p>
        </w:tc>
        <w:tc>
          <w:tcPr>
            <w:tcW w:w="7087" w:type="dxa"/>
            <w:vAlign w:val="center"/>
          </w:tcPr>
          <w:p w14:paraId="10516E87" w14:textId="0787C751" w:rsidR="00401CB5" w:rsidRPr="000F6A89" w:rsidRDefault="00C40AB7" w:rsidP="001D1CE2">
            <w:pPr>
              <w:autoSpaceDE w:val="0"/>
              <w:adjustRightInd w:val="0"/>
              <w:rPr>
                <w:rFonts w:ascii="Arial" w:hAnsi="Arial" w:cs="Arial"/>
              </w:rPr>
            </w:pPr>
            <w:r w:rsidRPr="000F6A89">
              <w:rPr>
                <w:rFonts w:ascii="Arial" w:hAnsi="Arial" w:cs="Arial"/>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w:t>
            </w:r>
            <w:r w:rsidR="00134BA7">
              <w:rPr>
                <w:rFonts w:ascii="Arial" w:hAnsi="Arial" w:cs="Arial"/>
              </w:rPr>
              <w:t xml:space="preserve"> </w:t>
            </w:r>
            <w:r w:rsidRPr="000F6A89">
              <w:rPr>
                <w:rFonts w:ascii="Arial" w:hAnsi="Arial" w:cs="Arial"/>
              </w:rPr>
              <w:t>Należy podać liczbę obiektów, a nie sprzętów, urządzeń itp., w które obiekty zaopatrzono. Jeśli instytucja, zakład itp. składa się z kilku obiektów, należy zliczyć wszystkie, które dostosowano do potrzeb osób z niepełnosprawnościami.</w:t>
            </w:r>
            <w:r w:rsidR="00A973A3" w:rsidRPr="000F6A89">
              <w:rPr>
                <w:rFonts w:ascii="Arial" w:hAnsi="Arial" w:cs="Arial"/>
              </w:rPr>
              <w:t xml:space="preserve"> </w:t>
            </w:r>
            <w:r w:rsidRPr="000F6A89">
              <w:rPr>
                <w:rFonts w:ascii="Arial" w:hAnsi="Arial" w:cs="Arial"/>
              </w:rPr>
              <w:t>Wskaźnik mierzony w momencie rozliczenia wydatku związanego z wyposażeniem obiektów w rozwiązania służące osobom z niepełnosprawnościami w ramach danego projektu.</w:t>
            </w:r>
          </w:p>
        </w:tc>
      </w:tr>
      <w:tr w:rsidR="000F6A89" w:rsidRPr="000F6A89" w14:paraId="229D9203" w14:textId="77777777" w:rsidTr="001954AD">
        <w:trPr>
          <w:trHeight w:val="852"/>
          <w:jc w:val="center"/>
        </w:trPr>
        <w:tc>
          <w:tcPr>
            <w:tcW w:w="824" w:type="dxa"/>
            <w:tcBorders>
              <w:top w:val="single" w:sz="4" w:space="0" w:color="auto"/>
              <w:bottom w:val="single" w:sz="4" w:space="0" w:color="auto"/>
            </w:tcBorders>
            <w:vAlign w:val="center"/>
          </w:tcPr>
          <w:p w14:paraId="5ADB6E28" w14:textId="09E0D7AA" w:rsidR="00401CB5" w:rsidRPr="000F6A89" w:rsidRDefault="006A2313" w:rsidP="00FC07AA">
            <w:pPr>
              <w:pStyle w:val="Akapitzlist"/>
              <w:numPr>
                <w:ilvl w:val="0"/>
                <w:numId w:val="21"/>
              </w:numPr>
              <w:rPr>
                <w:rFonts w:ascii="Arial" w:hAnsi="Arial" w:cs="Arial"/>
              </w:rPr>
            </w:pPr>
            <w:r w:rsidRPr="000F6A89">
              <w:rPr>
                <w:rFonts w:ascii="Arial" w:hAnsi="Arial" w:cs="Arial"/>
              </w:rPr>
              <w:t>3</w:t>
            </w:r>
            <w:r w:rsidR="00286EA5" w:rsidRPr="000F6A89">
              <w:rPr>
                <w:rFonts w:ascii="Arial" w:hAnsi="Arial" w:cs="Arial"/>
              </w:rPr>
              <w:t>.</w:t>
            </w:r>
          </w:p>
        </w:tc>
        <w:tc>
          <w:tcPr>
            <w:tcW w:w="3282" w:type="dxa"/>
            <w:tcBorders>
              <w:top w:val="single" w:sz="4" w:space="0" w:color="auto"/>
              <w:bottom w:val="single" w:sz="4" w:space="0" w:color="auto"/>
            </w:tcBorders>
            <w:vAlign w:val="center"/>
          </w:tcPr>
          <w:p w14:paraId="723DBC1C" w14:textId="63FD6FFB" w:rsidR="00401CB5" w:rsidRPr="000F6A89" w:rsidRDefault="00A373EF" w:rsidP="001D1CE2">
            <w:pPr>
              <w:pStyle w:val="Default"/>
              <w:rPr>
                <w:rFonts w:ascii="Arial" w:hAnsi="Arial" w:cs="Arial"/>
                <w:color w:val="auto"/>
                <w:sz w:val="22"/>
                <w:szCs w:val="22"/>
              </w:rPr>
            </w:pPr>
            <w:r w:rsidRPr="000F6A89">
              <w:rPr>
                <w:rFonts w:ascii="Arial" w:hAnsi="Arial" w:cs="Arial"/>
                <w:color w:val="auto"/>
                <w:sz w:val="22"/>
                <w:szCs w:val="22"/>
              </w:rPr>
              <w:t>Liczba projektów, w których sfinansowano koszty racjonalnych usprawnień dla osób z niepełnosprawnościami (EFRR/FS</w:t>
            </w:r>
            <w:r w:rsidR="00F20D71" w:rsidRPr="000F6A89">
              <w:rPr>
                <w:rFonts w:ascii="Arial" w:hAnsi="Arial" w:cs="Arial"/>
                <w:color w:val="auto"/>
                <w:sz w:val="22"/>
                <w:szCs w:val="22"/>
              </w:rPr>
              <w:t>T</w:t>
            </w:r>
            <w:r w:rsidRPr="000F6A89">
              <w:rPr>
                <w:rFonts w:ascii="Arial" w:hAnsi="Arial" w:cs="Arial"/>
                <w:color w:val="auto"/>
                <w:sz w:val="22"/>
                <w:szCs w:val="22"/>
              </w:rPr>
              <w:t>/F</w:t>
            </w:r>
            <w:r w:rsidR="00F20D71" w:rsidRPr="000F6A89">
              <w:rPr>
                <w:rFonts w:ascii="Arial" w:hAnsi="Arial" w:cs="Arial"/>
                <w:color w:val="auto"/>
                <w:sz w:val="22"/>
                <w:szCs w:val="22"/>
              </w:rPr>
              <w:t>S</w:t>
            </w:r>
            <w:r w:rsidRPr="000F6A89">
              <w:rPr>
                <w:rFonts w:ascii="Arial" w:hAnsi="Arial" w:cs="Arial"/>
                <w:color w:val="auto"/>
                <w:sz w:val="22"/>
                <w:szCs w:val="22"/>
              </w:rPr>
              <w:t>)</w:t>
            </w:r>
          </w:p>
        </w:tc>
        <w:tc>
          <w:tcPr>
            <w:tcW w:w="1418" w:type="dxa"/>
            <w:tcBorders>
              <w:top w:val="single" w:sz="4" w:space="0" w:color="auto"/>
              <w:bottom w:val="single" w:sz="4" w:space="0" w:color="auto"/>
            </w:tcBorders>
            <w:vAlign w:val="center"/>
          </w:tcPr>
          <w:p w14:paraId="45667A2E" w14:textId="6BD8EB9B" w:rsidR="00401CB5" w:rsidRPr="000F6A89" w:rsidRDefault="00A373EF" w:rsidP="001D1CE2">
            <w:pPr>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680A765E" w14:textId="42AD9608" w:rsidR="00401CB5" w:rsidRPr="000F6A89" w:rsidRDefault="00A373EF" w:rsidP="007F67CC">
            <w:pPr>
              <w:rPr>
                <w:rStyle w:val="Odwoaniedokomentarza"/>
                <w:rFonts w:ascii="Arial" w:hAnsi="Arial" w:cs="Arial"/>
                <w:sz w:val="22"/>
                <w:szCs w:val="22"/>
              </w:rPr>
            </w:pPr>
            <w:r w:rsidRPr="000F6A89">
              <w:rPr>
                <w:rFonts w:ascii="Arial" w:hAnsi="Arial" w:cs="Arial"/>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w:t>
            </w:r>
            <w:r w:rsidRPr="000F6A89">
              <w:rPr>
                <w:rFonts w:ascii="Arial" w:hAnsi="Arial" w:cs="Arial"/>
              </w:rPr>
              <w:lastRenderedPageBreak/>
              <w:t>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w:t>
            </w:r>
            <w:r w:rsidR="00956AB8" w:rsidRPr="000F6A89">
              <w:rPr>
                <w:rFonts w:ascii="Arial" w:hAnsi="Arial" w:cs="Arial"/>
              </w:rPr>
              <w:t xml:space="preserve">W sytuacji wystąpienia MRU na etapie realizacji projektu </w:t>
            </w:r>
            <w:r w:rsidRPr="000F6A89">
              <w:rPr>
                <w:rFonts w:ascii="Arial" w:hAnsi="Arial" w:cs="Arial"/>
              </w:rPr>
              <w:t>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w:t>
            </w:r>
            <w:r w:rsidR="00A973A3" w:rsidRPr="000F6A89">
              <w:rPr>
                <w:rFonts w:ascii="Arial" w:hAnsi="Arial" w:cs="Arial"/>
              </w:rPr>
              <w:t xml:space="preserve"> </w:t>
            </w:r>
            <w:r w:rsidRPr="000F6A89">
              <w:rPr>
                <w:rFonts w:ascii="Arial" w:hAnsi="Arial" w:cs="Arial"/>
              </w:rPr>
              <w:t>Wytyczne w zakresie realizacji zasad równościowych  w ramach funduszy unijnych na lata 2021-2027</w:t>
            </w:r>
            <w:r w:rsidR="007F67CC" w:rsidRPr="000F6A89">
              <w:rPr>
                <w:rStyle w:val="Odwoaniedokomentarza"/>
                <w:rFonts w:ascii="Arial" w:hAnsi="Arial" w:cs="Arial"/>
                <w:sz w:val="22"/>
                <w:szCs w:val="22"/>
              </w:rPr>
              <w:t>.</w:t>
            </w:r>
          </w:p>
          <w:p w14:paraId="58544B68" w14:textId="77777777" w:rsidR="00537D04" w:rsidRPr="006A5753" w:rsidRDefault="00537D04" w:rsidP="007F67CC">
            <w:pPr>
              <w:rPr>
                <w:rStyle w:val="Odwoaniedokomentarza"/>
                <w:rFonts w:ascii="Arial" w:hAnsi="Arial" w:cs="Arial"/>
                <w:sz w:val="22"/>
                <w:szCs w:val="22"/>
              </w:rPr>
            </w:pPr>
            <w:r w:rsidRPr="006A5753">
              <w:rPr>
                <w:rStyle w:val="Odwoaniedokomentarza"/>
                <w:rFonts w:ascii="Arial" w:hAnsi="Arial" w:cs="Arial"/>
                <w:sz w:val="22"/>
                <w:szCs w:val="22"/>
              </w:rPr>
              <w:t>Wyjaśnienie:</w:t>
            </w:r>
          </w:p>
          <w:p w14:paraId="08D65C3F" w14:textId="422E69CA" w:rsidR="00537D04" w:rsidRPr="000F6A89" w:rsidRDefault="00537D04" w:rsidP="007F67CC">
            <w:pPr>
              <w:rPr>
                <w:sz w:val="16"/>
                <w:szCs w:val="16"/>
              </w:rPr>
            </w:pPr>
            <w:r w:rsidRPr="006A5753">
              <w:rPr>
                <w:rStyle w:val="Odwoaniedokomentarza"/>
                <w:rFonts w:ascii="Arial" w:hAnsi="Arial" w:cs="Arial"/>
                <w:sz w:val="22"/>
                <w:szCs w:val="22"/>
              </w:rPr>
              <w:t xml:space="preserve">W zawiązku z tym, że wskaźnik dotyczy mechanizmu racjonalnych usprawnień na etapie </w:t>
            </w:r>
            <w:r w:rsidR="00956AB8" w:rsidRPr="006A5753">
              <w:rPr>
                <w:rStyle w:val="Odwoaniedokomentarza"/>
                <w:rFonts w:ascii="Arial" w:hAnsi="Arial" w:cs="Arial"/>
                <w:sz w:val="22"/>
                <w:szCs w:val="22"/>
              </w:rPr>
              <w:t xml:space="preserve">przygotowywania </w:t>
            </w:r>
            <w:r w:rsidRPr="006A5753">
              <w:rPr>
                <w:rStyle w:val="Odwoaniedokomentarza"/>
                <w:rFonts w:ascii="Arial" w:hAnsi="Arial" w:cs="Arial"/>
                <w:sz w:val="22"/>
                <w:szCs w:val="22"/>
              </w:rPr>
              <w:t xml:space="preserve">wniosku o dofinansowanie  nie powinien </w:t>
            </w:r>
            <w:r w:rsidR="00956AB8" w:rsidRPr="006A5753">
              <w:rPr>
                <w:rStyle w:val="Odwoaniedokomentarza"/>
                <w:rFonts w:ascii="Arial" w:hAnsi="Arial" w:cs="Arial"/>
                <w:sz w:val="22"/>
                <w:szCs w:val="22"/>
              </w:rPr>
              <w:t xml:space="preserve">on </w:t>
            </w:r>
            <w:r w:rsidRPr="006A5753">
              <w:rPr>
                <w:rStyle w:val="Odwoaniedokomentarza"/>
                <w:rFonts w:ascii="Arial" w:hAnsi="Arial" w:cs="Arial"/>
                <w:sz w:val="22"/>
                <w:szCs w:val="22"/>
              </w:rPr>
              <w:t>być wybierany lub w sytuacji jego wyboru powinien mieć wartość 0.</w:t>
            </w:r>
          </w:p>
        </w:tc>
      </w:tr>
      <w:tr w:rsidR="000F6A89" w:rsidRPr="000F6A89" w14:paraId="4D747748" w14:textId="77777777" w:rsidTr="001F7D01">
        <w:trPr>
          <w:trHeight w:val="1362"/>
          <w:jc w:val="center"/>
        </w:trPr>
        <w:tc>
          <w:tcPr>
            <w:tcW w:w="824" w:type="dxa"/>
            <w:tcBorders>
              <w:top w:val="single" w:sz="4" w:space="0" w:color="auto"/>
              <w:bottom w:val="single" w:sz="4" w:space="0" w:color="auto"/>
            </w:tcBorders>
            <w:vAlign w:val="center"/>
          </w:tcPr>
          <w:p w14:paraId="7FA92B87" w14:textId="688BFF3B" w:rsidR="006A2313" w:rsidRPr="000F6A89" w:rsidRDefault="008A2B3D" w:rsidP="00FC07AA">
            <w:pPr>
              <w:pStyle w:val="Akapitzlist"/>
              <w:numPr>
                <w:ilvl w:val="0"/>
                <w:numId w:val="21"/>
              </w:numPr>
              <w:rPr>
                <w:rFonts w:ascii="Arial" w:hAnsi="Arial" w:cs="Arial"/>
              </w:rPr>
            </w:pPr>
            <w:r w:rsidRPr="000F6A89">
              <w:rPr>
                <w:rFonts w:ascii="Arial" w:hAnsi="Arial" w:cs="Arial"/>
              </w:rPr>
              <w:lastRenderedPageBreak/>
              <w:t>5</w:t>
            </w:r>
            <w:r w:rsidR="006A2313" w:rsidRPr="000F6A89">
              <w:rPr>
                <w:rFonts w:ascii="Arial" w:hAnsi="Arial" w:cs="Arial"/>
              </w:rPr>
              <w:t>.</w:t>
            </w:r>
          </w:p>
        </w:tc>
        <w:tc>
          <w:tcPr>
            <w:tcW w:w="3282" w:type="dxa"/>
            <w:tcBorders>
              <w:top w:val="single" w:sz="4" w:space="0" w:color="auto"/>
              <w:bottom w:val="single" w:sz="4" w:space="0" w:color="auto"/>
            </w:tcBorders>
            <w:vAlign w:val="center"/>
          </w:tcPr>
          <w:p w14:paraId="1C11C253" w14:textId="68545F76" w:rsidR="006A2313" w:rsidRPr="000F6A89" w:rsidRDefault="006A2313" w:rsidP="006A2313">
            <w:pPr>
              <w:tabs>
                <w:tab w:val="center" w:pos="4536"/>
                <w:tab w:val="right" w:pos="9072"/>
              </w:tabs>
              <w:autoSpaceDE w:val="0"/>
              <w:autoSpaceDN w:val="0"/>
              <w:adjustRightInd w:val="0"/>
              <w:rPr>
                <w:rFonts w:ascii="Arial" w:hAnsi="Arial" w:cs="Arial"/>
                <w:strike/>
              </w:rPr>
            </w:pPr>
            <w:r w:rsidRPr="000F6A89">
              <w:rPr>
                <w:rFonts w:ascii="Arial" w:eastAsia="Times New Roman" w:hAnsi="Arial" w:cs="Arial"/>
                <w:lang w:eastAsia="pl-PL"/>
              </w:rPr>
              <w:t>Wspierane strategie zintegrowanego rozwoju terytorialnego</w:t>
            </w:r>
          </w:p>
        </w:tc>
        <w:tc>
          <w:tcPr>
            <w:tcW w:w="1418" w:type="dxa"/>
            <w:tcBorders>
              <w:top w:val="single" w:sz="4" w:space="0" w:color="auto"/>
              <w:bottom w:val="single" w:sz="4" w:space="0" w:color="auto"/>
            </w:tcBorders>
            <w:vAlign w:val="center"/>
          </w:tcPr>
          <w:p w14:paraId="7058BDEB" w14:textId="6B815E64" w:rsidR="006A2313" w:rsidRPr="000F6A89" w:rsidRDefault="006A2313" w:rsidP="006A2313">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7890FBED" w14:textId="237810EE" w:rsidR="006A2313" w:rsidRPr="000F6A89" w:rsidRDefault="006A2313" w:rsidP="006A2313">
            <w:pPr>
              <w:ind w:left="39"/>
              <w:rPr>
                <w:rFonts w:ascii="Arial" w:eastAsia="Times New Roman" w:hAnsi="Arial" w:cs="Arial"/>
                <w:lang w:eastAsia="pl-PL"/>
              </w:rPr>
            </w:pPr>
            <w:r w:rsidRPr="000F6A89">
              <w:rPr>
                <w:rFonts w:ascii="Arial" w:eastAsia="Times New Roman" w:hAnsi="Arial" w:cs="Arial"/>
                <w:lang w:eastAsia="pl-PL"/>
              </w:rPr>
              <w:t>Liczba wkładów w strategie zintegrowanego rozwoju terytorialnego zgłoszonych według każdego celu szczegółowego wnoszonych z funduszy zgodnie z art. 28 lit. a) i c) CPR. Wartości wskaźnika uwzględniają zatem, na poziomie celu szczegółowego, oddzielną liczbę wkładów finansowych w strategie terytorialne. Wskaźnik ten nie obejmuje strategii RLKS, które są liczone w ramach RCO80.</w:t>
            </w:r>
          </w:p>
          <w:p w14:paraId="241329B9" w14:textId="2D51F936" w:rsidR="00586215" w:rsidRPr="006A5753" w:rsidRDefault="00586215" w:rsidP="006A2313">
            <w:pPr>
              <w:ind w:left="39"/>
              <w:rPr>
                <w:rFonts w:ascii="Arial" w:eastAsia="Times New Roman" w:hAnsi="Arial" w:cs="Arial"/>
                <w:lang w:eastAsia="pl-PL"/>
              </w:rPr>
            </w:pPr>
            <w:r w:rsidRPr="006A5753">
              <w:rPr>
                <w:rFonts w:ascii="Arial" w:eastAsia="Times New Roman" w:hAnsi="Arial" w:cs="Arial"/>
                <w:lang w:eastAsia="pl-PL"/>
              </w:rPr>
              <w:t xml:space="preserve">Wyjaśnienie: </w:t>
            </w:r>
          </w:p>
          <w:p w14:paraId="54F24E7D" w14:textId="77777777" w:rsidR="006A5753" w:rsidRPr="006A5753" w:rsidRDefault="006A5753" w:rsidP="006A5753">
            <w:pPr>
              <w:ind w:left="39"/>
              <w:rPr>
                <w:rFonts w:ascii="Arial" w:eastAsia="PMingLiU" w:hAnsi="Arial" w:cs="Arial"/>
                <w:lang w:eastAsia="zh-TW"/>
              </w:rPr>
            </w:pPr>
            <w:r w:rsidRPr="006A5753">
              <w:rPr>
                <w:rFonts w:ascii="Arial" w:eastAsia="PMingLiU" w:hAnsi="Arial" w:cs="Arial"/>
                <w:lang w:eastAsia="zh-TW"/>
              </w:rPr>
              <w:lastRenderedPageBreak/>
              <w:t>Liczba wkładów w strategie terytorialne/rozwoju lokalnego, oznacza liczbę projektów, które wspierają strategie terytorialne/lokalne, realizowane w danym regionie (dotyczą, wynikają ze strategii).</w:t>
            </w:r>
          </w:p>
          <w:p w14:paraId="5ACEE001" w14:textId="6EB9E328" w:rsidR="00586215" w:rsidRPr="000F6A89" w:rsidRDefault="006A5753" w:rsidP="006A5753">
            <w:pPr>
              <w:ind w:left="39"/>
              <w:rPr>
                <w:rFonts w:ascii="Arial" w:eastAsia="PMingLiU" w:hAnsi="Arial" w:cs="Arial"/>
                <w:lang w:eastAsia="zh-TW"/>
              </w:rPr>
            </w:pPr>
            <w:r w:rsidRPr="006A5753">
              <w:rPr>
                <w:rFonts w:ascii="Arial" w:eastAsia="PMingLiU" w:hAnsi="Arial" w:cs="Arial"/>
                <w:lang w:eastAsia="zh-TW"/>
              </w:rPr>
              <w:t>Wskaźnik jest obligatoryjny - należy go wybrać i przypisać mu wartość "1".</w:t>
            </w:r>
          </w:p>
        </w:tc>
      </w:tr>
      <w:tr w:rsidR="000F6A89" w:rsidRPr="000F6A89" w14:paraId="668BEF0F" w14:textId="77777777" w:rsidTr="001954AD">
        <w:trPr>
          <w:jc w:val="center"/>
        </w:trPr>
        <w:tc>
          <w:tcPr>
            <w:tcW w:w="824" w:type="dxa"/>
            <w:tcBorders>
              <w:top w:val="single" w:sz="4" w:space="0" w:color="auto"/>
              <w:bottom w:val="single" w:sz="4" w:space="0" w:color="auto"/>
            </w:tcBorders>
            <w:vAlign w:val="center"/>
          </w:tcPr>
          <w:p w14:paraId="0810D4BC" w14:textId="5FDF4B66" w:rsidR="006A2313" w:rsidRPr="000F6A89" w:rsidRDefault="008A2B3D" w:rsidP="00FC07AA">
            <w:pPr>
              <w:pStyle w:val="Akapitzlist"/>
              <w:numPr>
                <w:ilvl w:val="0"/>
                <w:numId w:val="21"/>
              </w:numPr>
              <w:rPr>
                <w:rFonts w:ascii="Arial" w:hAnsi="Arial" w:cs="Arial"/>
              </w:rPr>
            </w:pPr>
            <w:r w:rsidRPr="000F6A89">
              <w:rPr>
                <w:rFonts w:ascii="Arial" w:hAnsi="Arial" w:cs="Arial"/>
              </w:rPr>
              <w:lastRenderedPageBreak/>
              <w:t>6</w:t>
            </w:r>
          </w:p>
        </w:tc>
        <w:tc>
          <w:tcPr>
            <w:tcW w:w="3282" w:type="dxa"/>
            <w:tcBorders>
              <w:top w:val="single" w:sz="4" w:space="0" w:color="auto"/>
              <w:bottom w:val="single" w:sz="4" w:space="0" w:color="auto"/>
            </w:tcBorders>
            <w:vAlign w:val="center"/>
          </w:tcPr>
          <w:p w14:paraId="77483B11" w14:textId="444980DB" w:rsidR="006A2313" w:rsidRPr="000F6A89" w:rsidRDefault="006A2313" w:rsidP="006A2313">
            <w:pPr>
              <w:tabs>
                <w:tab w:val="center" w:pos="4536"/>
                <w:tab w:val="right" w:pos="9072"/>
              </w:tabs>
              <w:autoSpaceDE w:val="0"/>
              <w:autoSpaceDN w:val="0"/>
              <w:adjustRightInd w:val="0"/>
              <w:rPr>
                <w:rFonts w:ascii="Arial" w:hAnsi="Arial" w:cs="Arial"/>
              </w:rPr>
            </w:pPr>
            <w:r w:rsidRPr="000F6A89">
              <w:rPr>
                <w:rFonts w:ascii="Arial" w:eastAsia="Times New Roman" w:hAnsi="Arial" w:cs="Arial"/>
                <w:lang w:eastAsia="pl-PL"/>
              </w:rPr>
              <w:t>Zintegrowane projekty rozwoju terytorialnego</w:t>
            </w:r>
          </w:p>
        </w:tc>
        <w:tc>
          <w:tcPr>
            <w:tcW w:w="1418" w:type="dxa"/>
            <w:tcBorders>
              <w:top w:val="single" w:sz="4" w:space="0" w:color="auto"/>
              <w:bottom w:val="single" w:sz="4" w:space="0" w:color="auto"/>
            </w:tcBorders>
            <w:vAlign w:val="center"/>
          </w:tcPr>
          <w:p w14:paraId="290EE2CE" w14:textId="6BB2B00E" w:rsidR="006A2313" w:rsidRPr="000F6A89" w:rsidRDefault="006A2313" w:rsidP="006A2313">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494E93E1" w14:textId="5A884D3B" w:rsidR="006A2313" w:rsidRPr="000F6A89" w:rsidRDefault="006A2313" w:rsidP="006A2313">
            <w:pPr>
              <w:tabs>
                <w:tab w:val="center" w:pos="4536"/>
                <w:tab w:val="right" w:pos="9072"/>
              </w:tabs>
              <w:autoSpaceDE w:val="0"/>
              <w:autoSpaceDN w:val="0"/>
              <w:adjustRightInd w:val="0"/>
              <w:rPr>
                <w:rFonts w:ascii="Arial" w:hAnsi="Arial" w:cs="Arial"/>
              </w:rPr>
            </w:pPr>
            <w:r w:rsidRPr="000F6A89">
              <w:rPr>
                <w:rFonts w:ascii="Arial" w:eastAsia="Times New Roman" w:hAnsi="Arial" w:cs="Arial"/>
                <w:lang w:eastAsia="pl-PL"/>
              </w:rPr>
              <w:t>Liczba zintegrowanych projektów objętych wsparciem w ramach zintegrowanego rozwoju terytorialnego, które są zintegrowane same w sobie zgodnie z art. 28 CPR. Projekt uznaje się za zintegrowany sam w sobie, jeśli spełnia co najmniej jeden z następujących warunków: a) projekt obejmuje różne sektory (takie jak sektor społeczny, gospodarczy i środowiskowy), projekt integruje kilka rodzajów interesariuszy (władze publiczne, podmioty prywatne, organizacje pozarządowe), b) projekt obejmuje różne terytoria administracyjne (np. gminy) oraz c) projekt obejmuje kilka rodzajów interesariuszy (władze publiczne, podmioty prywatne, organizacje pozarządowe).</w:t>
            </w:r>
            <w:r w:rsidR="006A5753">
              <w:rPr>
                <w:rFonts w:ascii="Arial" w:eastAsia="Times New Roman" w:hAnsi="Arial" w:cs="Arial"/>
                <w:lang w:eastAsia="pl-PL"/>
              </w:rPr>
              <w:t xml:space="preserve"> </w:t>
            </w:r>
            <w:r w:rsidR="006A5753" w:rsidRPr="006A5753">
              <w:rPr>
                <w:rFonts w:ascii="Arial" w:eastAsia="Times New Roman" w:hAnsi="Arial" w:cs="Arial"/>
                <w:lang w:eastAsia="pl-PL"/>
              </w:rPr>
              <w:t>Wskaźnik jest obligatoryjny - należy go wybrać i przypisać mu wartość "1"</w:t>
            </w:r>
            <w:r w:rsidRPr="000F6A89">
              <w:rPr>
                <w:rFonts w:ascii="Arial" w:eastAsia="Times New Roman" w:hAnsi="Arial" w:cs="Arial"/>
                <w:lang w:eastAsia="pl-PL"/>
              </w:rPr>
              <w:t>.</w:t>
            </w:r>
          </w:p>
        </w:tc>
      </w:tr>
      <w:tr w:rsidR="000F6A89" w:rsidRPr="000F6A89" w14:paraId="7FE4CEAF" w14:textId="77777777" w:rsidTr="001954AD">
        <w:trPr>
          <w:jc w:val="center"/>
        </w:trPr>
        <w:tc>
          <w:tcPr>
            <w:tcW w:w="824" w:type="dxa"/>
            <w:tcBorders>
              <w:top w:val="single" w:sz="4" w:space="0" w:color="auto"/>
              <w:bottom w:val="single" w:sz="4" w:space="0" w:color="auto"/>
            </w:tcBorders>
            <w:vAlign w:val="center"/>
          </w:tcPr>
          <w:p w14:paraId="6CB564E5" w14:textId="564DD478" w:rsidR="00CA5701" w:rsidRPr="000F6A89" w:rsidRDefault="00CA5701" w:rsidP="00FC07AA">
            <w:pPr>
              <w:pStyle w:val="Akapitzlist"/>
              <w:numPr>
                <w:ilvl w:val="0"/>
                <w:numId w:val="21"/>
              </w:numPr>
              <w:rPr>
                <w:rFonts w:ascii="Arial" w:hAnsi="Arial" w:cs="Arial"/>
              </w:rPr>
            </w:pPr>
            <w:r w:rsidRPr="000F6A89">
              <w:rPr>
                <w:rFonts w:ascii="Arial" w:hAnsi="Arial" w:cs="Arial"/>
              </w:rPr>
              <w:t>7</w:t>
            </w:r>
          </w:p>
        </w:tc>
        <w:tc>
          <w:tcPr>
            <w:tcW w:w="3282" w:type="dxa"/>
            <w:tcBorders>
              <w:top w:val="single" w:sz="4" w:space="0" w:color="auto"/>
              <w:bottom w:val="single" w:sz="4" w:space="0" w:color="auto"/>
            </w:tcBorders>
            <w:vAlign w:val="center"/>
          </w:tcPr>
          <w:p w14:paraId="05EC9E21" w14:textId="4C27094D" w:rsidR="00CA5701" w:rsidRPr="000F6A89" w:rsidRDefault="007E5211"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Długość odnowionych szlaków turystycznych</w:t>
            </w:r>
          </w:p>
        </w:tc>
        <w:tc>
          <w:tcPr>
            <w:tcW w:w="1418" w:type="dxa"/>
            <w:tcBorders>
              <w:top w:val="single" w:sz="4" w:space="0" w:color="auto"/>
              <w:bottom w:val="single" w:sz="4" w:space="0" w:color="auto"/>
            </w:tcBorders>
            <w:vAlign w:val="center"/>
          </w:tcPr>
          <w:p w14:paraId="617B120E" w14:textId="7EA9B794" w:rsidR="00CA5701" w:rsidRPr="000F6A89" w:rsidRDefault="007725B9" w:rsidP="00CA5701">
            <w:pPr>
              <w:tabs>
                <w:tab w:val="center" w:pos="4536"/>
                <w:tab w:val="right" w:pos="9072"/>
              </w:tabs>
              <w:autoSpaceDE w:val="0"/>
              <w:autoSpaceDN w:val="0"/>
              <w:adjustRightInd w:val="0"/>
              <w:rPr>
                <w:rFonts w:ascii="Arial" w:hAnsi="Arial" w:cs="Arial"/>
              </w:rPr>
            </w:pPr>
            <w:r w:rsidRPr="000F6A89">
              <w:rPr>
                <w:rFonts w:ascii="Arial" w:hAnsi="Arial" w:cs="Arial"/>
              </w:rPr>
              <w:t>km</w:t>
            </w:r>
          </w:p>
        </w:tc>
        <w:tc>
          <w:tcPr>
            <w:tcW w:w="7087" w:type="dxa"/>
            <w:tcBorders>
              <w:top w:val="single" w:sz="4" w:space="0" w:color="auto"/>
              <w:bottom w:val="single" w:sz="4" w:space="0" w:color="auto"/>
            </w:tcBorders>
            <w:vAlign w:val="center"/>
          </w:tcPr>
          <w:p w14:paraId="49709A85" w14:textId="78454374" w:rsidR="00CA5701" w:rsidRPr="000F6A89" w:rsidRDefault="00327395"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 xml:space="preserve">Wskaźnik mierzy długość odnowionych szlaków turystycznych. Szlak turystyczny to wytyczona w terenie trasa służąca do odbywania wycieczek, oznakowana jednolitymi znakami (symbolami) i wyposażona w urządzenia informacyjne, które zapewniają bezpieczne i spokojne jej przebycie turyście o dowolnym poziomie umiejętności i doświadczenia, o każdej porze roku i w każdych warunkach pogodowych, o ile szczegółowe wymagania nie stanowią inaczej (okresowe zamykanie w przypadku niekorzystnych warunków pogodowych lub ze względów przyrodniczych na terenach chronionych). Rozróżnia się następujące rodzaje szlaków </w:t>
            </w:r>
            <w:r w:rsidRPr="000F6A89">
              <w:rPr>
                <w:rFonts w:ascii="Arial" w:eastAsia="Times New Roman" w:hAnsi="Arial" w:cs="Arial"/>
                <w:lang w:eastAsia="pl-PL"/>
              </w:rPr>
              <w:lastRenderedPageBreak/>
              <w:t>turystycznych:</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piesze górskie i nizinne oraz ścieżki spacerowe, przyrodnicze i dydaktyczne,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narciarskie,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rowerowe,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kajakowe,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jeździeckie.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Definicja na podstawie: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 xml:space="preserve">„Instrukcja znakowania szlaków turystycznych PTTK”.  </w:t>
            </w:r>
          </w:p>
        </w:tc>
      </w:tr>
      <w:tr w:rsidR="000F6A89" w:rsidRPr="000F6A89" w14:paraId="6871ADB7" w14:textId="77777777" w:rsidTr="001954AD">
        <w:trPr>
          <w:jc w:val="center"/>
        </w:trPr>
        <w:tc>
          <w:tcPr>
            <w:tcW w:w="824" w:type="dxa"/>
            <w:tcBorders>
              <w:top w:val="single" w:sz="4" w:space="0" w:color="auto"/>
              <w:bottom w:val="single" w:sz="4" w:space="0" w:color="auto"/>
            </w:tcBorders>
            <w:vAlign w:val="center"/>
          </w:tcPr>
          <w:p w14:paraId="1E033A86" w14:textId="77777777" w:rsidR="007E5211" w:rsidRPr="000F6A89" w:rsidRDefault="007E5211" w:rsidP="00FC07AA">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7CE8F19B" w14:textId="093436AE" w:rsidR="007E5211" w:rsidRPr="000F6A89" w:rsidRDefault="007E5211"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Długość utworzonych szlaków turystycznych</w:t>
            </w:r>
          </w:p>
        </w:tc>
        <w:tc>
          <w:tcPr>
            <w:tcW w:w="1418" w:type="dxa"/>
            <w:tcBorders>
              <w:top w:val="single" w:sz="4" w:space="0" w:color="auto"/>
              <w:bottom w:val="single" w:sz="4" w:space="0" w:color="auto"/>
            </w:tcBorders>
            <w:vAlign w:val="center"/>
          </w:tcPr>
          <w:p w14:paraId="0F89B9BA" w14:textId="30F92F21" w:rsidR="007E5211" w:rsidRPr="000F6A89" w:rsidRDefault="007725B9" w:rsidP="00CA5701">
            <w:pPr>
              <w:tabs>
                <w:tab w:val="center" w:pos="4536"/>
                <w:tab w:val="right" w:pos="9072"/>
              </w:tabs>
              <w:autoSpaceDE w:val="0"/>
              <w:autoSpaceDN w:val="0"/>
              <w:adjustRightInd w:val="0"/>
              <w:rPr>
                <w:rFonts w:ascii="Arial" w:hAnsi="Arial" w:cs="Arial"/>
              </w:rPr>
            </w:pPr>
            <w:r w:rsidRPr="000F6A89">
              <w:rPr>
                <w:rFonts w:ascii="Arial" w:hAnsi="Arial" w:cs="Arial"/>
              </w:rPr>
              <w:t>km</w:t>
            </w:r>
          </w:p>
        </w:tc>
        <w:tc>
          <w:tcPr>
            <w:tcW w:w="7087" w:type="dxa"/>
            <w:tcBorders>
              <w:top w:val="single" w:sz="4" w:space="0" w:color="auto"/>
              <w:bottom w:val="single" w:sz="4" w:space="0" w:color="auto"/>
            </w:tcBorders>
            <w:vAlign w:val="center"/>
          </w:tcPr>
          <w:p w14:paraId="31A6D622" w14:textId="5E7D5DB7" w:rsidR="007E5211" w:rsidRPr="000F6A89" w:rsidRDefault="00327395"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Wskaźnik mierzy długość utworzonych szlaków turystycznych. Szlak turystyczny to wytyczona w terenie trasa służąca do odbywania wycieczek, oznakowana jednolitymi znakami (symbolami) i wyposażona w urządzenia informacyjne, które zapewniają bezpieczne i spokojne jej przebycie turyście o dowolnym poziomie umiejętności i doświadczenia, o każdej porze roku i w każdych warunkach pogodowych, o ile szczegółowe wymagania nie stanowią inaczej (okresowe zamykanie w przypadku niekorzystnych warunków pogodowych lub ze względów przyrodniczych na terenach chronionych). Rozróżnia się następujące rodzaje szlaków turystycznyc</w:t>
            </w:r>
            <w:r w:rsidR="000C2F25">
              <w:rPr>
                <w:rFonts w:ascii="Arial" w:eastAsia="Times New Roman" w:hAnsi="Arial" w:cs="Arial"/>
                <w:lang w:eastAsia="pl-PL"/>
              </w:rPr>
              <w:t>h</w:t>
            </w:r>
            <w:r w:rsidRPr="000F6A89">
              <w:rPr>
                <w:rFonts w:ascii="Arial" w:eastAsia="Times New Roman" w:hAnsi="Arial" w:cs="Arial"/>
                <w:lang w:eastAsia="pl-PL"/>
              </w:rPr>
              <w:t xml:space="preserve"> - piesze górskie i nizinne oraz ścieżki spacerowe, przyrodnicze i dydaktyczne,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narciarskie,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rowerowe,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kajakowe,</w:t>
            </w:r>
            <w:r w:rsidR="000C3ED9" w:rsidRPr="000F6A89">
              <w:rPr>
                <w:rFonts w:ascii="Arial" w:eastAsia="Times New Roman" w:hAnsi="Arial" w:cs="Arial"/>
                <w:lang w:eastAsia="pl-PL"/>
              </w:rPr>
              <w:t xml:space="preserve"> </w:t>
            </w:r>
            <w:r w:rsidRPr="000F6A89">
              <w:rPr>
                <w:rFonts w:ascii="Arial" w:eastAsia="Times New Roman" w:hAnsi="Arial" w:cs="Arial"/>
                <w:lang w:eastAsia="pl-PL"/>
              </w:rPr>
              <w:t xml:space="preserve">jeździeckie. Definicja na podstawie: „Instrukcja znakowania szlaków turystycznych PTTK”. </w:t>
            </w:r>
          </w:p>
        </w:tc>
      </w:tr>
      <w:tr w:rsidR="000F6A89" w:rsidRPr="000F6A89" w14:paraId="69224E53" w14:textId="77777777" w:rsidTr="001954AD">
        <w:trPr>
          <w:jc w:val="center"/>
        </w:trPr>
        <w:tc>
          <w:tcPr>
            <w:tcW w:w="824" w:type="dxa"/>
            <w:tcBorders>
              <w:top w:val="single" w:sz="4" w:space="0" w:color="auto"/>
              <w:bottom w:val="single" w:sz="4" w:space="0" w:color="auto"/>
            </w:tcBorders>
            <w:vAlign w:val="center"/>
          </w:tcPr>
          <w:p w14:paraId="6C223DBD" w14:textId="77777777" w:rsidR="007E5211" w:rsidRPr="000F6A89" w:rsidRDefault="007E5211" w:rsidP="00FC07AA">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78A769F4" w14:textId="06E6A857" w:rsidR="007E5211" w:rsidRPr="00556218" w:rsidRDefault="007E5211" w:rsidP="00CA5701">
            <w:pPr>
              <w:tabs>
                <w:tab w:val="center" w:pos="4536"/>
                <w:tab w:val="right" w:pos="9072"/>
              </w:tabs>
              <w:autoSpaceDE w:val="0"/>
              <w:autoSpaceDN w:val="0"/>
              <w:adjustRightInd w:val="0"/>
              <w:rPr>
                <w:rFonts w:ascii="Arial" w:eastAsia="Times New Roman" w:hAnsi="Arial" w:cs="Arial"/>
                <w:highlight w:val="yellow"/>
                <w:lang w:eastAsia="pl-PL"/>
              </w:rPr>
            </w:pPr>
            <w:r w:rsidRPr="00B14076">
              <w:rPr>
                <w:rFonts w:ascii="Arial" w:eastAsia="Times New Roman" w:hAnsi="Arial" w:cs="Arial"/>
                <w:lang w:eastAsia="pl-PL"/>
              </w:rPr>
              <w:t>Wspierana infrastruktura rowerowa</w:t>
            </w:r>
          </w:p>
        </w:tc>
        <w:tc>
          <w:tcPr>
            <w:tcW w:w="1418" w:type="dxa"/>
            <w:tcBorders>
              <w:top w:val="single" w:sz="4" w:space="0" w:color="auto"/>
              <w:bottom w:val="single" w:sz="4" w:space="0" w:color="auto"/>
            </w:tcBorders>
            <w:vAlign w:val="center"/>
          </w:tcPr>
          <w:p w14:paraId="49989DDE" w14:textId="047BA04E" w:rsidR="007E5211" w:rsidRPr="000F6A89" w:rsidRDefault="00327395" w:rsidP="00CA5701">
            <w:pPr>
              <w:tabs>
                <w:tab w:val="center" w:pos="4536"/>
                <w:tab w:val="right" w:pos="9072"/>
              </w:tabs>
              <w:autoSpaceDE w:val="0"/>
              <w:autoSpaceDN w:val="0"/>
              <w:adjustRightInd w:val="0"/>
              <w:rPr>
                <w:rFonts w:ascii="Arial" w:hAnsi="Arial" w:cs="Arial"/>
              </w:rPr>
            </w:pPr>
            <w:r w:rsidRPr="000F6A89">
              <w:rPr>
                <w:rFonts w:ascii="Arial" w:hAnsi="Arial" w:cs="Arial"/>
              </w:rPr>
              <w:t>km</w:t>
            </w:r>
          </w:p>
        </w:tc>
        <w:tc>
          <w:tcPr>
            <w:tcW w:w="7087" w:type="dxa"/>
            <w:tcBorders>
              <w:top w:val="single" w:sz="4" w:space="0" w:color="auto"/>
              <w:bottom w:val="single" w:sz="4" w:space="0" w:color="auto"/>
            </w:tcBorders>
            <w:vAlign w:val="center"/>
          </w:tcPr>
          <w:p w14:paraId="7EED1A99" w14:textId="3DCC3796" w:rsidR="007E5211" w:rsidRPr="000F6A89" w:rsidRDefault="00327395"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Długość nowo wybudowanej lub znacznie zmodernizowanej dedykowanej infrastruktury rowerowej w ramach projektów objętych wsparciem. Infrastruktura rowerowa obejmuje obiekty rowerowe oddzielone od dróg dla ruchu drogowego lub innych części tej samej drogi środkami konstrukcyjnymi (krawężnikami, barierkami), ulice rowerowe, tunele rowerowe itp. W przypadku infrastruktury rowerowej z wydzielonymi jednokierunkowymi pasami (np. z każdej strony drogi) mierzona jest długość pasa ruchu.</w:t>
            </w:r>
            <w:r w:rsidR="006A5753">
              <w:t xml:space="preserve"> </w:t>
            </w:r>
            <w:r w:rsidR="006A5753" w:rsidRPr="006A5753">
              <w:rPr>
                <w:rFonts w:ascii="Arial" w:eastAsia="Times New Roman" w:hAnsi="Arial" w:cs="Arial"/>
                <w:lang w:eastAsia="pl-PL"/>
              </w:rPr>
              <w:t>Przez "znaczną modernizację" należy rozumieć przebudowę zgodnie z ustawą Prawo budowlane.</w:t>
            </w:r>
          </w:p>
        </w:tc>
      </w:tr>
      <w:tr w:rsidR="000F6A89" w:rsidRPr="000F6A89" w14:paraId="076F8E28" w14:textId="77777777" w:rsidTr="001954AD">
        <w:trPr>
          <w:jc w:val="center"/>
        </w:trPr>
        <w:tc>
          <w:tcPr>
            <w:tcW w:w="824" w:type="dxa"/>
            <w:tcBorders>
              <w:top w:val="single" w:sz="4" w:space="0" w:color="auto"/>
              <w:bottom w:val="single" w:sz="4" w:space="0" w:color="auto"/>
            </w:tcBorders>
            <w:vAlign w:val="center"/>
          </w:tcPr>
          <w:p w14:paraId="47BE491E" w14:textId="77777777" w:rsidR="00327395" w:rsidRPr="000F6A89" w:rsidRDefault="00327395" w:rsidP="00327395">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6A07D9FD" w14:textId="7F27C7F8"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Długość wspartych turystycznych szlaków rowerowych o nawierzchni utwardzonej ulepszonej</w:t>
            </w:r>
          </w:p>
        </w:tc>
        <w:tc>
          <w:tcPr>
            <w:tcW w:w="1418" w:type="dxa"/>
            <w:tcBorders>
              <w:top w:val="single" w:sz="4" w:space="0" w:color="auto"/>
              <w:bottom w:val="single" w:sz="4" w:space="0" w:color="auto"/>
            </w:tcBorders>
            <w:vAlign w:val="center"/>
          </w:tcPr>
          <w:p w14:paraId="4A42B3CC" w14:textId="046F1FDA" w:rsidR="00327395" w:rsidRPr="000F6A89" w:rsidRDefault="00327395" w:rsidP="00327395">
            <w:pPr>
              <w:tabs>
                <w:tab w:val="center" w:pos="4536"/>
                <w:tab w:val="right" w:pos="9072"/>
              </w:tabs>
              <w:autoSpaceDE w:val="0"/>
              <w:autoSpaceDN w:val="0"/>
              <w:adjustRightInd w:val="0"/>
              <w:rPr>
                <w:rFonts w:ascii="Arial" w:hAnsi="Arial" w:cs="Arial"/>
              </w:rPr>
            </w:pPr>
            <w:r w:rsidRPr="000F6A89">
              <w:rPr>
                <w:rFonts w:ascii="Arial" w:hAnsi="Arial" w:cs="Arial"/>
              </w:rPr>
              <w:t>km</w:t>
            </w:r>
          </w:p>
        </w:tc>
        <w:tc>
          <w:tcPr>
            <w:tcW w:w="7087" w:type="dxa"/>
            <w:tcBorders>
              <w:top w:val="single" w:sz="4" w:space="0" w:color="auto"/>
              <w:bottom w:val="single" w:sz="4" w:space="0" w:color="auto"/>
            </w:tcBorders>
            <w:vAlign w:val="center"/>
          </w:tcPr>
          <w:p w14:paraId="7BF880BB" w14:textId="390A5D44"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 xml:space="preserve">Wskaźnik dotyczy pomiaru łącznej długości wybudowanych / przebudowanych szlaków rowerowych o nawierzchni utwardzonej ulepszonej (nawierzchnia bitumiczna, kostka brukowa </w:t>
            </w:r>
            <w:proofErr w:type="spellStart"/>
            <w:r w:rsidRPr="000F6A89">
              <w:rPr>
                <w:rFonts w:ascii="Arial" w:eastAsia="Times New Roman" w:hAnsi="Arial" w:cs="Arial"/>
                <w:lang w:eastAsia="pl-PL"/>
              </w:rPr>
              <w:t>bezfazowa</w:t>
            </w:r>
            <w:proofErr w:type="spellEnd"/>
            <w:r w:rsidRPr="000F6A89">
              <w:rPr>
                <w:rFonts w:ascii="Arial" w:eastAsia="Times New Roman" w:hAnsi="Arial" w:cs="Arial"/>
                <w:lang w:eastAsia="pl-PL"/>
              </w:rPr>
              <w:t>, jeśli nawierzchnia bitumiczna nie będzie mogła powstać, a wymagane jest zachowanie ciągłości). Osiągnięta wartość wskaźnika będzie potwierdzona protokołami odbioru robót budowlanych na etapie rozliczania wydatków w ramach projektu.</w:t>
            </w:r>
          </w:p>
        </w:tc>
      </w:tr>
      <w:tr w:rsidR="000F6A89" w:rsidRPr="000F6A89" w14:paraId="04E67D23" w14:textId="77777777" w:rsidTr="001954AD">
        <w:trPr>
          <w:jc w:val="center"/>
        </w:trPr>
        <w:tc>
          <w:tcPr>
            <w:tcW w:w="824" w:type="dxa"/>
            <w:tcBorders>
              <w:top w:val="single" w:sz="4" w:space="0" w:color="auto"/>
              <w:bottom w:val="single" w:sz="4" w:space="0" w:color="auto"/>
            </w:tcBorders>
            <w:vAlign w:val="center"/>
          </w:tcPr>
          <w:p w14:paraId="5DAD50B2" w14:textId="77777777" w:rsidR="00327395" w:rsidRPr="000F6A89" w:rsidRDefault="00327395" w:rsidP="00327395">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5CFDB765" w14:textId="342F7A18"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Długość wspartych turystycznych szlaków rowerowych o nawierzchni utwardzonej nieulepszonej</w:t>
            </w:r>
          </w:p>
        </w:tc>
        <w:tc>
          <w:tcPr>
            <w:tcW w:w="1418" w:type="dxa"/>
            <w:tcBorders>
              <w:top w:val="single" w:sz="4" w:space="0" w:color="auto"/>
              <w:bottom w:val="single" w:sz="4" w:space="0" w:color="auto"/>
            </w:tcBorders>
            <w:vAlign w:val="center"/>
          </w:tcPr>
          <w:p w14:paraId="0C718BC4" w14:textId="7BA34DDF" w:rsidR="00327395" w:rsidRPr="000F6A89" w:rsidRDefault="00327395" w:rsidP="00327395">
            <w:pPr>
              <w:tabs>
                <w:tab w:val="center" w:pos="4536"/>
                <w:tab w:val="right" w:pos="9072"/>
              </w:tabs>
              <w:autoSpaceDE w:val="0"/>
              <w:autoSpaceDN w:val="0"/>
              <w:adjustRightInd w:val="0"/>
              <w:rPr>
                <w:rFonts w:ascii="Arial" w:hAnsi="Arial" w:cs="Arial"/>
              </w:rPr>
            </w:pPr>
            <w:r w:rsidRPr="000F6A89">
              <w:rPr>
                <w:rFonts w:ascii="Arial" w:hAnsi="Arial" w:cs="Arial"/>
              </w:rPr>
              <w:t>km</w:t>
            </w:r>
          </w:p>
        </w:tc>
        <w:tc>
          <w:tcPr>
            <w:tcW w:w="7087" w:type="dxa"/>
            <w:tcBorders>
              <w:top w:val="single" w:sz="4" w:space="0" w:color="auto"/>
              <w:bottom w:val="single" w:sz="4" w:space="0" w:color="auto"/>
            </w:tcBorders>
            <w:vAlign w:val="center"/>
          </w:tcPr>
          <w:p w14:paraId="7B0B8B28" w14:textId="5DA8BB1D"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Wskaźnik dotyczy pomiaru łącznej długości wybudowanych / przebudowanych szlaków rowerowych o nawierzchni utwardzonej nieulepszonej (tłuczniowe). Szlaki te mogą wystąpić w charakterze dróg dojazdowych bezpośrednio do atrakcji, w przypadku których poprowadzenie szlaku o nawierzchni utwardzonej ulepszonej nie będzie możliwe lub zasadne ekonomicznie. Osiągnięta wartość wskaźnika będzie potwierdzona protokołami odbioru robót budowlanych na etapie rozliczania wydatków w ramach projektu.</w:t>
            </w:r>
          </w:p>
        </w:tc>
      </w:tr>
      <w:tr w:rsidR="000F6A89" w:rsidRPr="000F6A89" w14:paraId="204B2C2C" w14:textId="77777777" w:rsidTr="001954AD">
        <w:trPr>
          <w:jc w:val="center"/>
        </w:trPr>
        <w:tc>
          <w:tcPr>
            <w:tcW w:w="824" w:type="dxa"/>
            <w:tcBorders>
              <w:top w:val="single" w:sz="4" w:space="0" w:color="auto"/>
              <w:bottom w:val="single" w:sz="4" w:space="0" w:color="auto"/>
            </w:tcBorders>
            <w:vAlign w:val="center"/>
          </w:tcPr>
          <w:p w14:paraId="195B6815" w14:textId="77777777" w:rsidR="00327395" w:rsidRPr="000F6A89" w:rsidRDefault="00327395" w:rsidP="00327395">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62B4A23A" w14:textId="1C6BAE15"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Długość wspartych  turystycznych szlaków rowerowych o nawierzchni gruntowej</w:t>
            </w:r>
          </w:p>
        </w:tc>
        <w:tc>
          <w:tcPr>
            <w:tcW w:w="1418" w:type="dxa"/>
            <w:tcBorders>
              <w:top w:val="single" w:sz="4" w:space="0" w:color="auto"/>
              <w:bottom w:val="single" w:sz="4" w:space="0" w:color="auto"/>
            </w:tcBorders>
            <w:vAlign w:val="center"/>
          </w:tcPr>
          <w:p w14:paraId="46C0788A" w14:textId="71A2C93B" w:rsidR="00327395" w:rsidRPr="000F6A89" w:rsidRDefault="00327395" w:rsidP="00327395">
            <w:pPr>
              <w:tabs>
                <w:tab w:val="center" w:pos="4536"/>
                <w:tab w:val="right" w:pos="9072"/>
              </w:tabs>
              <w:autoSpaceDE w:val="0"/>
              <w:autoSpaceDN w:val="0"/>
              <w:adjustRightInd w:val="0"/>
              <w:rPr>
                <w:rFonts w:ascii="Arial" w:hAnsi="Arial" w:cs="Arial"/>
              </w:rPr>
            </w:pPr>
            <w:r w:rsidRPr="000F6A89">
              <w:rPr>
                <w:rFonts w:ascii="Arial" w:hAnsi="Arial" w:cs="Arial"/>
              </w:rPr>
              <w:t>km</w:t>
            </w:r>
          </w:p>
        </w:tc>
        <w:tc>
          <w:tcPr>
            <w:tcW w:w="7087" w:type="dxa"/>
            <w:tcBorders>
              <w:top w:val="single" w:sz="4" w:space="0" w:color="auto"/>
              <w:bottom w:val="single" w:sz="4" w:space="0" w:color="auto"/>
            </w:tcBorders>
            <w:vAlign w:val="center"/>
          </w:tcPr>
          <w:p w14:paraId="60DD2E6E" w14:textId="2D1F3754"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Wskaźnik dotyczy pomiaru łącznej długości wybudowanych / przebudowanych szlaków rowerowych o nawierzchni gruntowej. Szlaki te mogą wystąpić w charakterze dróg dojazdowych bezpośrednio do atrakcji, w przypadku których poprowadzenie szlaku o nawierzchni utwardzonej ulepszonej lub utwardzonej nieulepszonej nie będzie możliwe lub zasadne ekonomicznie.</w:t>
            </w:r>
            <w:r w:rsidRPr="000F6A89">
              <w:rPr>
                <w:rFonts w:ascii="Arial" w:eastAsia="Times New Roman" w:hAnsi="Arial" w:cs="Arial"/>
                <w:lang w:eastAsia="pl-PL"/>
              </w:rPr>
              <w:br/>
              <w:t>Osiągnięta wartość wskaźnika będzie potwierdzona protokołami odbioru robót budowlanych na etapie rozliczania wydatków w ramach projektu.</w:t>
            </w:r>
          </w:p>
        </w:tc>
      </w:tr>
      <w:tr w:rsidR="000F6A89" w:rsidRPr="000F6A89" w14:paraId="0CB09F36" w14:textId="77777777" w:rsidTr="001954AD">
        <w:trPr>
          <w:jc w:val="center"/>
        </w:trPr>
        <w:tc>
          <w:tcPr>
            <w:tcW w:w="824" w:type="dxa"/>
            <w:tcBorders>
              <w:top w:val="single" w:sz="4" w:space="0" w:color="auto"/>
              <w:bottom w:val="single" w:sz="4" w:space="0" w:color="auto"/>
            </w:tcBorders>
            <w:vAlign w:val="center"/>
          </w:tcPr>
          <w:p w14:paraId="7EEA5146" w14:textId="77777777" w:rsidR="007E5211" w:rsidRPr="000F6A89" w:rsidRDefault="007E5211" w:rsidP="00FC07AA">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7E3CDA98" w14:textId="16C3026A" w:rsidR="007E5211" w:rsidRPr="000F6A89" w:rsidRDefault="009602C4"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Liczba powstałych Miejsc Obsługi Rowerzystów (MOR)</w:t>
            </w:r>
          </w:p>
        </w:tc>
        <w:tc>
          <w:tcPr>
            <w:tcW w:w="1418" w:type="dxa"/>
            <w:tcBorders>
              <w:top w:val="single" w:sz="4" w:space="0" w:color="auto"/>
              <w:bottom w:val="single" w:sz="4" w:space="0" w:color="auto"/>
            </w:tcBorders>
            <w:vAlign w:val="center"/>
          </w:tcPr>
          <w:p w14:paraId="7F9AF645" w14:textId="52C72E07" w:rsidR="007E5211" w:rsidRPr="000F6A89" w:rsidRDefault="00327395" w:rsidP="00CA5701">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76E6BB69" w14:textId="491134CF" w:rsidR="007E5211" w:rsidRPr="000F6A89" w:rsidRDefault="00327395"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 xml:space="preserve">Wskaźnik dotyczy ogólnej liczby przygotowanych w ramach projektu Miejsc Obsługi Rowerzystów, dla których we wniosku o dofinansowanie opisano szczegółowo specyfikację w zależności od </w:t>
            </w:r>
            <w:r w:rsidRPr="000F6A89">
              <w:rPr>
                <w:rFonts w:ascii="Arial" w:eastAsia="Times New Roman" w:hAnsi="Arial" w:cs="Arial"/>
                <w:lang w:eastAsia="pl-PL"/>
              </w:rPr>
              <w:lastRenderedPageBreak/>
              <w:t>spodziewanego natężenia ruchu. Osiągnięta wartość wskaźnika będzie potwierdzona protokołami odbioru robót budowlanych na etapie rozliczania wydatków w ramach projektu.</w:t>
            </w:r>
          </w:p>
        </w:tc>
      </w:tr>
      <w:tr w:rsidR="000F6A89" w:rsidRPr="000F6A89" w14:paraId="3C5307A0" w14:textId="77777777" w:rsidTr="001954AD">
        <w:trPr>
          <w:jc w:val="center"/>
        </w:trPr>
        <w:tc>
          <w:tcPr>
            <w:tcW w:w="824" w:type="dxa"/>
            <w:tcBorders>
              <w:top w:val="single" w:sz="4" w:space="0" w:color="auto"/>
              <w:bottom w:val="single" w:sz="4" w:space="0" w:color="auto"/>
            </w:tcBorders>
            <w:vAlign w:val="center"/>
          </w:tcPr>
          <w:p w14:paraId="6423B1F9" w14:textId="77777777" w:rsidR="007E5211" w:rsidRPr="000F6A89" w:rsidRDefault="007E5211" w:rsidP="00FC07AA">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486F85E8" w14:textId="3CD5622B" w:rsidR="007E5211" w:rsidRPr="000F6A89" w:rsidRDefault="009602C4"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Liczba powstałych Miejsc Obsługi Kamperów (MOK)</w:t>
            </w:r>
          </w:p>
        </w:tc>
        <w:tc>
          <w:tcPr>
            <w:tcW w:w="1418" w:type="dxa"/>
            <w:tcBorders>
              <w:top w:val="single" w:sz="4" w:space="0" w:color="auto"/>
              <w:bottom w:val="single" w:sz="4" w:space="0" w:color="auto"/>
            </w:tcBorders>
            <w:vAlign w:val="center"/>
          </w:tcPr>
          <w:p w14:paraId="7970F70F" w14:textId="7CD45509" w:rsidR="007E5211" w:rsidRPr="000F6A89" w:rsidRDefault="00327395" w:rsidP="00CA5701">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7DC2FC39" w14:textId="1AEBC0AD" w:rsidR="007E5211" w:rsidRPr="000F6A89" w:rsidRDefault="00327395"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Wskaźnik dotyczy ogólnej liczby przygotowanych w ramach projektu Miejsc Obsługi Kamperów (MOK), dla których opisano we wniosku o dofinansowanie szczegółowo specyfikację w zależności od przewidywanej liczby kamperów obsługiwanych w szczycie sezonu, w tym dotyczącą architektury i uwzględnienia bardziej zaawansowanych elementów zaplecza sanitarnego oraz charakteru MOK (otwarty, czy uwzględniający usługi komercyjne). Osiągnięta wartość wskaźnika będzie potwierdzona protokołami odbioru robót budowlanych na etapie rozliczania wydatków w ramach projektu</w:t>
            </w:r>
          </w:p>
        </w:tc>
      </w:tr>
      <w:tr w:rsidR="000F6A89" w:rsidRPr="000F6A89" w14:paraId="09F5AB1F" w14:textId="77777777" w:rsidTr="001954AD">
        <w:trPr>
          <w:jc w:val="center"/>
        </w:trPr>
        <w:tc>
          <w:tcPr>
            <w:tcW w:w="824" w:type="dxa"/>
            <w:tcBorders>
              <w:top w:val="single" w:sz="4" w:space="0" w:color="auto"/>
              <w:bottom w:val="single" w:sz="4" w:space="0" w:color="auto"/>
            </w:tcBorders>
            <w:vAlign w:val="center"/>
          </w:tcPr>
          <w:p w14:paraId="4FB1E078" w14:textId="77777777" w:rsidR="009602C4" w:rsidRPr="000F6A89" w:rsidRDefault="009602C4" w:rsidP="00FC07AA">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75FD45EA" w14:textId="39FBE025" w:rsidR="009602C4" w:rsidRPr="000F6A89" w:rsidRDefault="009602C4"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Liczba powstałych Miejsc Przyjaznych Kajakarzom (MPK)</w:t>
            </w:r>
          </w:p>
        </w:tc>
        <w:tc>
          <w:tcPr>
            <w:tcW w:w="1418" w:type="dxa"/>
            <w:tcBorders>
              <w:top w:val="single" w:sz="4" w:space="0" w:color="auto"/>
              <w:bottom w:val="single" w:sz="4" w:space="0" w:color="auto"/>
            </w:tcBorders>
            <w:vAlign w:val="center"/>
          </w:tcPr>
          <w:p w14:paraId="1070188C" w14:textId="250E8433" w:rsidR="009602C4" w:rsidRPr="000F6A89" w:rsidRDefault="00327395" w:rsidP="00CA5701">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376A741F" w14:textId="27A2416D" w:rsidR="009602C4" w:rsidRPr="000F6A89" w:rsidRDefault="00327395" w:rsidP="00CA5701">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Wskaźnik dotyczy ogólnej liczby przygotowanych w ramach projektu Miejsc Przyjaznych Kajakarzom, dla których we wniosku o dofinansowanie opisano szczegółowo specyfikację w zależności od spodziewanego natężenia ruchu. Osiągnięta wartość wskaźnika będzie potwierdzona protokołami odbioru robót budowlanych na etapie rozliczania wydatków w ramach projektu.</w:t>
            </w:r>
          </w:p>
        </w:tc>
      </w:tr>
      <w:tr w:rsidR="000F6A89" w:rsidRPr="000F6A89" w14:paraId="31F50337" w14:textId="77777777" w:rsidTr="001954AD">
        <w:trPr>
          <w:jc w:val="center"/>
        </w:trPr>
        <w:tc>
          <w:tcPr>
            <w:tcW w:w="824" w:type="dxa"/>
            <w:tcBorders>
              <w:top w:val="single" w:sz="4" w:space="0" w:color="auto"/>
              <w:bottom w:val="single" w:sz="4" w:space="0" w:color="auto"/>
            </w:tcBorders>
            <w:vAlign w:val="center"/>
          </w:tcPr>
          <w:p w14:paraId="30B28048" w14:textId="77777777" w:rsidR="009602C4" w:rsidRPr="000F6A89" w:rsidRDefault="009602C4" w:rsidP="009602C4">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4AF01097" w14:textId="5A7C19C5" w:rsidR="009602C4" w:rsidRPr="000F6A89" w:rsidRDefault="009602C4" w:rsidP="009602C4">
            <w:pPr>
              <w:tabs>
                <w:tab w:val="center" w:pos="4536"/>
                <w:tab w:val="right" w:pos="9072"/>
              </w:tabs>
              <w:autoSpaceDE w:val="0"/>
              <w:autoSpaceDN w:val="0"/>
              <w:adjustRightInd w:val="0"/>
              <w:rPr>
                <w:rFonts w:ascii="Arial" w:eastAsia="Times New Roman" w:hAnsi="Arial" w:cs="Arial"/>
                <w:lang w:eastAsia="pl-PL"/>
              </w:rPr>
            </w:pPr>
            <w:r w:rsidRPr="000F6A89">
              <w:rPr>
                <w:rFonts w:ascii="Arial" w:hAnsi="Arial" w:cs="Arial"/>
              </w:rPr>
              <w:t xml:space="preserve">Liczba utworzonych punktów informacji turystycznej i </w:t>
            </w:r>
            <w:proofErr w:type="spellStart"/>
            <w:r w:rsidRPr="000F6A89">
              <w:rPr>
                <w:rFonts w:ascii="Arial" w:hAnsi="Arial" w:cs="Arial"/>
              </w:rPr>
              <w:t>infokiosków</w:t>
            </w:r>
            <w:proofErr w:type="spellEnd"/>
            <w:r w:rsidRPr="000F6A89">
              <w:rPr>
                <w:rFonts w:ascii="Arial" w:hAnsi="Arial" w:cs="Arial"/>
              </w:rPr>
              <w:t xml:space="preserve"> zapewniających obsługę w min. 2 językach obcych</w:t>
            </w:r>
          </w:p>
        </w:tc>
        <w:tc>
          <w:tcPr>
            <w:tcW w:w="1418" w:type="dxa"/>
            <w:tcBorders>
              <w:top w:val="single" w:sz="4" w:space="0" w:color="auto"/>
              <w:bottom w:val="single" w:sz="4" w:space="0" w:color="auto"/>
            </w:tcBorders>
            <w:vAlign w:val="center"/>
          </w:tcPr>
          <w:p w14:paraId="76B940CD" w14:textId="65F59226" w:rsidR="009602C4" w:rsidRPr="000F6A89" w:rsidRDefault="009602C4" w:rsidP="009602C4">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3BF7F168" w14:textId="18F4B81D" w:rsidR="009602C4" w:rsidRPr="000F6A89" w:rsidRDefault="009602C4" w:rsidP="009602C4">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 xml:space="preserve">Liczba punktów informacji turystycznej i </w:t>
            </w:r>
            <w:proofErr w:type="spellStart"/>
            <w:r w:rsidRPr="000F6A89">
              <w:rPr>
                <w:rFonts w:ascii="Arial" w:eastAsia="Times New Roman" w:hAnsi="Arial" w:cs="Arial"/>
                <w:lang w:eastAsia="pl-PL"/>
              </w:rPr>
              <w:t>infokiosków</w:t>
            </w:r>
            <w:proofErr w:type="spellEnd"/>
            <w:r w:rsidRPr="000F6A89">
              <w:rPr>
                <w:rFonts w:ascii="Arial" w:eastAsia="Times New Roman" w:hAnsi="Arial" w:cs="Arial"/>
                <w:lang w:eastAsia="pl-PL"/>
              </w:rPr>
              <w:t>, które oferują obsługę w co najmniej dwóch językach obcych, utworzonych w ramach realizacji projektu.</w:t>
            </w:r>
          </w:p>
        </w:tc>
      </w:tr>
      <w:tr w:rsidR="000F6A89" w:rsidRPr="000F6A89" w14:paraId="7CE797F8" w14:textId="77777777" w:rsidTr="001954AD">
        <w:trPr>
          <w:jc w:val="center"/>
        </w:trPr>
        <w:tc>
          <w:tcPr>
            <w:tcW w:w="824" w:type="dxa"/>
            <w:tcBorders>
              <w:top w:val="single" w:sz="4" w:space="0" w:color="auto"/>
              <w:bottom w:val="single" w:sz="4" w:space="0" w:color="auto"/>
            </w:tcBorders>
            <w:vAlign w:val="center"/>
          </w:tcPr>
          <w:p w14:paraId="1F89260E" w14:textId="77777777" w:rsidR="00327395" w:rsidRPr="000F6A89" w:rsidRDefault="00327395" w:rsidP="00327395">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6B85AF17" w14:textId="05FA2222"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Liczba zakładów lecznictwa uzdrowiskowego objęta projektem</w:t>
            </w:r>
          </w:p>
        </w:tc>
        <w:tc>
          <w:tcPr>
            <w:tcW w:w="1418" w:type="dxa"/>
            <w:tcBorders>
              <w:top w:val="single" w:sz="4" w:space="0" w:color="auto"/>
              <w:bottom w:val="single" w:sz="4" w:space="0" w:color="auto"/>
            </w:tcBorders>
            <w:vAlign w:val="center"/>
          </w:tcPr>
          <w:p w14:paraId="029AF48E" w14:textId="08DFB3CA" w:rsidR="00327395" w:rsidRPr="000F6A89" w:rsidRDefault="00327395" w:rsidP="00327395">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0DA48DFB" w14:textId="6886B151"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 xml:space="preserve">Wskaźnik mierzy liczbę zakładów lecznictwa uzdrowiskowego dofinansowanych w ramach projektu. Zgodnie z art. 6 Ustawy z dnia 28 lipca 2005 r. o lecznictwie uzdrowiskowym, uzdrowiskach i obszarach ochrony uzdrowiskowej oraz o gminach uzdrowiskowych </w:t>
            </w:r>
            <w:r w:rsidRPr="000F6A89">
              <w:rPr>
                <w:rFonts w:ascii="Arial" w:eastAsia="Times New Roman" w:hAnsi="Arial" w:cs="Arial"/>
                <w:lang w:eastAsia="pl-PL"/>
              </w:rPr>
              <w:lastRenderedPageBreak/>
              <w:t>podmiotami, które działając na terenie danego Uzdrowiska i po spełnieniu odpowiednich wymogów zaliczone mogą być do zakładów lecznictwa uzdrowiskowego:</w:t>
            </w:r>
            <w:r w:rsidRPr="000F6A89">
              <w:rPr>
                <w:rFonts w:ascii="Arial" w:eastAsia="Times New Roman" w:hAnsi="Arial" w:cs="Arial"/>
                <w:lang w:eastAsia="pl-PL"/>
              </w:rPr>
              <w:br/>
              <w:t>· szpitale uzdrowiskowe;</w:t>
            </w:r>
            <w:r w:rsidRPr="000F6A89">
              <w:rPr>
                <w:rFonts w:ascii="Arial" w:eastAsia="Times New Roman" w:hAnsi="Arial" w:cs="Arial"/>
                <w:lang w:eastAsia="pl-PL"/>
              </w:rPr>
              <w:br/>
              <w:t>· sanatoria uzdrowiskowe;</w:t>
            </w:r>
            <w:r w:rsidRPr="000F6A89">
              <w:rPr>
                <w:rFonts w:ascii="Arial" w:eastAsia="Times New Roman" w:hAnsi="Arial" w:cs="Arial"/>
                <w:lang w:eastAsia="pl-PL"/>
              </w:rPr>
              <w:br/>
              <w:t>· szpitale uzdrowiskowe dla dzieci i sanatoria uzdrowiskowe dla dzieci;</w:t>
            </w:r>
            <w:r w:rsidRPr="000F6A89">
              <w:rPr>
                <w:rFonts w:ascii="Arial" w:eastAsia="Times New Roman" w:hAnsi="Arial" w:cs="Arial"/>
                <w:lang w:eastAsia="pl-PL"/>
              </w:rPr>
              <w:br/>
              <w:t>· przychodnie uzdrowiskowe;</w:t>
            </w:r>
            <w:r w:rsidRPr="000F6A89">
              <w:rPr>
                <w:rFonts w:ascii="Arial" w:eastAsia="Times New Roman" w:hAnsi="Arial" w:cs="Arial"/>
                <w:lang w:eastAsia="pl-PL"/>
              </w:rPr>
              <w:br/>
              <w:t>· zakłady przyrodolecznicze.</w:t>
            </w:r>
            <w:r w:rsidRPr="000F6A89">
              <w:rPr>
                <w:rFonts w:ascii="Arial" w:eastAsia="Times New Roman" w:hAnsi="Arial" w:cs="Arial"/>
                <w:lang w:eastAsia="pl-PL"/>
              </w:rPr>
              <w:br/>
            </w:r>
            <w:r w:rsidRPr="000F6A89">
              <w:rPr>
                <w:rFonts w:ascii="Arial" w:eastAsia="Times New Roman" w:hAnsi="Arial" w:cs="Arial"/>
                <w:b/>
                <w:bCs/>
                <w:lang w:eastAsia="pl-PL"/>
              </w:rPr>
              <w:t xml:space="preserve">Sposób pomiaru: </w:t>
            </w:r>
            <w:r w:rsidRPr="000F6A89">
              <w:rPr>
                <w:rFonts w:ascii="Arial" w:eastAsia="Times New Roman" w:hAnsi="Arial" w:cs="Arial"/>
                <w:lang w:eastAsia="pl-PL"/>
              </w:rPr>
              <w:t xml:space="preserve"> należy zliczyć liczbę zakładów lecznictwa uzdrowiskowego dofinansowanych w ramach projektu. Każdy zakład może być w ramach danego projektu wliczony tylko raz. </w:t>
            </w:r>
            <w:r w:rsidRPr="000F6A89">
              <w:rPr>
                <w:rFonts w:ascii="Arial" w:eastAsia="Times New Roman" w:hAnsi="Arial" w:cs="Arial"/>
                <w:lang w:eastAsia="pl-PL"/>
              </w:rPr>
              <w:br/>
            </w:r>
            <w:r w:rsidRPr="000F6A89">
              <w:rPr>
                <w:rFonts w:ascii="Arial" w:eastAsia="Times New Roman" w:hAnsi="Arial" w:cs="Arial"/>
                <w:b/>
                <w:bCs/>
                <w:lang w:eastAsia="pl-PL"/>
              </w:rPr>
              <w:t xml:space="preserve">Moment pomiaru: </w:t>
            </w:r>
            <w:r w:rsidRPr="000F6A89">
              <w:rPr>
                <w:rFonts w:ascii="Arial" w:eastAsia="Times New Roman" w:hAnsi="Arial" w:cs="Arial"/>
                <w:lang w:eastAsia="pl-PL"/>
              </w:rPr>
              <w:t xml:space="preserve">W okresie od podpisania umowy o dofinansowanie, przy czym osiągnięte wartości powinny zostać wykazane najpóźniej we wniosku o płatność końcową. </w:t>
            </w:r>
            <w:r w:rsidRPr="000F6A89">
              <w:rPr>
                <w:rFonts w:ascii="Arial" w:eastAsia="Times New Roman" w:hAnsi="Arial" w:cs="Arial"/>
                <w:lang w:eastAsia="pl-PL"/>
              </w:rPr>
              <w:br/>
            </w:r>
            <w:r w:rsidRPr="000F6A89">
              <w:rPr>
                <w:rFonts w:ascii="Arial" w:eastAsia="Times New Roman" w:hAnsi="Arial" w:cs="Arial"/>
                <w:b/>
                <w:bCs/>
                <w:lang w:eastAsia="pl-PL"/>
              </w:rPr>
              <w:t>Źródło:</w:t>
            </w:r>
            <w:r w:rsidRPr="000F6A89">
              <w:rPr>
                <w:rFonts w:ascii="Arial" w:eastAsia="Times New Roman" w:hAnsi="Arial" w:cs="Arial"/>
                <w:lang w:eastAsia="pl-PL"/>
              </w:rPr>
              <w:t xml:space="preserve"> Źródłem informacji jest dokumentacja powykonawcza beneficjenta, w szczególności protokoły odbioru obiektów budowlanych.</w:t>
            </w:r>
          </w:p>
        </w:tc>
      </w:tr>
      <w:tr w:rsidR="000F6A89" w:rsidRPr="000F6A89" w14:paraId="79DAB3DF" w14:textId="77777777" w:rsidTr="001954AD">
        <w:trPr>
          <w:jc w:val="center"/>
        </w:trPr>
        <w:tc>
          <w:tcPr>
            <w:tcW w:w="824" w:type="dxa"/>
            <w:tcBorders>
              <w:top w:val="single" w:sz="4" w:space="0" w:color="auto"/>
              <w:bottom w:val="single" w:sz="4" w:space="0" w:color="auto"/>
            </w:tcBorders>
            <w:vAlign w:val="center"/>
          </w:tcPr>
          <w:p w14:paraId="5BBE085E" w14:textId="77777777" w:rsidR="00327395" w:rsidRPr="000F6A89" w:rsidRDefault="00327395" w:rsidP="00327395">
            <w:pPr>
              <w:pStyle w:val="Akapitzlist"/>
              <w:numPr>
                <w:ilvl w:val="0"/>
                <w:numId w:val="21"/>
              </w:numPr>
              <w:rPr>
                <w:rFonts w:ascii="Arial" w:hAnsi="Arial" w:cs="Arial"/>
              </w:rPr>
            </w:pPr>
          </w:p>
        </w:tc>
        <w:tc>
          <w:tcPr>
            <w:tcW w:w="3282" w:type="dxa"/>
            <w:tcBorders>
              <w:top w:val="single" w:sz="4" w:space="0" w:color="auto"/>
              <w:bottom w:val="single" w:sz="4" w:space="0" w:color="auto"/>
            </w:tcBorders>
            <w:vAlign w:val="center"/>
          </w:tcPr>
          <w:p w14:paraId="2453E0FB" w14:textId="36DC4D9D"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Liczba wspartych urządzeń lecznictwa uzdrowiskowego</w:t>
            </w:r>
          </w:p>
        </w:tc>
        <w:tc>
          <w:tcPr>
            <w:tcW w:w="1418" w:type="dxa"/>
            <w:tcBorders>
              <w:top w:val="single" w:sz="4" w:space="0" w:color="auto"/>
              <w:bottom w:val="single" w:sz="4" w:space="0" w:color="auto"/>
            </w:tcBorders>
            <w:vAlign w:val="center"/>
          </w:tcPr>
          <w:p w14:paraId="40EAC710" w14:textId="09010149" w:rsidR="00327395" w:rsidRPr="000F6A89" w:rsidRDefault="00327395" w:rsidP="00327395">
            <w:pPr>
              <w:tabs>
                <w:tab w:val="center" w:pos="4536"/>
                <w:tab w:val="right" w:pos="9072"/>
              </w:tabs>
              <w:autoSpaceDE w:val="0"/>
              <w:autoSpaceDN w:val="0"/>
              <w:adjustRightInd w:val="0"/>
              <w:rPr>
                <w:rFonts w:ascii="Arial" w:hAnsi="Arial" w:cs="Arial"/>
              </w:rPr>
            </w:pPr>
            <w:r w:rsidRPr="000F6A89">
              <w:rPr>
                <w:rFonts w:ascii="Arial" w:hAnsi="Arial" w:cs="Arial"/>
              </w:rPr>
              <w:t>szt.</w:t>
            </w:r>
          </w:p>
        </w:tc>
        <w:tc>
          <w:tcPr>
            <w:tcW w:w="7087" w:type="dxa"/>
            <w:tcBorders>
              <w:top w:val="single" w:sz="4" w:space="0" w:color="auto"/>
              <w:bottom w:val="single" w:sz="4" w:space="0" w:color="auto"/>
            </w:tcBorders>
            <w:vAlign w:val="center"/>
          </w:tcPr>
          <w:p w14:paraId="09E38E67" w14:textId="19EEC697" w:rsidR="00327395" w:rsidRPr="000F6A89" w:rsidRDefault="00327395" w:rsidP="00327395">
            <w:pPr>
              <w:tabs>
                <w:tab w:val="center" w:pos="4536"/>
                <w:tab w:val="right" w:pos="9072"/>
              </w:tabs>
              <w:autoSpaceDE w:val="0"/>
              <w:autoSpaceDN w:val="0"/>
              <w:adjustRightInd w:val="0"/>
              <w:rPr>
                <w:rFonts w:ascii="Arial" w:eastAsia="Times New Roman" w:hAnsi="Arial" w:cs="Arial"/>
                <w:lang w:eastAsia="pl-PL"/>
              </w:rPr>
            </w:pPr>
            <w:r w:rsidRPr="000F6A89">
              <w:rPr>
                <w:rFonts w:ascii="Arial" w:eastAsia="Times New Roman" w:hAnsi="Arial" w:cs="Arial"/>
                <w:lang w:eastAsia="pl-PL"/>
              </w:rPr>
              <w:t>Wskaźnik dotyczy liczby wspartych w ramach projektu urządzeń lecznictwa uzdrowiskowego.</w:t>
            </w:r>
            <w:r w:rsidRPr="000F6A89">
              <w:rPr>
                <w:rFonts w:ascii="Arial" w:eastAsia="Times New Roman" w:hAnsi="Arial" w:cs="Arial"/>
                <w:lang w:eastAsia="pl-PL"/>
              </w:rPr>
              <w:br/>
              <w:t>Zgodnie z Ustawą z dnia 28 lipca 2005 r. o lecznictwie uzdrowiskowym, uzdrowiskach i obszarach ochrony uzdrowiskowej oraz gminach uzdrowiskowych do urządzeń lecznictwa uzdrowiskowego zalicza się:</w:t>
            </w:r>
            <w:r w:rsidRPr="000F6A89">
              <w:rPr>
                <w:rFonts w:ascii="Arial" w:eastAsia="Times New Roman" w:hAnsi="Arial" w:cs="Arial"/>
                <w:lang w:eastAsia="pl-PL"/>
              </w:rPr>
              <w:br/>
              <w:t>· pijalnie uzdrowiskowe,</w:t>
            </w:r>
            <w:r w:rsidRPr="000F6A89">
              <w:rPr>
                <w:rFonts w:ascii="Arial" w:eastAsia="Times New Roman" w:hAnsi="Arial" w:cs="Arial"/>
                <w:lang w:eastAsia="pl-PL"/>
              </w:rPr>
              <w:br/>
              <w:t>· tężnie,</w:t>
            </w:r>
            <w:r w:rsidRPr="000F6A89">
              <w:rPr>
                <w:rFonts w:ascii="Arial" w:eastAsia="Times New Roman" w:hAnsi="Arial" w:cs="Arial"/>
                <w:lang w:eastAsia="pl-PL"/>
              </w:rPr>
              <w:br/>
              <w:t>· parki,</w:t>
            </w:r>
            <w:r w:rsidRPr="000F6A89">
              <w:rPr>
                <w:rFonts w:ascii="Arial" w:eastAsia="Times New Roman" w:hAnsi="Arial" w:cs="Arial"/>
                <w:lang w:eastAsia="pl-PL"/>
              </w:rPr>
              <w:br/>
              <w:t>· ścieżki ruchowe</w:t>
            </w:r>
            <w:r w:rsidRPr="000F6A89">
              <w:rPr>
                <w:rFonts w:ascii="Arial" w:eastAsia="Times New Roman" w:hAnsi="Arial" w:cs="Arial"/>
                <w:lang w:eastAsia="pl-PL"/>
              </w:rPr>
              <w:br/>
              <w:t xml:space="preserve">· lecznicze i rehabilitacyjne baseny uzdrowiskowe. </w:t>
            </w:r>
          </w:p>
        </w:tc>
      </w:tr>
    </w:tbl>
    <w:p w14:paraId="167803C0" w14:textId="6F4BACC3" w:rsidR="00A71941" w:rsidRPr="000F6A89" w:rsidRDefault="00D70932" w:rsidP="00FC07AA">
      <w:pPr>
        <w:pStyle w:val="Nagwek3"/>
        <w:numPr>
          <w:ilvl w:val="0"/>
          <w:numId w:val="20"/>
        </w:numPr>
        <w:rPr>
          <w:color w:val="auto"/>
        </w:rPr>
      </w:pPr>
      <w:r w:rsidRPr="000F6A89">
        <w:rPr>
          <w:color w:val="auto"/>
        </w:rPr>
        <w:lastRenderedPageBreak/>
        <w:t>Wskaźniki rezultatu</w:t>
      </w:r>
    </w:p>
    <w:tbl>
      <w:tblPr>
        <w:tblStyle w:val="Tabela-Siatka"/>
        <w:tblpPr w:leftFromText="141" w:rightFromText="141" w:vertAnchor="text" w:tblpX="988" w:tblpY="1"/>
        <w:tblOverlap w:val="never"/>
        <w:tblW w:w="0" w:type="auto"/>
        <w:tblLook w:val="04A0" w:firstRow="1" w:lastRow="0" w:firstColumn="1" w:lastColumn="0" w:noHBand="0" w:noVBand="1"/>
        <w:tblCaption w:val="Wskaźniki rezultatu"/>
        <w:tblDescription w:val="Tabela zawiera wskaźniki rezultatu"/>
      </w:tblPr>
      <w:tblGrid>
        <w:gridCol w:w="708"/>
        <w:gridCol w:w="3398"/>
        <w:gridCol w:w="1537"/>
        <w:gridCol w:w="7365"/>
      </w:tblGrid>
      <w:tr w:rsidR="000F6A89" w:rsidRPr="000F6A89" w14:paraId="3D203ED1" w14:textId="77777777" w:rsidTr="00A71941">
        <w:trPr>
          <w:trHeight w:val="697"/>
          <w:tblHeader/>
        </w:trPr>
        <w:tc>
          <w:tcPr>
            <w:tcW w:w="708" w:type="dxa"/>
            <w:vAlign w:val="center"/>
          </w:tcPr>
          <w:p w14:paraId="10E91D36" w14:textId="6CCBF1E0" w:rsidR="009C6524" w:rsidRPr="000F6A89" w:rsidRDefault="009C6524" w:rsidP="00A71941">
            <w:pPr>
              <w:jc w:val="center"/>
              <w:rPr>
                <w:rFonts w:ascii="Arial" w:hAnsi="Arial" w:cs="Arial"/>
              </w:rPr>
            </w:pPr>
            <w:r w:rsidRPr="000F6A89">
              <w:rPr>
                <w:rFonts w:ascii="Arial" w:hAnsi="Arial" w:cs="Arial"/>
                <w:bCs/>
              </w:rPr>
              <w:t>L.p.</w:t>
            </w:r>
          </w:p>
        </w:tc>
        <w:tc>
          <w:tcPr>
            <w:tcW w:w="3398" w:type="dxa"/>
            <w:vAlign w:val="center"/>
          </w:tcPr>
          <w:p w14:paraId="5A1247CE" w14:textId="670B14D6" w:rsidR="009C6524" w:rsidRPr="000F6A89" w:rsidRDefault="009C6524" w:rsidP="00A71941">
            <w:pPr>
              <w:jc w:val="center"/>
              <w:rPr>
                <w:rFonts w:ascii="Arial" w:hAnsi="Arial" w:cs="Arial"/>
              </w:rPr>
            </w:pPr>
            <w:r w:rsidRPr="000F6A89">
              <w:rPr>
                <w:rFonts w:ascii="Arial" w:hAnsi="Arial" w:cs="Arial"/>
              </w:rPr>
              <w:t>Nazwa wskaźnika</w:t>
            </w:r>
          </w:p>
        </w:tc>
        <w:tc>
          <w:tcPr>
            <w:tcW w:w="1537" w:type="dxa"/>
            <w:vAlign w:val="center"/>
          </w:tcPr>
          <w:p w14:paraId="0A59839B" w14:textId="2F2B3653" w:rsidR="009C6524" w:rsidRPr="000F6A89" w:rsidRDefault="009C6524" w:rsidP="00A71941">
            <w:pPr>
              <w:jc w:val="center"/>
              <w:rPr>
                <w:rFonts w:ascii="Arial" w:hAnsi="Arial" w:cs="Arial"/>
              </w:rPr>
            </w:pPr>
            <w:r w:rsidRPr="000F6A89">
              <w:rPr>
                <w:rFonts w:ascii="Arial" w:hAnsi="Arial" w:cs="Arial"/>
              </w:rPr>
              <w:t>Jednostka miary</w:t>
            </w:r>
          </w:p>
        </w:tc>
        <w:tc>
          <w:tcPr>
            <w:tcW w:w="7365" w:type="dxa"/>
            <w:vAlign w:val="center"/>
          </w:tcPr>
          <w:p w14:paraId="271A75A7" w14:textId="27CFED2A" w:rsidR="009C6524" w:rsidRPr="000F6A89" w:rsidRDefault="009C6524" w:rsidP="00A71941">
            <w:pPr>
              <w:jc w:val="center"/>
              <w:rPr>
                <w:rFonts w:ascii="Arial" w:hAnsi="Arial" w:cs="Arial"/>
              </w:rPr>
            </w:pPr>
            <w:r w:rsidRPr="000F6A89">
              <w:rPr>
                <w:rFonts w:ascii="Arial" w:hAnsi="Arial" w:cs="Arial"/>
              </w:rPr>
              <w:t>DEFINICJA</w:t>
            </w:r>
          </w:p>
        </w:tc>
      </w:tr>
      <w:tr w:rsidR="000F6A89" w:rsidRPr="000F6A89" w14:paraId="2571CDD4" w14:textId="77777777" w:rsidTr="00A71941">
        <w:tc>
          <w:tcPr>
            <w:tcW w:w="708" w:type="dxa"/>
            <w:vAlign w:val="center"/>
          </w:tcPr>
          <w:p w14:paraId="73E83979" w14:textId="70D7757F" w:rsidR="009C6524" w:rsidRPr="000F6A89" w:rsidRDefault="009C6524" w:rsidP="00FC07AA">
            <w:pPr>
              <w:pStyle w:val="Akapitzlist"/>
              <w:numPr>
                <w:ilvl w:val="0"/>
                <w:numId w:val="22"/>
              </w:numPr>
              <w:rPr>
                <w:rFonts w:ascii="Arial" w:hAnsi="Arial" w:cs="Arial"/>
              </w:rPr>
            </w:pPr>
          </w:p>
        </w:tc>
        <w:tc>
          <w:tcPr>
            <w:tcW w:w="3398" w:type="dxa"/>
            <w:vAlign w:val="center"/>
          </w:tcPr>
          <w:p w14:paraId="2EF1CFF8" w14:textId="2EEE917F" w:rsidR="009C6524" w:rsidRPr="000F6A89" w:rsidRDefault="009C6524" w:rsidP="00A71941">
            <w:pPr>
              <w:rPr>
                <w:rFonts w:ascii="Arial" w:hAnsi="Arial" w:cs="Arial"/>
                <w:bCs/>
              </w:rPr>
            </w:pPr>
            <w:r w:rsidRPr="000F6A89">
              <w:rPr>
                <w:rFonts w:ascii="Arial" w:hAnsi="Arial" w:cs="Arial"/>
                <w:bCs/>
              </w:rPr>
              <w:t>Liczba osób odwiedzających obiekty kulturalne i turystyczne objęte wsparciem</w:t>
            </w:r>
          </w:p>
        </w:tc>
        <w:tc>
          <w:tcPr>
            <w:tcW w:w="1537" w:type="dxa"/>
            <w:vAlign w:val="center"/>
          </w:tcPr>
          <w:p w14:paraId="0DC41E0F" w14:textId="2E617D28" w:rsidR="009C6524" w:rsidRPr="000F6A89" w:rsidRDefault="009C6524" w:rsidP="00A71941">
            <w:pPr>
              <w:rPr>
                <w:rFonts w:ascii="Arial" w:hAnsi="Arial" w:cs="Arial"/>
              </w:rPr>
            </w:pPr>
            <w:r w:rsidRPr="000F6A89">
              <w:rPr>
                <w:rFonts w:ascii="Arial" w:hAnsi="Arial" w:cs="Arial"/>
              </w:rPr>
              <w:t>odwiedzając</w:t>
            </w:r>
            <w:r w:rsidR="00B82347" w:rsidRPr="000F6A89">
              <w:rPr>
                <w:rFonts w:ascii="Arial" w:hAnsi="Arial" w:cs="Arial"/>
              </w:rPr>
              <w:t>y</w:t>
            </w:r>
            <w:r w:rsidRPr="000F6A89">
              <w:rPr>
                <w:rFonts w:ascii="Arial" w:hAnsi="Arial" w:cs="Arial"/>
              </w:rPr>
              <w:t xml:space="preserve"> /rok</w:t>
            </w:r>
          </w:p>
        </w:tc>
        <w:tc>
          <w:tcPr>
            <w:tcW w:w="7365" w:type="dxa"/>
            <w:vAlign w:val="center"/>
          </w:tcPr>
          <w:p w14:paraId="2EA6759F" w14:textId="77777777" w:rsidR="006A5753" w:rsidRPr="006A5753" w:rsidRDefault="006A5753" w:rsidP="006A5753">
            <w:pPr>
              <w:rPr>
                <w:rFonts w:ascii="Arial" w:hAnsi="Arial" w:cs="Arial"/>
              </w:rPr>
            </w:pPr>
            <w:r w:rsidRPr="006A5753">
              <w:rPr>
                <w:rFonts w:ascii="Arial" w:hAnsi="Arial" w:cs="Arial"/>
              </w:rPr>
              <w:t>Szacunkowa roczna liczba odwiedzających obiekty kulturalne i turystyczne objęte wsparciem. Liczbę odwiedzających należy oszacować ex post rok po zakończeniu interwencji.</w:t>
            </w:r>
          </w:p>
          <w:p w14:paraId="42FB2ED4" w14:textId="77777777" w:rsidR="006A5753" w:rsidRPr="006A5753" w:rsidRDefault="006A5753" w:rsidP="006A5753">
            <w:pPr>
              <w:rPr>
                <w:rFonts w:ascii="Arial" w:hAnsi="Arial" w:cs="Arial"/>
              </w:rPr>
            </w:pPr>
            <w:r w:rsidRPr="006A5753">
              <w:rPr>
                <w:rFonts w:ascii="Arial" w:hAnsi="Arial" w:cs="Arial"/>
              </w:rPr>
              <w:t>Wartość bazowa wskaźnika odnosi się do oszacowanej rocznej liczby odwiedzających obiekty objęte wsparciem w roku poprzedzającym rozpoczęcie interwencji i wynosi zero w przypadku nowych obiektów kulturalnych i turystycznych.</w:t>
            </w:r>
          </w:p>
          <w:p w14:paraId="2CDFB81F" w14:textId="77777777" w:rsidR="001F7D01" w:rsidRDefault="001F7D01" w:rsidP="006A5753">
            <w:pPr>
              <w:rPr>
                <w:rFonts w:ascii="Arial" w:hAnsi="Arial" w:cs="Arial"/>
              </w:rPr>
            </w:pPr>
          </w:p>
          <w:p w14:paraId="2DED0ED7" w14:textId="1DA74D4A" w:rsidR="001F7D01" w:rsidRDefault="001F7D01" w:rsidP="006A5753">
            <w:pPr>
              <w:rPr>
                <w:rFonts w:ascii="Arial" w:hAnsi="Arial" w:cs="Arial"/>
              </w:rPr>
            </w:pPr>
            <w:r>
              <w:rPr>
                <w:rFonts w:ascii="Arial" w:hAnsi="Arial" w:cs="Arial"/>
              </w:rPr>
              <w:t>Wyjaśnienie:</w:t>
            </w:r>
          </w:p>
          <w:p w14:paraId="364CC30F" w14:textId="77777777" w:rsidR="001F7D01" w:rsidRDefault="001F7D01" w:rsidP="006A5753">
            <w:pPr>
              <w:rPr>
                <w:rFonts w:ascii="Arial" w:hAnsi="Arial" w:cs="Arial"/>
              </w:rPr>
            </w:pPr>
          </w:p>
          <w:p w14:paraId="3940523C" w14:textId="080DDCEB" w:rsidR="006A5753" w:rsidRPr="006A5753" w:rsidRDefault="001F7D01" w:rsidP="006A5753">
            <w:pPr>
              <w:rPr>
                <w:rFonts w:ascii="Arial" w:hAnsi="Arial" w:cs="Arial"/>
              </w:rPr>
            </w:pPr>
            <w:r>
              <w:rPr>
                <w:rFonts w:ascii="Arial" w:hAnsi="Arial" w:cs="Arial"/>
              </w:rPr>
              <w:t>R</w:t>
            </w:r>
            <w:r w:rsidR="006A5753" w:rsidRPr="006A5753">
              <w:rPr>
                <w:rFonts w:ascii="Arial" w:hAnsi="Arial" w:cs="Arial"/>
              </w:rPr>
              <w:t>ozpoczęcie interwencji należy rozumieć jako złożenie wniosku o dofinansowanie projektu, co oznacza, że wartość bazowa powinna zostać obliczona dla pełnego roku kalendarzowego poprzedzającego rok, w którym złożony został wniosek o dofinansowanie projektu.</w:t>
            </w:r>
          </w:p>
          <w:p w14:paraId="37C1EB6F" w14:textId="16E0C7DD" w:rsidR="009C6524" w:rsidRPr="000F6A89" w:rsidRDefault="006A5753" w:rsidP="006A5753">
            <w:pPr>
              <w:rPr>
                <w:rFonts w:ascii="Arial" w:hAnsi="Arial" w:cs="Arial"/>
              </w:rPr>
            </w:pPr>
            <w:r w:rsidRPr="006A5753">
              <w:rPr>
                <w:rFonts w:ascii="Arial" w:hAnsi="Arial" w:cs="Arial"/>
              </w:rPr>
              <w:t>Wskaźnik nie obejmuje obszarów naturalnych, w przypadku których dokładne oszacowanie liczby odwiedzających nie jest możliwe.</w:t>
            </w:r>
          </w:p>
        </w:tc>
      </w:tr>
      <w:tr w:rsidR="000F6A89" w:rsidRPr="000F6A89" w14:paraId="6EFE055A" w14:textId="77777777" w:rsidTr="00A71941">
        <w:tc>
          <w:tcPr>
            <w:tcW w:w="708" w:type="dxa"/>
            <w:vAlign w:val="center"/>
          </w:tcPr>
          <w:p w14:paraId="7B8FBE98" w14:textId="77777777" w:rsidR="007725B9" w:rsidRPr="000F6A89" w:rsidRDefault="007725B9" w:rsidP="00FC07AA">
            <w:pPr>
              <w:pStyle w:val="Akapitzlist"/>
              <w:numPr>
                <w:ilvl w:val="0"/>
                <w:numId w:val="22"/>
              </w:numPr>
              <w:rPr>
                <w:rFonts w:ascii="Arial" w:hAnsi="Arial" w:cs="Arial"/>
              </w:rPr>
            </w:pPr>
          </w:p>
        </w:tc>
        <w:tc>
          <w:tcPr>
            <w:tcW w:w="3398" w:type="dxa"/>
            <w:vAlign w:val="center"/>
          </w:tcPr>
          <w:p w14:paraId="548FCC39" w14:textId="4CFD1ADB" w:rsidR="007725B9" w:rsidRPr="000F6A89" w:rsidRDefault="007725B9" w:rsidP="00A71941">
            <w:pPr>
              <w:rPr>
                <w:rFonts w:ascii="Arial" w:hAnsi="Arial" w:cs="Arial"/>
              </w:rPr>
            </w:pPr>
            <w:r w:rsidRPr="000F6A89">
              <w:rPr>
                <w:rFonts w:ascii="Arial" w:hAnsi="Arial" w:cs="Arial"/>
              </w:rPr>
              <w:t>Roczna liczba turystów korzystających ze wspartych szlaków turystycznych</w:t>
            </w:r>
          </w:p>
        </w:tc>
        <w:tc>
          <w:tcPr>
            <w:tcW w:w="1537" w:type="dxa"/>
            <w:vAlign w:val="center"/>
          </w:tcPr>
          <w:p w14:paraId="2B9A7C0D" w14:textId="5FB71D74" w:rsidR="007725B9" w:rsidRPr="000F6A89" w:rsidRDefault="007725B9" w:rsidP="00A71941">
            <w:pPr>
              <w:rPr>
                <w:rFonts w:ascii="Arial" w:hAnsi="Arial" w:cs="Arial"/>
              </w:rPr>
            </w:pPr>
            <w:r w:rsidRPr="000F6A89">
              <w:rPr>
                <w:rFonts w:ascii="Arial" w:hAnsi="Arial" w:cs="Arial"/>
              </w:rPr>
              <w:t>osoby</w:t>
            </w:r>
          </w:p>
        </w:tc>
        <w:tc>
          <w:tcPr>
            <w:tcW w:w="7365" w:type="dxa"/>
            <w:vAlign w:val="center"/>
          </w:tcPr>
          <w:p w14:paraId="23A8A8BA" w14:textId="296B2CE2" w:rsidR="005F7A93" w:rsidRPr="005F7A93" w:rsidRDefault="005F7A93" w:rsidP="005F7A93">
            <w:pPr>
              <w:rPr>
                <w:rFonts w:ascii="Arial" w:eastAsia="Times New Roman" w:hAnsi="Arial" w:cs="Arial"/>
                <w:lang w:eastAsia="pl-PL"/>
              </w:rPr>
            </w:pPr>
            <w:r w:rsidRPr="005F7A93">
              <w:rPr>
                <w:rFonts w:ascii="Arial" w:eastAsia="Times New Roman" w:hAnsi="Arial" w:cs="Arial"/>
                <w:lang w:eastAsia="pl-PL"/>
              </w:rPr>
              <w:t>Szacunkowa roczna liczba turystów korzystających ze wspartych szlaków turystycznych, liczona na poszczególnych odcinkach/etapach (na podstawie liczników, pętli indukcyjnych, pomiarów bezpośrednich lub innych form pomiaru z uwzględnieniem metodologii badań minimalizującej ryzyko podwój</w:t>
            </w:r>
            <w:r>
              <w:rPr>
                <w:rFonts w:ascii="Arial" w:eastAsia="Times New Roman" w:hAnsi="Arial" w:cs="Arial"/>
                <w:lang w:eastAsia="pl-PL"/>
              </w:rPr>
              <w:t>n</w:t>
            </w:r>
            <w:r w:rsidRPr="005F7A93">
              <w:rPr>
                <w:rFonts w:ascii="Arial" w:eastAsia="Times New Roman" w:hAnsi="Arial" w:cs="Arial"/>
                <w:lang w:eastAsia="pl-PL"/>
              </w:rPr>
              <w:t>ego liczenia użytkowników). Wartość docelowa wskaźnika jest określona dla roku od zakończenia projektu. Wartość bazowa wskaźnika odnosi się do szacowanej liczby turystów korzystających ze wspartych szlaków turystycznych w roku poprzedzającym rozpoczęcie interwencji i wynosi zero w przypadku nowych szlaków turystycznych.</w:t>
            </w:r>
          </w:p>
          <w:p w14:paraId="2209ADA7" w14:textId="77777777" w:rsidR="001F7D01" w:rsidRDefault="001F7D01" w:rsidP="005F7A93">
            <w:pPr>
              <w:rPr>
                <w:rFonts w:ascii="Arial" w:eastAsia="Times New Roman" w:hAnsi="Arial" w:cs="Arial"/>
                <w:lang w:eastAsia="pl-PL"/>
              </w:rPr>
            </w:pPr>
          </w:p>
          <w:p w14:paraId="1A43D456" w14:textId="3735B265" w:rsidR="001F7D01" w:rsidRDefault="001F7D01" w:rsidP="005F7A93">
            <w:pPr>
              <w:rPr>
                <w:rFonts w:ascii="Arial" w:eastAsia="Times New Roman" w:hAnsi="Arial" w:cs="Arial"/>
                <w:lang w:eastAsia="pl-PL"/>
              </w:rPr>
            </w:pPr>
            <w:r>
              <w:rPr>
                <w:rFonts w:ascii="Arial" w:eastAsia="Times New Roman" w:hAnsi="Arial" w:cs="Arial"/>
                <w:lang w:eastAsia="pl-PL"/>
              </w:rPr>
              <w:t>Wyjaśnienie:</w:t>
            </w:r>
          </w:p>
          <w:p w14:paraId="185D9B46" w14:textId="76118C64" w:rsidR="005F7A93" w:rsidRPr="005F7A93" w:rsidRDefault="005F7A93" w:rsidP="005F7A93">
            <w:pPr>
              <w:rPr>
                <w:rFonts w:ascii="Arial" w:eastAsia="Times New Roman" w:hAnsi="Arial" w:cs="Arial"/>
                <w:lang w:eastAsia="pl-PL"/>
              </w:rPr>
            </w:pPr>
            <w:r w:rsidRPr="005F7A93">
              <w:rPr>
                <w:rFonts w:ascii="Arial" w:eastAsia="Times New Roman" w:hAnsi="Arial" w:cs="Arial"/>
                <w:lang w:eastAsia="pl-PL"/>
              </w:rPr>
              <w:lastRenderedPageBreak/>
              <w:t>Rozpoczęcie interwencji należy rozumieć jako złożenie wniosku o dofinansowanie projektu, co oznacza, że wartość bazowa powinna zostać obliczona dla pełnego roku kalendarzowego poprzedzającego rok, w którym złożony został wniosek o dofinansowanie projektu.</w:t>
            </w:r>
          </w:p>
          <w:p w14:paraId="5A1A8CA4" w14:textId="0FA5A02A" w:rsidR="005F7A93" w:rsidRPr="005F7A93" w:rsidRDefault="005F7A93" w:rsidP="005F7A93">
            <w:pPr>
              <w:rPr>
                <w:rFonts w:ascii="Arial" w:eastAsia="Times New Roman" w:hAnsi="Arial" w:cs="Arial"/>
                <w:lang w:eastAsia="pl-PL"/>
              </w:rPr>
            </w:pPr>
            <w:r w:rsidRPr="005F7A93">
              <w:rPr>
                <w:rFonts w:ascii="Arial" w:eastAsia="Times New Roman" w:hAnsi="Arial" w:cs="Arial"/>
                <w:lang w:eastAsia="pl-PL"/>
              </w:rPr>
              <w:t>Przez "turystę" należy rozumieć każdą osobę korzystającą ze wspartych szlaków turystycznych.</w:t>
            </w:r>
          </w:p>
          <w:p w14:paraId="6095D44A" w14:textId="479262F8" w:rsidR="007725B9" w:rsidRPr="000F6A89" w:rsidRDefault="005F7A93" w:rsidP="005F7A93">
            <w:pPr>
              <w:rPr>
                <w:rFonts w:ascii="Arial" w:eastAsia="Times New Roman" w:hAnsi="Arial" w:cs="Arial"/>
                <w:lang w:eastAsia="pl-PL"/>
              </w:rPr>
            </w:pPr>
            <w:r w:rsidRPr="005F7A93">
              <w:rPr>
                <w:rFonts w:ascii="Arial" w:eastAsia="Times New Roman" w:hAnsi="Arial" w:cs="Arial"/>
                <w:lang w:eastAsia="pl-PL"/>
              </w:rPr>
              <w:t>Wskaźnik nie dotyczy szlaków rowerowych i kajakowych.</w:t>
            </w:r>
          </w:p>
        </w:tc>
      </w:tr>
      <w:tr w:rsidR="000F6A89" w:rsidRPr="000F6A89" w14:paraId="28704427" w14:textId="77777777" w:rsidTr="00A71941">
        <w:tc>
          <w:tcPr>
            <w:tcW w:w="708" w:type="dxa"/>
            <w:vAlign w:val="center"/>
          </w:tcPr>
          <w:p w14:paraId="5B9C529C" w14:textId="77777777" w:rsidR="00FC07AA" w:rsidRPr="000F6A89" w:rsidRDefault="00FC07AA" w:rsidP="00FC07AA">
            <w:pPr>
              <w:pStyle w:val="Akapitzlist"/>
              <w:numPr>
                <w:ilvl w:val="0"/>
                <w:numId w:val="22"/>
              </w:numPr>
              <w:rPr>
                <w:rFonts w:ascii="Arial" w:hAnsi="Arial" w:cs="Arial"/>
              </w:rPr>
            </w:pPr>
          </w:p>
        </w:tc>
        <w:tc>
          <w:tcPr>
            <w:tcW w:w="3398" w:type="dxa"/>
            <w:vAlign w:val="center"/>
          </w:tcPr>
          <w:p w14:paraId="171A19F1" w14:textId="51C776C1" w:rsidR="00FC07AA" w:rsidRPr="000F6A89" w:rsidRDefault="00F63B36" w:rsidP="00A71941">
            <w:pPr>
              <w:rPr>
                <w:rFonts w:ascii="Arial" w:hAnsi="Arial" w:cs="Arial"/>
              </w:rPr>
            </w:pPr>
            <w:r w:rsidRPr="000F6A89">
              <w:rPr>
                <w:rFonts w:ascii="Arial" w:hAnsi="Arial" w:cs="Arial"/>
              </w:rPr>
              <w:t>Roczna liczba użytkowników infrastruktury rowerowej</w:t>
            </w:r>
          </w:p>
        </w:tc>
        <w:tc>
          <w:tcPr>
            <w:tcW w:w="1537" w:type="dxa"/>
            <w:vAlign w:val="center"/>
          </w:tcPr>
          <w:p w14:paraId="5F620246" w14:textId="22FE1B50" w:rsidR="00FC07AA" w:rsidRPr="000F6A89" w:rsidRDefault="00F63B36" w:rsidP="00A71941">
            <w:pPr>
              <w:rPr>
                <w:rFonts w:ascii="Arial" w:hAnsi="Arial" w:cs="Arial"/>
              </w:rPr>
            </w:pPr>
            <w:r w:rsidRPr="000F6A89">
              <w:rPr>
                <w:rFonts w:ascii="Arial" w:hAnsi="Arial" w:cs="Arial"/>
              </w:rPr>
              <w:t>użytkownicy</w:t>
            </w:r>
          </w:p>
        </w:tc>
        <w:tc>
          <w:tcPr>
            <w:tcW w:w="7365" w:type="dxa"/>
            <w:vAlign w:val="center"/>
          </w:tcPr>
          <w:p w14:paraId="4A1AA64B" w14:textId="77777777" w:rsidR="00FC07AA" w:rsidRPr="000F6A89" w:rsidRDefault="00F63B36" w:rsidP="007F67CC">
            <w:pPr>
              <w:rPr>
                <w:rFonts w:ascii="Arial" w:eastAsia="Times New Roman" w:hAnsi="Arial" w:cs="Arial"/>
                <w:lang w:eastAsia="pl-PL"/>
              </w:rPr>
            </w:pPr>
            <w:r w:rsidRPr="000F6A89">
              <w:rPr>
                <w:rFonts w:ascii="Arial" w:eastAsia="Times New Roman" w:hAnsi="Arial" w:cs="Arial"/>
                <w:lang w:eastAsia="pl-PL"/>
              </w:rPr>
              <w:t>Roczna liczba użytkowników infrastruktury rowerowej finansowanej w ramach projektów objętych wsparciem. Definicja infrastruktury rowerowej znajduje się we wskaźniku RCO58. Wartość bazowa wskaźnika szacowana jest jako roczna liczba użytkowników infrastruktury w roku poprzedzającym rozpoczęcie interwencji i wynosi zero w przypadku nowej infrastruktury. Osiągnięte wartości są szacowane ex post pod względem liczby użytkowników korzystających z infrastruktury w roku następującym po fizycznym zakończeniu interwencji.</w:t>
            </w:r>
          </w:p>
          <w:p w14:paraId="3B8AFA55" w14:textId="77777777" w:rsidR="005C15ED" w:rsidRPr="000F6A89" w:rsidRDefault="005C15ED" w:rsidP="007F67CC">
            <w:pPr>
              <w:rPr>
                <w:rFonts w:ascii="Arial" w:eastAsia="Times New Roman" w:hAnsi="Arial" w:cs="Arial"/>
                <w:kern w:val="3"/>
                <w:lang w:eastAsia="pl-PL"/>
              </w:rPr>
            </w:pPr>
          </w:p>
          <w:p w14:paraId="22026B83" w14:textId="0BA8DA76" w:rsidR="005C15ED" w:rsidRPr="000F6A89" w:rsidRDefault="005C15ED" w:rsidP="005C15ED">
            <w:pPr>
              <w:rPr>
                <w:rFonts w:ascii="Arial" w:hAnsi="Arial" w:cs="Arial"/>
                <w:kern w:val="3"/>
                <w:lang w:eastAsia="zh-CN"/>
              </w:rPr>
            </w:pPr>
            <w:r w:rsidRPr="000F6A89">
              <w:rPr>
                <w:rFonts w:ascii="Arial" w:hAnsi="Arial" w:cs="Arial"/>
                <w:kern w:val="3"/>
                <w:lang w:eastAsia="zh-CN"/>
              </w:rPr>
              <w:t>Wyjaśnienie:</w:t>
            </w:r>
          </w:p>
          <w:p w14:paraId="0CF9EC07" w14:textId="77777777" w:rsidR="001F7D01" w:rsidRDefault="001F7D01" w:rsidP="005C15ED">
            <w:pPr>
              <w:rPr>
                <w:rFonts w:ascii="Arial" w:hAnsi="Arial" w:cs="Arial"/>
                <w:kern w:val="3"/>
                <w:lang w:eastAsia="zh-CN"/>
              </w:rPr>
            </w:pPr>
          </w:p>
          <w:p w14:paraId="4DFE1B75" w14:textId="16E5E7CA" w:rsidR="005C15ED" w:rsidRPr="000F6A89" w:rsidRDefault="005C15ED" w:rsidP="005C15ED">
            <w:pPr>
              <w:rPr>
                <w:rFonts w:ascii="Arial" w:hAnsi="Arial" w:cs="Arial"/>
                <w:kern w:val="3"/>
                <w:lang w:eastAsia="zh-CN"/>
              </w:rPr>
            </w:pPr>
            <w:r w:rsidRPr="000F6A89">
              <w:rPr>
                <w:rFonts w:ascii="Arial" w:hAnsi="Arial" w:cs="Arial"/>
                <w:kern w:val="3"/>
                <w:lang w:eastAsia="zh-CN"/>
              </w:rPr>
              <w:t>Rozpoczęcie interwencji należy rozumieć jako złożenie wniosku o dofinansowanie projektu, co oznacza, że wartość bazowa powinna zostać obliczona dla pełnego roku kalendarzowego poprzedzającego rok, w którym złożony został wniosek o dofinansowanie projektu.</w:t>
            </w:r>
          </w:p>
        </w:tc>
      </w:tr>
      <w:tr w:rsidR="000F6A89" w:rsidRPr="000F6A89" w14:paraId="5691FF88" w14:textId="77777777" w:rsidTr="00A71941">
        <w:tc>
          <w:tcPr>
            <w:tcW w:w="708" w:type="dxa"/>
            <w:vAlign w:val="center"/>
          </w:tcPr>
          <w:p w14:paraId="4E5BDB41" w14:textId="77777777" w:rsidR="00F63B36" w:rsidRPr="000F6A89" w:rsidRDefault="00F63B36" w:rsidP="00FC07AA">
            <w:pPr>
              <w:pStyle w:val="Akapitzlist"/>
              <w:numPr>
                <w:ilvl w:val="0"/>
                <w:numId w:val="22"/>
              </w:numPr>
              <w:rPr>
                <w:rFonts w:ascii="Arial" w:hAnsi="Arial" w:cs="Arial"/>
              </w:rPr>
            </w:pPr>
          </w:p>
        </w:tc>
        <w:tc>
          <w:tcPr>
            <w:tcW w:w="3398" w:type="dxa"/>
            <w:vAlign w:val="center"/>
          </w:tcPr>
          <w:p w14:paraId="34F72DB9" w14:textId="2AA39066" w:rsidR="00F63B36" w:rsidRPr="000F6A89" w:rsidRDefault="00F63B36" w:rsidP="00A71941">
            <w:pPr>
              <w:rPr>
                <w:rFonts w:ascii="Arial" w:hAnsi="Arial" w:cs="Arial"/>
              </w:rPr>
            </w:pPr>
            <w:r w:rsidRPr="000F6A89">
              <w:rPr>
                <w:rFonts w:ascii="Arial" w:hAnsi="Arial" w:cs="Arial"/>
              </w:rPr>
              <w:t>Roczna liczba turystów korzystających ze szlaków rowerowych</w:t>
            </w:r>
          </w:p>
        </w:tc>
        <w:tc>
          <w:tcPr>
            <w:tcW w:w="1537" w:type="dxa"/>
            <w:vAlign w:val="center"/>
          </w:tcPr>
          <w:p w14:paraId="09A1D546" w14:textId="466C2A08" w:rsidR="00F63B36" w:rsidRPr="000F6A89" w:rsidRDefault="00F63B36" w:rsidP="00A71941">
            <w:pPr>
              <w:rPr>
                <w:rFonts w:ascii="Arial" w:hAnsi="Arial" w:cs="Arial"/>
              </w:rPr>
            </w:pPr>
            <w:r w:rsidRPr="000F6A89">
              <w:rPr>
                <w:rFonts w:ascii="Arial" w:hAnsi="Arial" w:cs="Arial"/>
              </w:rPr>
              <w:t>osoby</w:t>
            </w:r>
          </w:p>
        </w:tc>
        <w:tc>
          <w:tcPr>
            <w:tcW w:w="7365" w:type="dxa"/>
            <w:vAlign w:val="center"/>
          </w:tcPr>
          <w:p w14:paraId="4460F6B1" w14:textId="0C31AFE8" w:rsidR="001F7D01" w:rsidRDefault="00F63B36" w:rsidP="007F67CC">
            <w:r w:rsidRPr="000F6A89">
              <w:rPr>
                <w:rFonts w:ascii="Arial" w:eastAsia="Times New Roman" w:hAnsi="Arial" w:cs="Arial"/>
                <w:lang w:eastAsia="pl-PL"/>
              </w:rPr>
              <w:t>Wskaźnik dotyczy liczby turystów korzystających ze wspartych szlaków rowerowych i jest liczony na  poszczególnych odcinkach/etapach (na podstawie liczników / pętli indukcyjnych, pomiarów bezpośrednich lub innych form pomiaru z uwzględnieniem metodologii badań minimalizującej ryzyko podwójnego liczenia użytkowników). Wartość docelowa jest określona dla roku od zakończenia projektu</w:t>
            </w:r>
            <w:r w:rsidR="00A85DA9">
              <w:rPr>
                <w:rFonts w:ascii="Arial" w:eastAsia="Times New Roman" w:hAnsi="Arial" w:cs="Arial"/>
                <w:lang w:eastAsia="pl-PL"/>
              </w:rPr>
              <w:t>.</w:t>
            </w:r>
            <w:r w:rsidR="005F7A93">
              <w:t xml:space="preserve"> </w:t>
            </w:r>
            <w:r w:rsidR="001F7D01">
              <w:br/>
            </w:r>
          </w:p>
          <w:p w14:paraId="68EDF736" w14:textId="77777777" w:rsidR="001F7D01" w:rsidRDefault="001F7D01" w:rsidP="007F67CC">
            <w:pPr>
              <w:rPr>
                <w:rFonts w:ascii="Arial" w:eastAsia="Times New Roman" w:hAnsi="Arial" w:cs="Arial"/>
                <w:lang w:eastAsia="pl-PL"/>
              </w:rPr>
            </w:pPr>
            <w:r>
              <w:rPr>
                <w:rFonts w:ascii="Arial" w:eastAsia="Times New Roman" w:hAnsi="Arial" w:cs="Arial"/>
                <w:lang w:eastAsia="pl-PL"/>
              </w:rPr>
              <w:t>Wyjaśnienie:</w:t>
            </w:r>
          </w:p>
          <w:p w14:paraId="207F8159" w14:textId="46AFFF9D" w:rsidR="00F63B36" w:rsidRPr="000F6A89" w:rsidRDefault="005F7A93" w:rsidP="007F67CC">
            <w:pPr>
              <w:rPr>
                <w:rFonts w:ascii="Arial" w:hAnsi="Arial" w:cs="Arial"/>
                <w:kern w:val="3"/>
                <w:lang w:eastAsia="zh-CN"/>
              </w:rPr>
            </w:pPr>
            <w:r w:rsidRPr="005F7A93">
              <w:rPr>
                <w:rFonts w:ascii="Arial" w:eastAsia="Times New Roman" w:hAnsi="Arial" w:cs="Arial"/>
                <w:lang w:eastAsia="pl-PL"/>
              </w:rPr>
              <w:t>Przez "turystę" należy rozumieć każdą osobę korzystającą ze wspartych szlaków rowerowych.</w:t>
            </w:r>
          </w:p>
        </w:tc>
      </w:tr>
      <w:tr w:rsidR="000F6A89" w:rsidRPr="000F6A89" w14:paraId="6B78A581" w14:textId="77777777" w:rsidTr="00A71941">
        <w:tc>
          <w:tcPr>
            <w:tcW w:w="708" w:type="dxa"/>
            <w:vAlign w:val="center"/>
          </w:tcPr>
          <w:p w14:paraId="3A04FA32" w14:textId="77777777" w:rsidR="00F63B36" w:rsidRPr="000F6A89" w:rsidRDefault="00F63B36" w:rsidP="00FC07AA">
            <w:pPr>
              <w:pStyle w:val="Akapitzlist"/>
              <w:numPr>
                <w:ilvl w:val="0"/>
                <w:numId w:val="22"/>
              </w:numPr>
              <w:rPr>
                <w:rFonts w:ascii="Arial" w:hAnsi="Arial" w:cs="Arial"/>
              </w:rPr>
            </w:pPr>
          </w:p>
        </w:tc>
        <w:tc>
          <w:tcPr>
            <w:tcW w:w="3398" w:type="dxa"/>
            <w:vAlign w:val="center"/>
          </w:tcPr>
          <w:p w14:paraId="6BFF1851" w14:textId="4F632C33" w:rsidR="00F63B36" w:rsidRPr="000F6A89" w:rsidRDefault="00F63B36" w:rsidP="00A71941">
            <w:pPr>
              <w:rPr>
                <w:rFonts w:ascii="Arial" w:hAnsi="Arial" w:cs="Arial"/>
              </w:rPr>
            </w:pPr>
            <w:r w:rsidRPr="000F6A89">
              <w:rPr>
                <w:rFonts w:ascii="Arial" w:hAnsi="Arial" w:cs="Arial"/>
              </w:rPr>
              <w:t>Roczna liczba turystów korzystających ze szlaków kajakowych</w:t>
            </w:r>
          </w:p>
        </w:tc>
        <w:tc>
          <w:tcPr>
            <w:tcW w:w="1537" w:type="dxa"/>
            <w:vAlign w:val="center"/>
          </w:tcPr>
          <w:p w14:paraId="3454D88F" w14:textId="21E6B2F7" w:rsidR="00F63B36" w:rsidRPr="000F6A89" w:rsidRDefault="00F63B36" w:rsidP="00A71941">
            <w:pPr>
              <w:rPr>
                <w:rFonts w:ascii="Arial" w:hAnsi="Arial" w:cs="Arial"/>
              </w:rPr>
            </w:pPr>
            <w:r w:rsidRPr="000F6A89">
              <w:rPr>
                <w:rFonts w:ascii="Arial" w:hAnsi="Arial" w:cs="Arial"/>
              </w:rPr>
              <w:t>osoby</w:t>
            </w:r>
          </w:p>
        </w:tc>
        <w:tc>
          <w:tcPr>
            <w:tcW w:w="7365" w:type="dxa"/>
            <w:vAlign w:val="center"/>
          </w:tcPr>
          <w:p w14:paraId="3604A69D" w14:textId="57D41194" w:rsidR="00F63B36" w:rsidRPr="001F7D01" w:rsidRDefault="00F63B36" w:rsidP="007F67CC">
            <w:pPr>
              <w:rPr>
                <w:rFonts w:ascii="Arial" w:eastAsia="Times New Roman" w:hAnsi="Arial" w:cs="Arial"/>
                <w:lang w:eastAsia="pl-PL"/>
              </w:rPr>
            </w:pPr>
            <w:r w:rsidRPr="000F6A89">
              <w:rPr>
                <w:rFonts w:ascii="Arial" w:eastAsia="Times New Roman" w:hAnsi="Arial" w:cs="Arial"/>
                <w:lang w:eastAsia="pl-PL"/>
              </w:rPr>
              <w:t>Wskaźnik dotyczy liczby turystów korzystających ze szlaków kajakowych. W wyliczeniu należy przyjąć, że średnio w kajaku jest dwoje turystów (uśrednienie wynika z tego, że kajaków jedno i trzyosobowych jest relatywnie niewiele, a wartości te, jako odchylenie od wartości średniej będą się znosić). Osiągnięta wartość wskaźnika będzie podawana na podstawie pomiarów dokonywanych w punkach węzłowych szlaku (dla wypraw kajakowych krótkich, średniodystansowych i długodystansowych) w bezpośredniej lokalizacji punktów zbornych, aby zmierzyć liczbę kajaków spławianych / zdawanych (w zależności od przyjętego systemu liczenia). Wartość docelowa jest określona dla roku od zakończenia projektu.</w:t>
            </w:r>
            <w:r w:rsidR="005F7A93">
              <w:t xml:space="preserve"> </w:t>
            </w:r>
            <w:r w:rsidR="001F7D01">
              <w:br/>
            </w:r>
            <w:r w:rsidR="001F7D01">
              <w:rPr>
                <w:rFonts w:ascii="Arial" w:eastAsia="Times New Roman" w:hAnsi="Arial" w:cs="Arial"/>
                <w:lang w:eastAsia="pl-PL"/>
              </w:rPr>
              <w:t>Wyjaśnienie:</w:t>
            </w:r>
            <w:r w:rsidR="001F7D01">
              <w:rPr>
                <w:rFonts w:ascii="Arial" w:eastAsia="Times New Roman" w:hAnsi="Arial" w:cs="Arial"/>
                <w:lang w:eastAsia="pl-PL"/>
              </w:rPr>
              <w:br/>
            </w:r>
            <w:r w:rsidR="005F7A93" w:rsidRPr="005F7A93">
              <w:rPr>
                <w:rFonts w:ascii="Arial" w:eastAsia="Times New Roman" w:hAnsi="Arial" w:cs="Arial"/>
                <w:lang w:eastAsia="pl-PL"/>
              </w:rPr>
              <w:t>Przez "turystę" należy rozumieć każdą osobę korzystającą ze wspartych szlaków kajakowych.</w:t>
            </w:r>
          </w:p>
        </w:tc>
      </w:tr>
    </w:tbl>
    <w:p w14:paraId="69FC92D4" w14:textId="5E7A2928" w:rsidR="00A71941" w:rsidRPr="000F6A89" w:rsidRDefault="00A71941" w:rsidP="00FC07AA">
      <w:pPr>
        <w:pStyle w:val="Nagwek3"/>
        <w:numPr>
          <w:ilvl w:val="0"/>
          <w:numId w:val="20"/>
        </w:numPr>
        <w:rPr>
          <w:color w:val="auto"/>
        </w:rPr>
      </w:pPr>
      <w:r w:rsidRPr="000F6A89">
        <w:rPr>
          <w:color w:val="auto"/>
        </w:rPr>
        <w:t>Informacje dotyczące wyboru wskaźników.</w:t>
      </w:r>
    </w:p>
    <w:p w14:paraId="30F4EE63" w14:textId="74C63688" w:rsidR="006229D7" w:rsidRPr="000F6A89" w:rsidRDefault="00A71941" w:rsidP="003B27A5">
      <w:pPr>
        <w:ind w:left="567"/>
        <w:rPr>
          <w:rFonts w:ascii="Arial" w:hAnsi="Arial" w:cs="Arial"/>
        </w:rPr>
      </w:pPr>
      <w:r w:rsidRPr="000F6A89">
        <w:rPr>
          <w:rFonts w:ascii="Arial" w:hAnsi="Arial" w:cs="Arial"/>
          <w:lang w:eastAsia="ko-KR"/>
        </w:rPr>
        <w:t xml:space="preserve">1. </w:t>
      </w:r>
      <w:r w:rsidR="00A00E09" w:rsidRPr="000F6A89">
        <w:rPr>
          <w:rFonts w:ascii="Arial" w:hAnsi="Arial" w:cs="Arial"/>
          <w:lang w:eastAsia="ko-KR"/>
        </w:rPr>
        <w:t>Planowane przedsięwzięcie należy opisać za pomocą wskaźników ustalonych dla danego naboru wniosków o dofinansowanie, zgodnie powyższą listą.</w:t>
      </w:r>
      <w:r w:rsidR="00A00E09" w:rsidRPr="000F6A89">
        <w:rPr>
          <w:rFonts w:ascii="Arial" w:hAnsi="Arial" w:cs="Arial"/>
        </w:rPr>
        <w:t xml:space="preserve"> </w:t>
      </w:r>
      <w:r w:rsidR="00721E52" w:rsidRPr="000F6A89">
        <w:rPr>
          <w:rFonts w:ascii="Arial" w:hAnsi="Arial" w:cs="Arial"/>
        </w:rPr>
        <w:br/>
      </w:r>
      <w:r w:rsidR="00721E52" w:rsidRPr="000F6A89">
        <w:rPr>
          <w:rFonts w:ascii="Arial" w:hAnsi="Arial" w:cs="Arial"/>
          <w:lang w:eastAsia="ko-KR"/>
        </w:rPr>
        <w:t xml:space="preserve">2. </w:t>
      </w:r>
      <w:r w:rsidR="00A00E09" w:rsidRPr="000F6A89">
        <w:rPr>
          <w:rFonts w:ascii="Arial" w:hAnsi="Arial" w:cs="Arial"/>
          <w:lang w:eastAsia="ko-KR"/>
        </w:rPr>
        <w:t xml:space="preserve">Wskaźniki </w:t>
      </w:r>
      <w:r w:rsidR="00A00E09" w:rsidRPr="000F6A89">
        <w:rPr>
          <w:rFonts w:ascii="Arial" w:hAnsi="Arial" w:cs="Arial"/>
          <w:u w:val="single"/>
          <w:lang w:eastAsia="ko-KR"/>
        </w:rPr>
        <w:t>produktu</w:t>
      </w:r>
      <w:r w:rsidR="00A00E09" w:rsidRPr="000F6A89">
        <w:rPr>
          <w:rFonts w:ascii="Arial" w:hAnsi="Arial" w:cs="Arial"/>
          <w:lang w:eastAsia="ko-KR"/>
        </w:rPr>
        <w:t xml:space="preserve"> odnoszą się do </w:t>
      </w:r>
      <w:r w:rsidR="00A00E09" w:rsidRPr="000F6A89">
        <w:rPr>
          <w:rFonts w:ascii="Arial" w:hAnsi="Arial" w:cs="Arial"/>
        </w:rPr>
        <w:t>bezpośrednich, materialnych efektów realizacji przedsięwzięcia, które można zmierzyć konkretnymi wielkościami fizycznymi.</w:t>
      </w:r>
      <w:r w:rsidR="000C2340" w:rsidRPr="000F6A89">
        <w:rPr>
          <w:rFonts w:ascii="Arial" w:hAnsi="Arial" w:cs="Arial"/>
        </w:rPr>
        <w:t xml:space="preserve"> Powiązane są bezpośrednio z wydatkami ponoszonymi w projekcie.</w:t>
      </w:r>
      <w:r w:rsidR="00A00E09" w:rsidRPr="000F6A89">
        <w:rPr>
          <w:rFonts w:ascii="Arial" w:hAnsi="Arial" w:cs="Arial"/>
        </w:rPr>
        <w:t xml:space="preserve"> Wartości uzyskanych produktów wynikać będą najczęściej z protokołów odbioru robót, dostaw i usług, inwentaryzacji geodezyjnej powykonawczej i innych dokumentów związanych z rozliczeniami inwestora z wykonawcą. Wskaźniki produktu występują z dniem odbioru i</w:t>
      </w:r>
      <w:r w:rsidR="003B27A5" w:rsidRPr="000F6A89">
        <w:rPr>
          <w:rFonts w:ascii="Arial" w:hAnsi="Arial" w:cs="Arial"/>
        </w:rPr>
        <w:t xml:space="preserve"> </w:t>
      </w:r>
      <w:r w:rsidR="00A00E09" w:rsidRPr="000F6A89">
        <w:rPr>
          <w:rFonts w:ascii="Arial" w:hAnsi="Arial" w:cs="Arial"/>
        </w:rPr>
        <w:t>przekazania inwestycji do użytkowania.</w:t>
      </w:r>
      <w:r w:rsidR="00721E52" w:rsidRPr="000F6A89">
        <w:rPr>
          <w:rFonts w:ascii="Arial" w:hAnsi="Arial" w:cs="Arial"/>
        </w:rPr>
        <w:br/>
        <w:t xml:space="preserve">3. </w:t>
      </w:r>
      <w:r w:rsidR="00A00E09" w:rsidRPr="000F6A89">
        <w:rPr>
          <w:rFonts w:ascii="Arial" w:hAnsi="Arial" w:cs="Arial"/>
          <w:u w:val="single"/>
        </w:rPr>
        <w:t>Rezultaty</w:t>
      </w:r>
      <w:r w:rsidR="00A00E09" w:rsidRPr="000F6A89">
        <w:rPr>
          <w:rFonts w:ascii="Arial" w:hAnsi="Arial" w:cs="Arial"/>
        </w:rPr>
        <w:t xml:space="preserve"> opisują wpływ zrealizowanego przedsięwzięcia na grupy docelowe (np. </w:t>
      </w:r>
      <w:r w:rsidR="000C2340" w:rsidRPr="000F6A89">
        <w:rPr>
          <w:rFonts w:ascii="Arial" w:hAnsi="Arial" w:cs="Arial"/>
          <w:bCs/>
        </w:rPr>
        <w:t>Liczba osób odwiedzających obiekty kulturalne i turystyczne objęte wsparciem</w:t>
      </w:r>
      <w:r w:rsidR="006F578F" w:rsidRPr="000F6A89">
        <w:rPr>
          <w:rFonts w:ascii="Arial" w:hAnsi="Arial" w:cs="Arial"/>
        </w:rPr>
        <w:t xml:space="preserve">) </w:t>
      </w:r>
      <w:r w:rsidR="000B7F1A" w:rsidRPr="000F6A89">
        <w:rPr>
          <w:rFonts w:ascii="Arial" w:hAnsi="Arial" w:cs="Arial"/>
        </w:rPr>
        <w:t>uzyskany po zakończeniu realizacji projektu</w:t>
      </w:r>
      <w:r w:rsidR="000C2340" w:rsidRPr="000F6A89">
        <w:rPr>
          <w:rFonts w:ascii="Arial" w:hAnsi="Arial" w:cs="Arial"/>
        </w:rPr>
        <w:t>.</w:t>
      </w:r>
      <w:r w:rsidR="00721E52" w:rsidRPr="000F6A89">
        <w:rPr>
          <w:rFonts w:ascii="Arial" w:hAnsi="Arial" w:cs="Arial"/>
        </w:rPr>
        <w:br/>
      </w:r>
      <w:r w:rsidR="00A00E09" w:rsidRPr="000F6A89">
        <w:rPr>
          <w:rFonts w:ascii="Arial" w:hAnsi="Arial" w:cs="Arial"/>
        </w:rPr>
        <w:t>Wsk</w:t>
      </w:r>
      <w:r w:rsidR="006F578F" w:rsidRPr="000F6A89">
        <w:rPr>
          <w:rFonts w:ascii="Arial" w:hAnsi="Arial" w:cs="Arial"/>
        </w:rPr>
        <w:t xml:space="preserve">aźniki rezultatów są niezbędne </w:t>
      </w:r>
      <w:r w:rsidR="00A00E09" w:rsidRPr="000F6A89">
        <w:rPr>
          <w:rFonts w:ascii="Arial" w:hAnsi="Arial" w:cs="Arial"/>
        </w:rPr>
        <w:t>do monitorowania efektów realizacji projektów i Programu.</w:t>
      </w:r>
      <w:r w:rsidR="00A00E09" w:rsidRPr="000F6A89">
        <w:rPr>
          <w:rFonts w:ascii="Arial" w:hAnsi="Arial" w:cs="Arial"/>
          <w:lang w:eastAsia="ko-KR"/>
        </w:rPr>
        <w:t xml:space="preserve"> </w:t>
      </w:r>
      <w:r w:rsidR="00A00E09" w:rsidRPr="000F6A89">
        <w:rPr>
          <w:rFonts w:ascii="Arial" w:hAnsi="Arial" w:cs="Arial"/>
        </w:rPr>
        <w:t>Wartości należy podać zgodnie z</w:t>
      </w:r>
      <w:r w:rsidR="00A973A3" w:rsidRPr="000F6A89">
        <w:rPr>
          <w:rFonts w:ascii="Arial" w:hAnsi="Arial" w:cs="Arial"/>
        </w:rPr>
        <w:t xml:space="preserve"> </w:t>
      </w:r>
      <w:r w:rsidR="00A00E09" w:rsidRPr="000F6A89">
        <w:rPr>
          <w:rFonts w:ascii="Arial" w:hAnsi="Arial" w:cs="Arial"/>
        </w:rPr>
        <w:t>ustaloną dla danego wskaźnika jednostką miary.</w:t>
      </w:r>
      <w:r w:rsidR="00721E52" w:rsidRPr="000F6A89">
        <w:rPr>
          <w:rFonts w:ascii="Arial" w:hAnsi="Arial" w:cs="Arial"/>
        </w:rPr>
        <w:br/>
        <w:t xml:space="preserve">4. </w:t>
      </w:r>
      <w:r w:rsidR="00A00E09" w:rsidRPr="000F6A89">
        <w:rPr>
          <w:rFonts w:ascii="Arial" w:hAnsi="Arial" w:cs="Arial"/>
        </w:rPr>
        <w:t>Wskaźniki należy oszacować rzetelnie mając na uwadze, że Wnioskodawca jest zobowiązany do monitorowania postępu w zakresie ich osiągania oraz będzie rozliczany z ich wypełnienia.</w:t>
      </w:r>
      <w:r w:rsidR="00721E52" w:rsidRPr="000F6A89">
        <w:rPr>
          <w:rFonts w:ascii="Arial" w:hAnsi="Arial" w:cs="Arial"/>
        </w:rPr>
        <w:br/>
        <w:t xml:space="preserve">5. </w:t>
      </w:r>
      <w:r w:rsidR="009A6E89" w:rsidRPr="000F6A89">
        <w:rPr>
          <w:rFonts w:ascii="Arial" w:hAnsi="Arial" w:cs="Arial"/>
        </w:rPr>
        <w:t>Dla każdego projektu należy obligatoryjnie wybrać wszystkie kluczowe wskaźniki produktu i rezultatu adekwatne do zakresu i celu projektu.</w:t>
      </w:r>
      <w:r w:rsidR="00721E52" w:rsidRPr="000F6A89">
        <w:rPr>
          <w:rFonts w:ascii="Arial" w:hAnsi="Arial" w:cs="Arial"/>
        </w:rPr>
        <w:br/>
        <w:t xml:space="preserve">6. </w:t>
      </w:r>
      <w:r w:rsidR="00A00E09" w:rsidRPr="000F6A89">
        <w:rPr>
          <w:rFonts w:ascii="Arial" w:hAnsi="Arial" w:cs="Arial"/>
        </w:rPr>
        <w:t>Dodatkowe informacje na temat wskaźników podano w Instrukcji wypełniania wniosku</w:t>
      </w:r>
      <w:r w:rsidR="000C2340" w:rsidRPr="000F6A89">
        <w:rPr>
          <w:rFonts w:ascii="Arial" w:hAnsi="Arial" w:cs="Arial"/>
        </w:rPr>
        <w:t>.</w:t>
      </w:r>
      <w:r w:rsidR="00A00E09" w:rsidRPr="000F6A89">
        <w:rPr>
          <w:rFonts w:ascii="Arial" w:hAnsi="Arial" w:cs="Arial"/>
        </w:rPr>
        <w:t xml:space="preserve"> </w:t>
      </w:r>
    </w:p>
    <w:sectPr w:rsidR="006229D7" w:rsidRPr="000F6A89" w:rsidSect="00BA2F5A">
      <w:headerReference w:type="default" r:id="rId8"/>
      <w:footerReference w:type="even" r:id="rId9"/>
      <w:footerReference w:type="default" r:id="rId10"/>
      <w:pgSz w:w="16838" w:h="11906" w:orient="landscape"/>
      <w:pgMar w:top="1418" w:right="1258" w:bottom="1077" w:left="1079"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391DC" w14:textId="77777777" w:rsidR="002D5342" w:rsidRDefault="002D5342" w:rsidP="00E865C7">
      <w:r>
        <w:separator/>
      </w:r>
    </w:p>
  </w:endnote>
  <w:endnote w:type="continuationSeparator" w:id="0">
    <w:p w14:paraId="61FD1F4F" w14:textId="77777777" w:rsidR="002D5342" w:rsidRDefault="002D5342" w:rsidP="00E8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A2C1E" w14:textId="77777777" w:rsidR="00DB0D2C" w:rsidRDefault="00FD2510" w:rsidP="00E04B64">
    <w:pPr>
      <w:pStyle w:val="Stopka"/>
      <w:framePr w:wrap="around" w:vAnchor="text" w:hAnchor="margin" w:xAlign="right" w:y="1"/>
      <w:rPr>
        <w:rStyle w:val="Numerstrony"/>
      </w:rPr>
    </w:pPr>
    <w:r>
      <w:rPr>
        <w:rStyle w:val="Numerstrony"/>
      </w:rPr>
      <w:fldChar w:fldCharType="begin"/>
    </w:r>
    <w:r w:rsidR="00DB0D2C">
      <w:rPr>
        <w:rStyle w:val="Numerstrony"/>
      </w:rPr>
      <w:instrText xml:space="preserve">PAGE  </w:instrText>
    </w:r>
    <w:r>
      <w:rPr>
        <w:rStyle w:val="Numerstrony"/>
      </w:rPr>
      <w:fldChar w:fldCharType="end"/>
    </w:r>
  </w:p>
  <w:p w14:paraId="2DEB59E9" w14:textId="77777777" w:rsidR="00DB0D2C" w:rsidRDefault="00DB0D2C" w:rsidP="00E04B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28B9" w14:textId="2C126CAE" w:rsidR="00DB0D2C" w:rsidRDefault="00FD2510" w:rsidP="00E04B64">
    <w:pPr>
      <w:pStyle w:val="Stopka"/>
      <w:framePr w:wrap="around" w:vAnchor="text" w:hAnchor="margin" w:xAlign="right" w:y="1"/>
      <w:rPr>
        <w:rStyle w:val="Numerstrony"/>
      </w:rPr>
    </w:pPr>
    <w:r>
      <w:rPr>
        <w:rStyle w:val="Numerstrony"/>
      </w:rPr>
      <w:fldChar w:fldCharType="begin"/>
    </w:r>
    <w:r w:rsidR="00DB0D2C">
      <w:rPr>
        <w:rStyle w:val="Numerstrony"/>
      </w:rPr>
      <w:instrText xml:space="preserve">PAGE  </w:instrText>
    </w:r>
    <w:r>
      <w:rPr>
        <w:rStyle w:val="Numerstrony"/>
      </w:rPr>
      <w:fldChar w:fldCharType="separate"/>
    </w:r>
    <w:r w:rsidR="00B82347">
      <w:rPr>
        <w:rStyle w:val="Numerstrony"/>
        <w:noProof/>
      </w:rPr>
      <w:t>8</w:t>
    </w:r>
    <w:r>
      <w:rPr>
        <w:rStyle w:val="Numerstrony"/>
      </w:rPr>
      <w:fldChar w:fldCharType="end"/>
    </w:r>
  </w:p>
  <w:p w14:paraId="2D522949" w14:textId="77777777" w:rsidR="00DB0D2C" w:rsidRDefault="00DB0D2C" w:rsidP="00E04B6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7E346" w14:textId="77777777" w:rsidR="002D5342" w:rsidRDefault="002D5342" w:rsidP="00E865C7">
      <w:r>
        <w:separator/>
      </w:r>
    </w:p>
  </w:footnote>
  <w:footnote w:type="continuationSeparator" w:id="0">
    <w:p w14:paraId="1A38D021" w14:textId="77777777" w:rsidR="002D5342" w:rsidRDefault="002D5342" w:rsidP="00E86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33C3" w14:textId="62A1CD78" w:rsidR="00DB0D2C" w:rsidRDefault="00097FED">
    <w:pPr>
      <w:pStyle w:val="Nagwek"/>
      <w:jc w:val="center"/>
      <w:rPr>
        <w:rFonts w:ascii="Arial" w:hAnsi="Arial" w:cs="Arial"/>
      </w:rPr>
    </w:pPr>
    <w:r>
      <w:rPr>
        <w:noProof/>
        <w:lang w:eastAsia="pl-PL"/>
      </w:rPr>
      <w:drawing>
        <wp:inline distT="0" distB="0" distL="0" distR="0" wp14:anchorId="7454728C" wp14:editId="7C0A2134">
          <wp:extent cx="7767528" cy="626745"/>
          <wp:effectExtent l="0" t="0" r="0" b="0"/>
          <wp:docPr id="7" name="Obraz 7"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rp-ue-pdk-FE-2021-2027-dla-Podkarpacia-poziomo.png"/>
                  <pic:cNvPicPr/>
                </pic:nvPicPr>
                <pic:blipFill>
                  <a:blip r:embed="rId1">
                    <a:extLst>
                      <a:ext uri="{28A0092B-C50C-407E-A947-70E740481C1C}">
                        <a14:useLocalDpi xmlns:a14="http://schemas.microsoft.com/office/drawing/2010/main" val="0"/>
                      </a:ext>
                    </a:extLst>
                  </a:blip>
                  <a:stretch>
                    <a:fillRect/>
                  </a:stretch>
                </pic:blipFill>
                <pic:spPr>
                  <a:xfrm>
                    <a:off x="0" y="0"/>
                    <a:ext cx="7769415" cy="6268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9A3"/>
    <w:multiLevelType w:val="hybridMultilevel"/>
    <w:tmpl w:val="4C6C38E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1D316B"/>
    <w:multiLevelType w:val="hybridMultilevel"/>
    <w:tmpl w:val="B7ACD08E"/>
    <w:lvl w:ilvl="0" w:tplc="4E9407FE">
      <w:start w:val="1"/>
      <w:numFmt w:val="decimal"/>
      <w:lvlText w:val="%1."/>
      <w:lvlJc w:val="left"/>
      <w:pPr>
        <w:ind w:left="720" w:hanging="360"/>
      </w:pPr>
      <w:rPr>
        <w:rFonts w:ascii="Arial" w:eastAsiaTheme="minorEastAsia"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294BFD"/>
    <w:multiLevelType w:val="hybridMultilevel"/>
    <w:tmpl w:val="2658709C"/>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D7761"/>
    <w:multiLevelType w:val="hybridMultilevel"/>
    <w:tmpl w:val="8D64C734"/>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2B784E"/>
    <w:multiLevelType w:val="hybridMultilevel"/>
    <w:tmpl w:val="43265CAA"/>
    <w:lvl w:ilvl="0" w:tplc="A09C2D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1D38F2"/>
    <w:multiLevelType w:val="hybridMultilevel"/>
    <w:tmpl w:val="2258027C"/>
    <w:lvl w:ilvl="0" w:tplc="75DE49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AE4928"/>
    <w:multiLevelType w:val="hybridMultilevel"/>
    <w:tmpl w:val="B17466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74152E7"/>
    <w:multiLevelType w:val="hybridMultilevel"/>
    <w:tmpl w:val="DE74C736"/>
    <w:lvl w:ilvl="0" w:tplc="25D826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57532A"/>
    <w:multiLevelType w:val="hybridMultilevel"/>
    <w:tmpl w:val="35FC62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E17285"/>
    <w:multiLevelType w:val="hybridMultilevel"/>
    <w:tmpl w:val="3D728842"/>
    <w:lvl w:ilvl="0" w:tplc="9E50E0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012A0D"/>
    <w:multiLevelType w:val="hybridMultilevel"/>
    <w:tmpl w:val="24FC37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7707BA"/>
    <w:multiLevelType w:val="hybridMultilevel"/>
    <w:tmpl w:val="1090D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4C44E1E"/>
    <w:multiLevelType w:val="hybridMultilevel"/>
    <w:tmpl w:val="472487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713E5B"/>
    <w:multiLevelType w:val="hybridMultilevel"/>
    <w:tmpl w:val="D8F245C8"/>
    <w:lvl w:ilvl="0" w:tplc="D5FEEA0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15:restartNumberingAfterBreak="0">
    <w:nsid w:val="51043FF6"/>
    <w:multiLevelType w:val="hybridMultilevel"/>
    <w:tmpl w:val="3D728842"/>
    <w:lvl w:ilvl="0" w:tplc="9E50E0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307570"/>
    <w:multiLevelType w:val="hybridMultilevel"/>
    <w:tmpl w:val="570AAD08"/>
    <w:lvl w:ilvl="0" w:tplc="CE1A6C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8DF2009"/>
    <w:multiLevelType w:val="hybridMultilevel"/>
    <w:tmpl w:val="27A8B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6E1B57"/>
    <w:multiLevelType w:val="hybridMultilevel"/>
    <w:tmpl w:val="1204A27C"/>
    <w:lvl w:ilvl="0" w:tplc="07849BC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8" w15:restartNumberingAfterBreak="0">
    <w:nsid w:val="6CA53E66"/>
    <w:multiLevelType w:val="hybridMultilevel"/>
    <w:tmpl w:val="3300E3F4"/>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6CED0704"/>
    <w:multiLevelType w:val="hybridMultilevel"/>
    <w:tmpl w:val="CD3620F8"/>
    <w:lvl w:ilvl="0" w:tplc="D5FEE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EE26CE"/>
    <w:multiLevelType w:val="hybridMultilevel"/>
    <w:tmpl w:val="E2440C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35550D"/>
    <w:multiLevelType w:val="hybridMultilevel"/>
    <w:tmpl w:val="13E24D48"/>
    <w:lvl w:ilvl="0" w:tplc="6E4CE0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0"/>
  </w:num>
  <w:num w:numId="5">
    <w:abstractNumId w:val="8"/>
  </w:num>
  <w:num w:numId="6">
    <w:abstractNumId w:val="1"/>
  </w:num>
  <w:num w:numId="7">
    <w:abstractNumId w:val="3"/>
  </w:num>
  <w:num w:numId="8">
    <w:abstractNumId w:val="5"/>
  </w:num>
  <w:num w:numId="9">
    <w:abstractNumId w:val="4"/>
  </w:num>
  <w:num w:numId="10">
    <w:abstractNumId w:val="9"/>
  </w:num>
  <w:num w:numId="11">
    <w:abstractNumId w:val="15"/>
  </w:num>
  <w:num w:numId="12">
    <w:abstractNumId w:val="14"/>
  </w:num>
  <w:num w:numId="13">
    <w:abstractNumId w:val="19"/>
  </w:num>
  <w:num w:numId="14">
    <w:abstractNumId w:val="11"/>
  </w:num>
  <w:num w:numId="15">
    <w:abstractNumId w:val="18"/>
  </w:num>
  <w:num w:numId="16">
    <w:abstractNumId w:val="21"/>
  </w:num>
  <w:num w:numId="17">
    <w:abstractNumId w:val="17"/>
  </w:num>
  <w:num w:numId="18">
    <w:abstractNumId w:val="2"/>
  </w:num>
  <w:num w:numId="19">
    <w:abstractNumId w:val="20"/>
  </w:num>
  <w:num w:numId="20">
    <w:abstractNumId w:val="10"/>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557"/>
    <w:rsid w:val="000045FF"/>
    <w:rsid w:val="0000794C"/>
    <w:rsid w:val="000100DB"/>
    <w:rsid w:val="00010F79"/>
    <w:rsid w:val="00011C75"/>
    <w:rsid w:val="0001519B"/>
    <w:rsid w:val="000152F5"/>
    <w:rsid w:val="00020143"/>
    <w:rsid w:val="000312A3"/>
    <w:rsid w:val="00034F69"/>
    <w:rsid w:val="00037439"/>
    <w:rsid w:val="0004444C"/>
    <w:rsid w:val="00053F23"/>
    <w:rsid w:val="00060CDF"/>
    <w:rsid w:val="00074198"/>
    <w:rsid w:val="00075468"/>
    <w:rsid w:val="00094BB7"/>
    <w:rsid w:val="00097FED"/>
    <w:rsid w:val="000A7369"/>
    <w:rsid w:val="000B7F1A"/>
    <w:rsid w:val="000C198C"/>
    <w:rsid w:val="000C2340"/>
    <w:rsid w:val="000C2F25"/>
    <w:rsid w:val="000C3ED9"/>
    <w:rsid w:val="000C64AA"/>
    <w:rsid w:val="000D1A94"/>
    <w:rsid w:val="000D2CEC"/>
    <w:rsid w:val="000E1B8E"/>
    <w:rsid w:val="000E3D9A"/>
    <w:rsid w:val="000E53FE"/>
    <w:rsid w:val="000E63D4"/>
    <w:rsid w:val="000E7E2C"/>
    <w:rsid w:val="000F1B18"/>
    <w:rsid w:val="000F1CB6"/>
    <w:rsid w:val="000F5AD1"/>
    <w:rsid w:val="000F6A89"/>
    <w:rsid w:val="00104BFF"/>
    <w:rsid w:val="0010795F"/>
    <w:rsid w:val="00111641"/>
    <w:rsid w:val="00117D9D"/>
    <w:rsid w:val="001248CC"/>
    <w:rsid w:val="0012614B"/>
    <w:rsid w:val="0012780A"/>
    <w:rsid w:val="00134BA7"/>
    <w:rsid w:val="00135261"/>
    <w:rsid w:val="001409FD"/>
    <w:rsid w:val="00142279"/>
    <w:rsid w:val="0014370C"/>
    <w:rsid w:val="001534EE"/>
    <w:rsid w:val="00161A89"/>
    <w:rsid w:val="00167C5D"/>
    <w:rsid w:val="0018395A"/>
    <w:rsid w:val="001943FE"/>
    <w:rsid w:val="001952E5"/>
    <w:rsid w:val="001954AD"/>
    <w:rsid w:val="001A0BF6"/>
    <w:rsid w:val="001A18EC"/>
    <w:rsid w:val="001C6183"/>
    <w:rsid w:val="001D1CE2"/>
    <w:rsid w:val="001D20EA"/>
    <w:rsid w:val="001D2947"/>
    <w:rsid w:val="001D62D5"/>
    <w:rsid w:val="001E036F"/>
    <w:rsid w:val="001E097D"/>
    <w:rsid w:val="001E7968"/>
    <w:rsid w:val="001F7D01"/>
    <w:rsid w:val="002000CC"/>
    <w:rsid w:val="00210557"/>
    <w:rsid w:val="00236850"/>
    <w:rsid w:val="00236A57"/>
    <w:rsid w:val="00263A18"/>
    <w:rsid w:val="00270F61"/>
    <w:rsid w:val="00271740"/>
    <w:rsid w:val="002760C3"/>
    <w:rsid w:val="00281C13"/>
    <w:rsid w:val="00286EA5"/>
    <w:rsid w:val="00292EE8"/>
    <w:rsid w:val="00293719"/>
    <w:rsid w:val="002A358D"/>
    <w:rsid w:val="002A35B2"/>
    <w:rsid w:val="002A64D6"/>
    <w:rsid w:val="002B18A1"/>
    <w:rsid w:val="002C18C7"/>
    <w:rsid w:val="002D5342"/>
    <w:rsid w:val="002E4877"/>
    <w:rsid w:val="002E5681"/>
    <w:rsid w:val="002F1A1D"/>
    <w:rsid w:val="002F38F9"/>
    <w:rsid w:val="0030130F"/>
    <w:rsid w:val="00301320"/>
    <w:rsid w:val="00302445"/>
    <w:rsid w:val="00314EF0"/>
    <w:rsid w:val="0032055E"/>
    <w:rsid w:val="003227CB"/>
    <w:rsid w:val="00323FA3"/>
    <w:rsid w:val="00324CD0"/>
    <w:rsid w:val="00327395"/>
    <w:rsid w:val="00330BFE"/>
    <w:rsid w:val="003337B8"/>
    <w:rsid w:val="00335D6C"/>
    <w:rsid w:val="00341998"/>
    <w:rsid w:val="00345802"/>
    <w:rsid w:val="00346E78"/>
    <w:rsid w:val="00355B80"/>
    <w:rsid w:val="00357C97"/>
    <w:rsid w:val="0036721A"/>
    <w:rsid w:val="00367D7F"/>
    <w:rsid w:val="00371DAA"/>
    <w:rsid w:val="00381F9B"/>
    <w:rsid w:val="00386FD5"/>
    <w:rsid w:val="003943AC"/>
    <w:rsid w:val="003A3AC0"/>
    <w:rsid w:val="003A603E"/>
    <w:rsid w:val="003B27A5"/>
    <w:rsid w:val="003B72F0"/>
    <w:rsid w:val="003C7562"/>
    <w:rsid w:val="003D0E7E"/>
    <w:rsid w:val="003D19C0"/>
    <w:rsid w:val="003D50D1"/>
    <w:rsid w:val="003E4517"/>
    <w:rsid w:val="003E5FE9"/>
    <w:rsid w:val="003E6FBE"/>
    <w:rsid w:val="003F2CCD"/>
    <w:rsid w:val="00401CB5"/>
    <w:rsid w:val="004053B8"/>
    <w:rsid w:val="00410CD2"/>
    <w:rsid w:val="0041612D"/>
    <w:rsid w:val="00440691"/>
    <w:rsid w:val="004522CD"/>
    <w:rsid w:val="00452E1F"/>
    <w:rsid w:val="00454AC5"/>
    <w:rsid w:val="004622E4"/>
    <w:rsid w:val="00466E61"/>
    <w:rsid w:val="00474A5F"/>
    <w:rsid w:val="00476D14"/>
    <w:rsid w:val="00490985"/>
    <w:rsid w:val="00497093"/>
    <w:rsid w:val="004A2F4F"/>
    <w:rsid w:val="004B25D7"/>
    <w:rsid w:val="004B4491"/>
    <w:rsid w:val="004C5A14"/>
    <w:rsid w:val="004D6F21"/>
    <w:rsid w:val="004E1201"/>
    <w:rsid w:val="00500DC8"/>
    <w:rsid w:val="00510B6A"/>
    <w:rsid w:val="0051207E"/>
    <w:rsid w:val="00513A21"/>
    <w:rsid w:val="00517741"/>
    <w:rsid w:val="00521415"/>
    <w:rsid w:val="00527AB2"/>
    <w:rsid w:val="005300F2"/>
    <w:rsid w:val="00533E5C"/>
    <w:rsid w:val="0053489A"/>
    <w:rsid w:val="00537D04"/>
    <w:rsid w:val="005414A6"/>
    <w:rsid w:val="005455D5"/>
    <w:rsid w:val="00546A15"/>
    <w:rsid w:val="00553425"/>
    <w:rsid w:val="00556218"/>
    <w:rsid w:val="00556A8D"/>
    <w:rsid w:val="00561EBF"/>
    <w:rsid w:val="00562F50"/>
    <w:rsid w:val="005650AA"/>
    <w:rsid w:val="00573511"/>
    <w:rsid w:val="00573590"/>
    <w:rsid w:val="00586215"/>
    <w:rsid w:val="0058694B"/>
    <w:rsid w:val="00591EA6"/>
    <w:rsid w:val="0059306F"/>
    <w:rsid w:val="00596B3F"/>
    <w:rsid w:val="005A08DB"/>
    <w:rsid w:val="005B1BA8"/>
    <w:rsid w:val="005B2C1A"/>
    <w:rsid w:val="005B7F36"/>
    <w:rsid w:val="005C15ED"/>
    <w:rsid w:val="005C2433"/>
    <w:rsid w:val="005C3CC2"/>
    <w:rsid w:val="005C7AB3"/>
    <w:rsid w:val="005E5BE3"/>
    <w:rsid w:val="005E5C3D"/>
    <w:rsid w:val="005E688D"/>
    <w:rsid w:val="005F3C9D"/>
    <w:rsid w:val="005F714C"/>
    <w:rsid w:val="005F7A93"/>
    <w:rsid w:val="00607CDD"/>
    <w:rsid w:val="00607F72"/>
    <w:rsid w:val="00610034"/>
    <w:rsid w:val="00616506"/>
    <w:rsid w:val="006211C1"/>
    <w:rsid w:val="006229C3"/>
    <w:rsid w:val="006229D7"/>
    <w:rsid w:val="0062555A"/>
    <w:rsid w:val="00626820"/>
    <w:rsid w:val="0063011C"/>
    <w:rsid w:val="00631BF2"/>
    <w:rsid w:val="006448DA"/>
    <w:rsid w:val="006500B1"/>
    <w:rsid w:val="00655D30"/>
    <w:rsid w:val="0066139C"/>
    <w:rsid w:val="00662A58"/>
    <w:rsid w:val="00670C35"/>
    <w:rsid w:val="00690233"/>
    <w:rsid w:val="006907E5"/>
    <w:rsid w:val="006923F5"/>
    <w:rsid w:val="0069277E"/>
    <w:rsid w:val="00697FBE"/>
    <w:rsid w:val="006A2313"/>
    <w:rsid w:val="006A5753"/>
    <w:rsid w:val="006A5D19"/>
    <w:rsid w:val="006B2412"/>
    <w:rsid w:val="006B7ADE"/>
    <w:rsid w:val="006C4816"/>
    <w:rsid w:val="006D4A9D"/>
    <w:rsid w:val="006E01A0"/>
    <w:rsid w:val="006E2570"/>
    <w:rsid w:val="006E2C25"/>
    <w:rsid w:val="006F578F"/>
    <w:rsid w:val="00705002"/>
    <w:rsid w:val="0070737F"/>
    <w:rsid w:val="007101D6"/>
    <w:rsid w:val="0071630F"/>
    <w:rsid w:val="007168F0"/>
    <w:rsid w:val="00717642"/>
    <w:rsid w:val="00721E52"/>
    <w:rsid w:val="00730DD8"/>
    <w:rsid w:val="00743B44"/>
    <w:rsid w:val="0075497C"/>
    <w:rsid w:val="00757214"/>
    <w:rsid w:val="007725B9"/>
    <w:rsid w:val="00796AAE"/>
    <w:rsid w:val="007A2517"/>
    <w:rsid w:val="007A35AE"/>
    <w:rsid w:val="007A3601"/>
    <w:rsid w:val="007D4434"/>
    <w:rsid w:val="007D548C"/>
    <w:rsid w:val="007E5211"/>
    <w:rsid w:val="007F67CC"/>
    <w:rsid w:val="0080150D"/>
    <w:rsid w:val="00802F48"/>
    <w:rsid w:val="008042BE"/>
    <w:rsid w:val="00805FD8"/>
    <w:rsid w:val="0081353F"/>
    <w:rsid w:val="00814DDC"/>
    <w:rsid w:val="008167AE"/>
    <w:rsid w:val="00820E79"/>
    <w:rsid w:val="008217EA"/>
    <w:rsid w:val="00826AF3"/>
    <w:rsid w:val="00832551"/>
    <w:rsid w:val="0084447F"/>
    <w:rsid w:val="00846A26"/>
    <w:rsid w:val="008627B4"/>
    <w:rsid w:val="00870604"/>
    <w:rsid w:val="00873C87"/>
    <w:rsid w:val="00877AC1"/>
    <w:rsid w:val="00885873"/>
    <w:rsid w:val="008868CC"/>
    <w:rsid w:val="0088693E"/>
    <w:rsid w:val="00886C7B"/>
    <w:rsid w:val="008A2957"/>
    <w:rsid w:val="008A2B3D"/>
    <w:rsid w:val="008B5CA4"/>
    <w:rsid w:val="008D52D9"/>
    <w:rsid w:val="008D75D9"/>
    <w:rsid w:val="008E3BCE"/>
    <w:rsid w:val="008E4C23"/>
    <w:rsid w:val="008F13AF"/>
    <w:rsid w:val="008F3A78"/>
    <w:rsid w:val="008F3FB2"/>
    <w:rsid w:val="00904E53"/>
    <w:rsid w:val="00917A83"/>
    <w:rsid w:val="00917B2A"/>
    <w:rsid w:val="00954F2B"/>
    <w:rsid w:val="00956AB8"/>
    <w:rsid w:val="009602C4"/>
    <w:rsid w:val="00965642"/>
    <w:rsid w:val="00967C94"/>
    <w:rsid w:val="00975F35"/>
    <w:rsid w:val="009851A6"/>
    <w:rsid w:val="00986E6B"/>
    <w:rsid w:val="009A117D"/>
    <w:rsid w:val="009A4B6B"/>
    <w:rsid w:val="009A6E89"/>
    <w:rsid w:val="009B532C"/>
    <w:rsid w:val="009C41B1"/>
    <w:rsid w:val="009C6524"/>
    <w:rsid w:val="009D2570"/>
    <w:rsid w:val="009D5796"/>
    <w:rsid w:val="009E0D4A"/>
    <w:rsid w:val="009E0F27"/>
    <w:rsid w:val="009E158B"/>
    <w:rsid w:val="009E41D1"/>
    <w:rsid w:val="009F2F08"/>
    <w:rsid w:val="009F4115"/>
    <w:rsid w:val="009F50BC"/>
    <w:rsid w:val="009F60B3"/>
    <w:rsid w:val="009F69BB"/>
    <w:rsid w:val="00A00922"/>
    <w:rsid w:val="00A00E09"/>
    <w:rsid w:val="00A0570B"/>
    <w:rsid w:val="00A0795C"/>
    <w:rsid w:val="00A10CEB"/>
    <w:rsid w:val="00A1246C"/>
    <w:rsid w:val="00A17F15"/>
    <w:rsid w:val="00A27E70"/>
    <w:rsid w:val="00A31F69"/>
    <w:rsid w:val="00A34212"/>
    <w:rsid w:val="00A36AE0"/>
    <w:rsid w:val="00A36BC0"/>
    <w:rsid w:val="00A373EF"/>
    <w:rsid w:val="00A50920"/>
    <w:rsid w:val="00A53A89"/>
    <w:rsid w:val="00A556F0"/>
    <w:rsid w:val="00A6219D"/>
    <w:rsid w:val="00A62FEC"/>
    <w:rsid w:val="00A71941"/>
    <w:rsid w:val="00A7591E"/>
    <w:rsid w:val="00A76B94"/>
    <w:rsid w:val="00A770DD"/>
    <w:rsid w:val="00A8090E"/>
    <w:rsid w:val="00A833D1"/>
    <w:rsid w:val="00A839B6"/>
    <w:rsid w:val="00A847FF"/>
    <w:rsid w:val="00A85DA9"/>
    <w:rsid w:val="00A86534"/>
    <w:rsid w:val="00A946D6"/>
    <w:rsid w:val="00A94D41"/>
    <w:rsid w:val="00A973A3"/>
    <w:rsid w:val="00AA55EC"/>
    <w:rsid w:val="00AB3525"/>
    <w:rsid w:val="00AC036C"/>
    <w:rsid w:val="00AC0E5E"/>
    <w:rsid w:val="00AC3753"/>
    <w:rsid w:val="00AD24C3"/>
    <w:rsid w:val="00AE5382"/>
    <w:rsid w:val="00AF036D"/>
    <w:rsid w:val="00AF5A85"/>
    <w:rsid w:val="00B041A0"/>
    <w:rsid w:val="00B04905"/>
    <w:rsid w:val="00B04FCF"/>
    <w:rsid w:val="00B0565E"/>
    <w:rsid w:val="00B1031D"/>
    <w:rsid w:val="00B10E6B"/>
    <w:rsid w:val="00B13367"/>
    <w:rsid w:val="00B14076"/>
    <w:rsid w:val="00B37824"/>
    <w:rsid w:val="00B43B05"/>
    <w:rsid w:val="00B46933"/>
    <w:rsid w:val="00B730B1"/>
    <w:rsid w:val="00B82272"/>
    <w:rsid w:val="00B82347"/>
    <w:rsid w:val="00B9790C"/>
    <w:rsid w:val="00BA1553"/>
    <w:rsid w:val="00BA2F5A"/>
    <w:rsid w:val="00BA6517"/>
    <w:rsid w:val="00BA79F6"/>
    <w:rsid w:val="00BB2A13"/>
    <w:rsid w:val="00BB4F45"/>
    <w:rsid w:val="00BC2D45"/>
    <w:rsid w:val="00BC6D95"/>
    <w:rsid w:val="00BD2CED"/>
    <w:rsid w:val="00BD61BE"/>
    <w:rsid w:val="00BD681F"/>
    <w:rsid w:val="00BF129C"/>
    <w:rsid w:val="00BF210B"/>
    <w:rsid w:val="00BF32AA"/>
    <w:rsid w:val="00BF5384"/>
    <w:rsid w:val="00C01799"/>
    <w:rsid w:val="00C07CF7"/>
    <w:rsid w:val="00C119C8"/>
    <w:rsid w:val="00C14107"/>
    <w:rsid w:val="00C14AFD"/>
    <w:rsid w:val="00C24E0C"/>
    <w:rsid w:val="00C25384"/>
    <w:rsid w:val="00C31693"/>
    <w:rsid w:val="00C40AB7"/>
    <w:rsid w:val="00C436E9"/>
    <w:rsid w:val="00C5254C"/>
    <w:rsid w:val="00C73ECA"/>
    <w:rsid w:val="00C76D31"/>
    <w:rsid w:val="00C83431"/>
    <w:rsid w:val="00C8736B"/>
    <w:rsid w:val="00C94649"/>
    <w:rsid w:val="00CA5701"/>
    <w:rsid w:val="00CB045E"/>
    <w:rsid w:val="00CB17AB"/>
    <w:rsid w:val="00CC79AF"/>
    <w:rsid w:val="00CD560A"/>
    <w:rsid w:val="00CD7C38"/>
    <w:rsid w:val="00CF11BB"/>
    <w:rsid w:val="00CF3026"/>
    <w:rsid w:val="00CF6630"/>
    <w:rsid w:val="00D02898"/>
    <w:rsid w:val="00D14D15"/>
    <w:rsid w:val="00D25E4E"/>
    <w:rsid w:val="00D4458A"/>
    <w:rsid w:val="00D445E3"/>
    <w:rsid w:val="00D53CC4"/>
    <w:rsid w:val="00D66ACD"/>
    <w:rsid w:val="00D70932"/>
    <w:rsid w:val="00D72683"/>
    <w:rsid w:val="00D96BA2"/>
    <w:rsid w:val="00DA2818"/>
    <w:rsid w:val="00DA5D56"/>
    <w:rsid w:val="00DB0D2C"/>
    <w:rsid w:val="00DD48EC"/>
    <w:rsid w:val="00DD5750"/>
    <w:rsid w:val="00DE34F5"/>
    <w:rsid w:val="00DE4D40"/>
    <w:rsid w:val="00E005AF"/>
    <w:rsid w:val="00E019CF"/>
    <w:rsid w:val="00E04B64"/>
    <w:rsid w:val="00E06F6C"/>
    <w:rsid w:val="00E10139"/>
    <w:rsid w:val="00E1540B"/>
    <w:rsid w:val="00E155DC"/>
    <w:rsid w:val="00E16BCA"/>
    <w:rsid w:val="00E250B3"/>
    <w:rsid w:val="00E26FA9"/>
    <w:rsid w:val="00E32F9F"/>
    <w:rsid w:val="00E507B7"/>
    <w:rsid w:val="00E722A6"/>
    <w:rsid w:val="00E7267B"/>
    <w:rsid w:val="00E74EBE"/>
    <w:rsid w:val="00E808EA"/>
    <w:rsid w:val="00E80A84"/>
    <w:rsid w:val="00E8357B"/>
    <w:rsid w:val="00E84469"/>
    <w:rsid w:val="00E84600"/>
    <w:rsid w:val="00E865C7"/>
    <w:rsid w:val="00E93E9D"/>
    <w:rsid w:val="00EB1A96"/>
    <w:rsid w:val="00EC1B4D"/>
    <w:rsid w:val="00EC4049"/>
    <w:rsid w:val="00ED114D"/>
    <w:rsid w:val="00ED16EB"/>
    <w:rsid w:val="00ED3449"/>
    <w:rsid w:val="00EE0CE8"/>
    <w:rsid w:val="00EE334B"/>
    <w:rsid w:val="00EF2134"/>
    <w:rsid w:val="00EF7855"/>
    <w:rsid w:val="00F10E58"/>
    <w:rsid w:val="00F20D71"/>
    <w:rsid w:val="00F33069"/>
    <w:rsid w:val="00F43445"/>
    <w:rsid w:val="00F43EDA"/>
    <w:rsid w:val="00F4408C"/>
    <w:rsid w:val="00F551B3"/>
    <w:rsid w:val="00F632A6"/>
    <w:rsid w:val="00F63B36"/>
    <w:rsid w:val="00F72F8C"/>
    <w:rsid w:val="00F82BE1"/>
    <w:rsid w:val="00F84661"/>
    <w:rsid w:val="00F86B20"/>
    <w:rsid w:val="00F90446"/>
    <w:rsid w:val="00F9335B"/>
    <w:rsid w:val="00F96BD2"/>
    <w:rsid w:val="00FA0B22"/>
    <w:rsid w:val="00FA1D4A"/>
    <w:rsid w:val="00FB4CAE"/>
    <w:rsid w:val="00FB5F2B"/>
    <w:rsid w:val="00FC06EB"/>
    <w:rsid w:val="00FC07AA"/>
    <w:rsid w:val="00FC52EF"/>
    <w:rsid w:val="00FD2510"/>
    <w:rsid w:val="00FE3C7E"/>
    <w:rsid w:val="00FE7A8C"/>
    <w:rsid w:val="00FF1E5D"/>
    <w:rsid w:val="00FF2F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38D5ED"/>
  <w15:docId w15:val="{AC767597-1794-4322-A81B-1C40FB9B6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86EA5"/>
  </w:style>
  <w:style w:type="paragraph" w:styleId="Nagwek1">
    <w:name w:val="heading 1"/>
    <w:basedOn w:val="Normalny"/>
    <w:next w:val="Normalny"/>
    <w:link w:val="Nagwek1Znak"/>
    <w:uiPriority w:val="9"/>
    <w:qFormat/>
    <w:rsid w:val="009E0D4A"/>
    <w:pPr>
      <w:keepNext/>
      <w:keepLines/>
      <w:spacing w:before="240" w:after="0" w:line="360" w:lineRule="auto"/>
      <w:outlineLvl w:val="0"/>
    </w:pPr>
    <w:rPr>
      <w:rFonts w:ascii="Arial" w:eastAsiaTheme="majorEastAsia" w:hAnsi="Arial" w:cstheme="majorBidi"/>
      <w:b/>
      <w:color w:val="262626" w:themeColor="text1" w:themeTint="D9"/>
      <w:sz w:val="24"/>
      <w:szCs w:val="32"/>
    </w:rPr>
  </w:style>
  <w:style w:type="paragraph" w:styleId="Nagwek2">
    <w:name w:val="heading 2"/>
    <w:basedOn w:val="Normalny"/>
    <w:next w:val="Normalny"/>
    <w:link w:val="Nagwek2Znak"/>
    <w:uiPriority w:val="9"/>
    <w:unhideWhenUsed/>
    <w:qFormat/>
    <w:rsid w:val="009E0D4A"/>
    <w:pPr>
      <w:keepNext/>
      <w:keepLines/>
      <w:spacing w:before="280" w:after="240" w:line="360" w:lineRule="auto"/>
      <w:outlineLvl w:val="1"/>
    </w:pPr>
    <w:rPr>
      <w:rFonts w:ascii="Arial" w:eastAsiaTheme="majorEastAsia" w:hAnsi="Arial" w:cstheme="majorBidi"/>
      <w:b/>
      <w:color w:val="262626" w:themeColor="text1" w:themeTint="D9"/>
      <w:sz w:val="24"/>
      <w:szCs w:val="28"/>
    </w:rPr>
  </w:style>
  <w:style w:type="paragraph" w:styleId="Nagwek3">
    <w:name w:val="heading 3"/>
    <w:basedOn w:val="Normalny"/>
    <w:next w:val="Normalny"/>
    <w:link w:val="Nagwek3Znak"/>
    <w:uiPriority w:val="9"/>
    <w:unhideWhenUsed/>
    <w:qFormat/>
    <w:rsid w:val="009E0D4A"/>
    <w:pPr>
      <w:keepNext/>
      <w:keepLines/>
      <w:spacing w:before="280" w:after="240" w:line="360" w:lineRule="auto"/>
      <w:outlineLvl w:val="2"/>
    </w:pPr>
    <w:rPr>
      <w:rFonts w:ascii="Arial" w:eastAsiaTheme="majorEastAsia" w:hAnsi="Arial" w:cstheme="majorBidi"/>
      <w:b/>
      <w:color w:val="0D0D0D" w:themeColor="text1" w:themeTint="F2"/>
      <w:sz w:val="24"/>
      <w:szCs w:val="24"/>
    </w:rPr>
  </w:style>
  <w:style w:type="paragraph" w:styleId="Nagwek4">
    <w:name w:val="heading 4"/>
    <w:basedOn w:val="Normalny"/>
    <w:next w:val="Normalny"/>
    <w:link w:val="Nagwek4Znak"/>
    <w:uiPriority w:val="9"/>
    <w:semiHidden/>
    <w:unhideWhenUsed/>
    <w:qFormat/>
    <w:rsid w:val="00286EA5"/>
    <w:pPr>
      <w:keepNext/>
      <w:keepLines/>
      <w:spacing w:before="40" w:after="0"/>
      <w:outlineLvl w:val="3"/>
    </w:pPr>
    <w:rPr>
      <w:i/>
      <w:iCs/>
    </w:rPr>
  </w:style>
  <w:style w:type="paragraph" w:styleId="Nagwek5">
    <w:name w:val="heading 5"/>
    <w:basedOn w:val="Normalny"/>
    <w:next w:val="Normalny"/>
    <w:link w:val="Nagwek5Znak"/>
    <w:uiPriority w:val="9"/>
    <w:semiHidden/>
    <w:unhideWhenUsed/>
    <w:qFormat/>
    <w:rsid w:val="00286EA5"/>
    <w:pPr>
      <w:keepNext/>
      <w:keepLines/>
      <w:spacing w:before="40" w:after="0"/>
      <w:outlineLvl w:val="4"/>
    </w:pPr>
    <w:rPr>
      <w:color w:val="404040" w:themeColor="text1" w:themeTint="BF"/>
    </w:rPr>
  </w:style>
  <w:style w:type="paragraph" w:styleId="Nagwek6">
    <w:name w:val="heading 6"/>
    <w:basedOn w:val="Normalny"/>
    <w:next w:val="Normalny"/>
    <w:link w:val="Nagwek6Znak"/>
    <w:uiPriority w:val="9"/>
    <w:semiHidden/>
    <w:unhideWhenUsed/>
    <w:qFormat/>
    <w:rsid w:val="00286EA5"/>
    <w:pPr>
      <w:keepNext/>
      <w:keepLines/>
      <w:spacing w:before="40" w:after="0"/>
      <w:outlineLvl w:val="5"/>
    </w:pPr>
  </w:style>
  <w:style w:type="paragraph" w:styleId="Nagwek7">
    <w:name w:val="heading 7"/>
    <w:basedOn w:val="Normalny"/>
    <w:next w:val="Normalny"/>
    <w:link w:val="Nagwek7Znak"/>
    <w:uiPriority w:val="9"/>
    <w:semiHidden/>
    <w:unhideWhenUsed/>
    <w:qFormat/>
    <w:rsid w:val="00286EA5"/>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286EA5"/>
    <w:pPr>
      <w:keepNext/>
      <w:keepLines/>
      <w:spacing w:before="40" w:after="0"/>
      <w:outlineLvl w:val="7"/>
    </w:pPr>
    <w:rPr>
      <w:color w:val="262626" w:themeColor="text1" w:themeTint="D9"/>
      <w:sz w:val="21"/>
      <w:szCs w:val="21"/>
    </w:rPr>
  </w:style>
  <w:style w:type="paragraph" w:styleId="Nagwek9">
    <w:name w:val="heading 9"/>
    <w:basedOn w:val="Normalny"/>
    <w:next w:val="Normalny"/>
    <w:link w:val="Nagwek9Znak"/>
    <w:uiPriority w:val="9"/>
    <w:semiHidden/>
    <w:unhideWhenUsed/>
    <w:qFormat/>
    <w:rsid w:val="00286EA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210557"/>
    <w:pPr>
      <w:tabs>
        <w:tab w:val="center" w:pos="4536"/>
        <w:tab w:val="right" w:pos="9072"/>
      </w:tabs>
    </w:pPr>
  </w:style>
  <w:style w:type="character" w:customStyle="1" w:styleId="StopkaZnak">
    <w:name w:val="Stopka Znak"/>
    <w:basedOn w:val="Domylnaczcionkaakapitu"/>
    <w:link w:val="Stopka"/>
    <w:rsid w:val="00210557"/>
    <w:rPr>
      <w:rFonts w:ascii="Times New Roman" w:eastAsia="Times New Roman" w:hAnsi="Times New Roman" w:cs="Times New Roman"/>
      <w:sz w:val="28"/>
      <w:szCs w:val="24"/>
      <w:lang w:eastAsia="pl-PL"/>
    </w:rPr>
  </w:style>
  <w:style w:type="character" w:styleId="Numerstrony">
    <w:name w:val="page number"/>
    <w:basedOn w:val="Domylnaczcionkaakapitu"/>
    <w:rsid w:val="00210557"/>
  </w:style>
  <w:style w:type="paragraph" w:styleId="Nagwek">
    <w:name w:val="header"/>
    <w:basedOn w:val="Normalny"/>
    <w:link w:val="NagwekZnak"/>
    <w:uiPriority w:val="99"/>
    <w:unhideWhenUsed/>
    <w:rsid w:val="00210557"/>
    <w:pPr>
      <w:tabs>
        <w:tab w:val="center" w:pos="4536"/>
        <w:tab w:val="right" w:pos="9072"/>
      </w:tabs>
    </w:pPr>
  </w:style>
  <w:style w:type="character" w:customStyle="1" w:styleId="NagwekZnak">
    <w:name w:val="Nagłówek Znak"/>
    <w:basedOn w:val="Domylnaczcionkaakapitu"/>
    <w:link w:val="Nagwek"/>
    <w:uiPriority w:val="99"/>
    <w:rsid w:val="00210557"/>
    <w:rPr>
      <w:rFonts w:ascii="Times New Roman" w:eastAsia="Times New Roman" w:hAnsi="Times New Roman" w:cs="Times New Roman"/>
      <w:sz w:val="28"/>
      <w:szCs w:val="24"/>
      <w:lang w:eastAsia="pl-PL"/>
    </w:rPr>
  </w:style>
  <w:style w:type="paragraph" w:customStyle="1" w:styleId="Default">
    <w:name w:val="Default"/>
    <w:rsid w:val="00210557"/>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Akapitzlist">
    <w:name w:val="List Paragraph"/>
    <w:basedOn w:val="Normalny"/>
    <w:uiPriority w:val="34"/>
    <w:qFormat/>
    <w:rsid w:val="00210557"/>
    <w:pPr>
      <w:ind w:left="720"/>
      <w:contextualSpacing/>
    </w:pPr>
  </w:style>
  <w:style w:type="paragraph" w:styleId="Tekstdymka">
    <w:name w:val="Balloon Text"/>
    <w:basedOn w:val="Normalny"/>
    <w:link w:val="TekstdymkaZnak"/>
    <w:uiPriority w:val="99"/>
    <w:semiHidden/>
    <w:unhideWhenUsed/>
    <w:rsid w:val="00210557"/>
    <w:rPr>
      <w:rFonts w:ascii="Tahoma" w:hAnsi="Tahoma" w:cs="Tahoma"/>
      <w:sz w:val="16"/>
      <w:szCs w:val="16"/>
    </w:rPr>
  </w:style>
  <w:style w:type="character" w:customStyle="1" w:styleId="TekstdymkaZnak">
    <w:name w:val="Tekst dymka Znak"/>
    <w:basedOn w:val="Domylnaczcionkaakapitu"/>
    <w:link w:val="Tekstdymka"/>
    <w:uiPriority w:val="99"/>
    <w:semiHidden/>
    <w:rsid w:val="00210557"/>
    <w:rPr>
      <w:rFonts w:ascii="Tahoma" w:eastAsia="Times New Roman" w:hAnsi="Tahoma" w:cs="Tahoma"/>
      <w:sz w:val="16"/>
      <w:szCs w:val="16"/>
      <w:lang w:eastAsia="pl-PL"/>
    </w:rPr>
  </w:style>
  <w:style w:type="paragraph" w:styleId="Poprawka">
    <w:name w:val="Revision"/>
    <w:hidden/>
    <w:uiPriority w:val="99"/>
    <w:semiHidden/>
    <w:rsid w:val="000E3D9A"/>
    <w:pPr>
      <w:spacing w:after="0" w:line="240" w:lineRule="auto"/>
    </w:pPr>
    <w:rPr>
      <w:rFonts w:ascii="Times New Roman" w:eastAsia="Times New Roman" w:hAnsi="Times New Roman" w:cs="Times New Roman"/>
      <w:sz w:val="28"/>
      <w:szCs w:val="24"/>
      <w:lang w:eastAsia="pl-PL"/>
    </w:rPr>
  </w:style>
  <w:style w:type="paragraph" w:styleId="Tekstprzypisudolnego">
    <w:name w:val="footnote text"/>
    <w:aliases w:val="Podrozdział,Footnote,Podrozdzia3"/>
    <w:basedOn w:val="Normalny"/>
    <w:link w:val="TekstprzypisudolnegoZnak"/>
    <w:uiPriority w:val="99"/>
    <w:rsid w:val="00263A18"/>
    <w:pPr>
      <w:tabs>
        <w:tab w:val="left" w:pos="284"/>
      </w:tabs>
      <w:overflowPunct w:val="0"/>
      <w:autoSpaceDE w:val="0"/>
      <w:autoSpaceDN w:val="0"/>
      <w:adjustRightInd w:val="0"/>
      <w:ind w:left="284" w:hanging="284"/>
      <w:jc w:val="both"/>
      <w:textAlignment w:val="baseline"/>
    </w:pPr>
    <w:rPr>
      <w:rFonts w:ascii="Arial" w:hAnsi="Arial"/>
      <w:sz w:val="16"/>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263A18"/>
    <w:rPr>
      <w:rFonts w:ascii="Arial" w:eastAsia="Times New Roman" w:hAnsi="Arial" w:cs="Times New Roman"/>
      <w:sz w:val="16"/>
      <w:szCs w:val="20"/>
      <w:lang w:eastAsia="pl-PL"/>
    </w:rPr>
  </w:style>
  <w:style w:type="character" w:styleId="Odwoanieprzypisudolnego">
    <w:name w:val="footnote reference"/>
    <w:aliases w:val="Footnote Reference Number,Odwołanie przypisu,EN Footnote Reference,Times 10 Point,Exposant 3 Point,Footnote symbol,Footnote reference number,note TESI,stylish,Footnote Reference Superscript,Znak Znak11,Footnote Reference/"/>
    <w:rsid w:val="00263A18"/>
    <w:rPr>
      <w:vertAlign w:val="superscript"/>
    </w:rPr>
  </w:style>
  <w:style w:type="character" w:styleId="Odwoaniedokomentarza">
    <w:name w:val="annotation reference"/>
    <w:basedOn w:val="Domylnaczcionkaakapitu"/>
    <w:uiPriority w:val="99"/>
    <w:unhideWhenUsed/>
    <w:rsid w:val="00DE34F5"/>
    <w:rPr>
      <w:sz w:val="16"/>
      <w:szCs w:val="16"/>
    </w:rPr>
  </w:style>
  <w:style w:type="paragraph" w:styleId="Tekstkomentarza">
    <w:name w:val="annotation text"/>
    <w:basedOn w:val="Normalny"/>
    <w:link w:val="TekstkomentarzaZnak"/>
    <w:unhideWhenUsed/>
    <w:rsid w:val="00DE34F5"/>
    <w:rPr>
      <w:sz w:val="20"/>
      <w:szCs w:val="20"/>
    </w:rPr>
  </w:style>
  <w:style w:type="character" w:customStyle="1" w:styleId="TekstkomentarzaZnak">
    <w:name w:val="Tekst komentarza Znak"/>
    <w:basedOn w:val="Domylnaczcionkaakapitu"/>
    <w:link w:val="Tekstkomentarza"/>
    <w:uiPriority w:val="99"/>
    <w:rsid w:val="00DE34F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E34F5"/>
    <w:rPr>
      <w:b/>
      <w:bCs/>
    </w:rPr>
  </w:style>
  <w:style w:type="character" w:customStyle="1" w:styleId="TematkomentarzaZnak">
    <w:name w:val="Temat komentarza Znak"/>
    <w:basedOn w:val="TekstkomentarzaZnak"/>
    <w:link w:val="Tematkomentarza"/>
    <w:uiPriority w:val="99"/>
    <w:semiHidden/>
    <w:rsid w:val="00DE34F5"/>
    <w:rPr>
      <w:rFonts w:ascii="Times New Roman" w:eastAsia="Times New Roman" w:hAnsi="Times New Roman" w:cs="Times New Roman"/>
      <w:b/>
      <w:bCs/>
      <w:sz w:val="20"/>
      <w:szCs w:val="20"/>
      <w:lang w:eastAsia="pl-PL"/>
    </w:rPr>
  </w:style>
  <w:style w:type="character" w:customStyle="1" w:styleId="Nagwek2Znak">
    <w:name w:val="Nagłówek 2 Znak"/>
    <w:basedOn w:val="Domylnaczcionkaakapitu"/>
    <w:link w:val="Nagwek2"/>
    <w:uiPriority w:val="9"/>
    <w:rsid w:val="009E0D4A"/>
    <w:rPr>
      <w:rFonts w:ascii="Arial" w:eastAsiaTheme="majorEastAsia" w:hAnsi="Arial" w:cstheme="majorBidi"/>
      <w:b/>
      <w:color w:val="262626" w:themeColor="text1" w:themeTint="D9"/>
      <w:sz w:val="24"/>
      <w:szCs w:val="28"/>
    </w:rPr>
  </w:style>
  <w:style w:type="paragraph" w:customStyle="1" w:styleId="Standard">
    <w:name w:val="Standard"/>
    <w:rsid w:val="0062555A"/>
    <w:pPr>
      <w:suppressAutoHyphens/>
      <w:autoSpaceDN w:val="0"/>
      <w:spacing w:after="0" w:line="240" w:lineRule="auto"/>
      <w:textAlignment w:val="baseline"/>
    </w:pPr>
    <w:rPr>
      <w:rFonts w:ascii="Times New Roman" w:eastAsia="Times New Roman" w:hAnsi="Times New Roman" w:cs="Times New Roman"/>
      <w:kern w:val="3"/>
      <w:sz w:val="28"/>
      <w:szCs w:val="24"/>
      <w:lang w:eastAsia="zh-CN"/>
    </w:rPr>
  </w:style>
  <w:style w:type="character" w:customStyle="1" w:styleId="FootnoteSymbol">
    <w:name w:val="Footnote Symbol"/>
    <w:rsid w:val="0062555A"/>
    <w:rPr>
      <w:position w:val="0"/>
      <w:vertAlign w:val="superscript"/>
    </w:rPr>
  </w:style>
  <w:style w:type="character" w:customStyle="1" w:styleId="TekstprzypisudolnegoZnak1">
    <w:name w:val="Tekst przypisu dolnego Znak1"/>
    <w:uiPriority w:val="99"/>
    <w:semiHidden/>
    <w:rsid w:val="00A946D6"/>
    <w:rPr>
      <w:kern w:val="3"/>
      <w:szCs w:val="18"/>
      <w:lang w:eastAsia="zh-CN" w:bidi="hi-IN"/>
    </w:rPr>
  </w:style>
  <w:style w:type="table" w:styleId="Tabela-Siatka">
    <w:name w:val="Table Grid"/>
    <w:basedOn w:val="Standardowy"/>
    <w:uiPriority w:val="59"/>
    <w:unhideWhenUsed/>
    <w:rsid w:val="007D44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9E0D4A"/>
    <w:rPr>
      <w:rFonts w:ascii="Arial" w:eastAsiaTheme="majorEastAsia" w:hAnsi="Arial" w:cstheme="majorBidi"/>
      <w:b/>
      <w:color w:val="262626" w:themeColor="text1" w:themeTint="D9"/>
      <w:sz w:val="24"/>
      <w:szCs w:val="32"/>
    </w:rPr>
  </w:style>
  <w:style w:type="character" w:customStyle="1" w:styleId="Nagwek3Znak">
    <w:name w:val="Nagłówek 3 Znak"/>
    <w:basedOn w:val="Domylnaczcionkaakapitu"/>
    <w:link w:val="Nagwek3"/>
    <w:uiPriority w:val="9"/>
    <w:rsid w:val="009E0D4A"/>
    <w:rPr>
      <w:rFonts w:ascii="Arial" w:eastAsiaTheme="majorEastAsia" w:hAnsi="Arial" w:cstheme="majorBidi"/>
      <w:b/>
      <w:color w:val="0D0D0D" w:themeColor="text1" w:themeTint="F2"/>
      <w:sz w:val="24"/>
      <w:szCs w:val="24"/>
    </w:rPr>
  </w:style>
  <w:style w:type="character" w:customStyle="1" w:styleId="Nagwek4Znak">
    <w:name w:val="Nagłówek 4 Znak"/>
    <w:basedOn w:val="Domylnaczcionkaakapitu"/>
    <w:link w:val="Nagwek4"/>
    <w:uiPriority w:val="9"/>
    <w:semiHidden/>
    <w:rsid w:val="00286EA5"/>
    <w:rPr>
      <w:i/>
      <w:iCs/>
    </w:rPr>
  </w:style>
  <w:style w:type="character" w:customStyle="1" w:styleId="Nagwek5Znak">
    <w:name w:val="Nagłówek 5 Znak"/>
    <w:basedOn w:val="Domylnaczcionkaakapitu"/>
    <w:link w:val="Nagwek5"/>
    <w:uiPriority w:val="9"/>
    <w:semiHidden/>
    <w:rsid w:val="00286EA5"/>
    <w:rPr>
      <w:color w:val="404040" w:themeColor="text1" w:themeTint="BF"/>
    </w:rPr>
  </w:style>
  <w:style w:type="character" w:customStyle="1" w:styleId="Nagwek6Znak">
    <w:name w:val="Nagłówek 6 Znak"/>
    <w:basedOn w:val="Domylnaczcionkaakapitu"/>
    <w:link w:val="Nagwek6"/>
    <w:uiPriority w:val="9"/>
    <w:semiHidden/>
    <w:rsid w:val="00286EA5"/>
  </w:style>
  <w:style w:type="character" w:customStyle="1" w:styleId="Nagwek7Znak">
    <w:name w:val="Nagłówek 7 Znak"/>
    <w:basedOn w:val="Domylnaczcionkaakapitu"/>
    <w:link w:val="Nagwek7"/>
    <w:uiPriority w:val="9"/>
    <w:semiHidden/>
    <w:rsid w:val="00286EA5"/>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286EA5"/>
    <w:rPr>
      <w:color w:val="262626" w:themeColor="text1" w:themeTint="D9"/>
      <w:sz w:val="21"/>
      <w:szCs w:val="21"/>
    </w:rPr>
  </w:style>
  <w:style w:type="character" w:customStyle="1" w:styleId="Nagwek9Znak">
    <w:name w:val="Nagłówek 9 Znak"/>
    <w:basedOn w:val="Domylnaczcionkaakapitu"/>
    <w:link w:val="Nagwek9"/>
    <w:uiPriority w:val="9"/>
    <w:semiHidden/>
    <w:rsid w:val="00286EA5"/>
    <w:rPr>
      <w:rFonts w:asciiTheme="majorHAnsi" w:eastAsiaTheme="majorEastAsia" w:hAnsiTheme="majorHAnsi" w:cstheme="majorBidi"/>
      <w:i/>
      <w:iCs/>
      <w:color w:val="262626" w:themeColor="text1" w:themeTint="D9"/>
      <w:sz w:val="21"/>
      <w:szCs w:val="21"/>
    </w:rPr>
  </w:style>
  <w:style w:type="paragraph" w:styleId="Legenda">
    <w:name w:val="caption"/>
    <w:basedOn w:val="Normalny"/>
    <w:next w:val="Normalny"/>
    <w:uiPriority w:val="35"/>
    <w:semiHidden/>
    <w:unhideWhenUsed/>
    <w:qFormat/>
    <w:rsid w:val="00286EA5"/>
    <w:pPr>
      <w:spacing w:after="200" w:line="240" w:lineRule="auto"/>
    </w:pPr>
    <w:rPr>
      <w:i/>
      <w:iCs/>
      <w:color w:val="1F497D" w:themeColor="text2"/>
      <w:sz w:val="18"/>
      <w:szCs w:val="18"/>
    </w:rPr>
  </w:style>
  <w:style w:type="paragraph" w:styleId="Tytu">
    <w:name w:val="Title"/>
    <w:basedOn w:val="Normalny"/>
    <w:next w:val="Normalny"/>
    <w:link w:val="TytuZnak"/>
    <w:uiPriority w:val="10"/>
    <w:qFormat/>
    <w:rsid w:val="00286EA5"/>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286EA5"/>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286EA5"/>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286EA5"/>
    <w:rPr>
      <w:color w:val="5A5A5A" w:themeColor="text1" w:themeTint="A5"/>
      <w:spacing w:val="15"/>
    </w:rPr>
  </w:style>
  <w:style w:type="character" w:styleId="Pogrubienie">
    <w:name w:val="Strong"/>
    <w:basedOn w:val="Domylnaczcionkaakapitu"/>
    <w:uiPriority w:val="22"/>
    <w:qFormat/>
    <w:rsid w:val="00286EA5"/>
    <w:rPr>
      <w:b/>
      <w:bCs/>
      <w:color w:val="auto"/>
    </w:rPr>
  </w:style>
  <w:style w:type="character" w:styleId="Uwydatnienie">
    <w:name w:val="Emphasis"/>
    <w:basedOn w:val="Domylnaczcionkaakapitu"/>
    <w:uiPriority w:val="20"/>
    <w:qFormat/>
    <w:rsid w:val="00286EA5"/>
    <w:rPr>
      <w:i/>
      <w:iCs/>
      <w:color w:val="auto"/>
    </w:rPr>
  </w:style>
  <w:style w:type="paragraph" w:styleId="Bezodstpw">
    <w:name w:val="No Spacing"/>
    <w:uiPriority w:val="1"/>
    <w:qFormat/>
    <w:rsid w:val="00286EA5"/>
    <w:pPr>
      <w:spacing w:after="0" w:line="240" w:lineRule="auto"/>
    </w:pPr>
  </w:style>
  <w:style w:type="paragraph" w:styleId="Cytat">
    <w:name w:val="Quote"/>
    <w:basedOn w:val="Normalny"/>
    <w:next w:val="Normalny"/>
    <w:link w:val="CytatZnak"/>
    <w:uiPriority w:val="29"/>
    <w:qFormat/>
    <w:rsid w:val="00286EA5"/>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286EA5"/>
    <w:rPr>
      <w:i/>
      <w:iCs/>
      <w:color w:val="404040" w:themeColor="text1" w:themeTint="BF"/>
    </w:rPr>
  </w:style>
  <w:style w:type="paragraph" w:styleId="Cytatintensywny">
    <w:name w:val="Intense Quote"/>
    <w:basedOn w:val="Normalny"/>
    <w:next w:val="Normalny"/>
    <w:link w:val="CytatintensywnyZnak"/>
    <w:uiPriority w:val="30"/>
    <w:qFormat/>
    <w:rsid w:val="00286EA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286EA5"/>
    <w:rPr>
      <w:i/>
      <w:iCs/>
      <w:color w:val="404040" w:themeColor="text1" w:themeTint="BF"/>
    </w:rPr>
  </w:style>
  <w:style w:type="character" w:styleId="Wyrnieniedelikatne">
    <w:name w:val="Subtle Emphasis"/>
    <w:basedOn w:val="Domylnaczcionkaakapitu"/>
    <w:uiPriority w:val="19"/>
    <w:qFormat/>
    <w:rsid w:val="00286EA5"/>
    <w:rPr>
      <w:i/>
      <w:iCs/>
      <w:color w:val="404040" w:themeColor="text1" w:themeTint="BF"/>
    </w:rPr>
  </w:style>
  <w:style w:type="character" w:styleId="Wyrnienieintensywne">
    <w:name w:val="Intense Emphasis"/>
    <w:basedOn w:val="Domylnaczcionkaakapitu"/>
    <w:uiPriority w:val="21"/>
    <w:qFormat/>
    <w:rsid w:val="00286EA5"/>
    <w:rPr>
      <w:b/>
      <w:bCs/>
      <w:i/>
      <w:iCs/>
      <w:color w:val="auto"/>
    </w:rPr>
  </w:style>
  <w:style w:type="character" w:styleId="Odwoaniedelikatne">
    <w:name w:val="Subtle Reference"/>
    <w:basedOn w:val="Domylnaczcionkaakapitu"/>
    <w:uiPriority w:val="31"/>
    <w:qFormat/>
    <w:rsid w:val="00286EA5"/>
    <w:rPr>
      <w:smallCaps/>
      <w:color w:val="404040" w:themeColor="text1" w:themeTint="BF"/>
    </w:rPr>
  </w:style>
  <w:style w:type="character" w:styleId="Odwoanieintensywne">
    <w:name w:val="Intense Reference"/>
    <w:basedOn w:val="Domylnaczcionkaakapitu"/>
    <w:uiPriority w:val="32"/>
    <w:qFormat/>
    <w:rsid w:val="00286EA5"/>
    <w:rPr>
      <w:b/>
      <w:bCs/>
      <w:smallCaps/>
      <w:color w:val="404040" w:themeColor="text1" w:themeTint="BF"/>
      <w:spacing w:val="5"/>
    </w:rPr>
  </w:style>
  <w:style w:type="character" w:styleId="Tytuksiki">
    <w:name w:val="Book Title"/>
    <w:basedOn w:val="Domylnaczcionkaakapitu"/>
    <w:uiPriority w:val="33"/>
    <w:qFormat/>
    <w:rsid w:val="00286EA5"/>
    <w:rPr>
      <w:b/>
      <w:bCs/>
      <w:i/>
      <w:iCs/>
      <w:spacing w:val="5"/>
    </w:rPr>
  </w:style>
  <w:style w:type="paragraph" w:styleId="Nagwekspisutreci">
    <w:name w:val="TOC Heading"/>
    <w:basedOn w:val="Nagwek1"/>
    <w:next w:val="Normalny"/>
    <w:uiPriority w:val="39"/>
    <w:semiHidden/>
    <w:unhideWhenUsed/>
    <w:qFormat/>
    <w:rsid w:val="00286EA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4994">
      <w:bodyDiv w:val="1"/>
      <w:marLeft w:val="0"/>
      <w:marRight w:val="0"/>
      <w:marTop w:val="0"/>
      <w:marBottom w:val="0"/>
      <w:divBdr>
        <w:top w:val="none" w:sz="0" w:space="0" w:color="auto"/>
        <w:left w:val="none" w:sz="0" w:space="0" w:color="auto"/>
        <w:bottom w:val="none" w:sz="0" w:space="0" w:color="auto"/>
        <w:right w:val="none" w:sz="0" w:space="0" w:color="auto"/>
      </w:divBdr>
      <w:divsChild>
        <w:div w:id="596671600">
          <w:marLeft w:val="0"/>
          <w:marRight w:val="0"/>
          <w:marTop w:val="0"/>
          <w:marBottom w:val="0"/>
          <w:divBdr>
            <w:top w:val="none" w:sz="0" w:space="0" w:color="auto"/>
            <w:left w:val="none" w:sz="0" w:space="0" w:color="auto"/>
            <w:bottom w:val="none" w:sz="0" w:space="0" w:color="auto"/>
            <w:right w:val="none" w:sz="0" w:space="0" w:color="auto"/>
          </w:divBdr>
        </w:div>
        <w:div w:id="2121340706">
          <w:marLeft w:val="0"/>
          <w:marRight w:val="0"/>
          <w:marTop w:val="0"/>
          <w:marBottom w:val="0"/>
          <w:divBdr>
            <w:top w:val="none" w:sz="0" w:space="0" w:color="auto"/>
            <w:left w:val="none" w:sz="0" w:space="0" w:color="auto"/>
            <w:bottom w:val="none" w:sz="0" w:space="0" w:color="auto"/>
            <w:right w:val="none" w:sz="0" w:space="0" w:color="auto"/>
          </w:divBdr>
        </w:div>
        <w:div w:id="174923238">
          <w:marLeft w:val="0"/>
          <w:marRight w:val="0"/>
          <w:marTop w:val="0"/>
          <w:marBottom w:val="0"/>
          <w:divBdr>
            <w:top w:val="none" w:sz="0" w:space="0" w:color="auto"/>
            <w:left w:val="none" w:sz="0" w:space="0" w:color="auto"/>
            <w:bottom w:val="none" w:sz="0" w:space="0" w:color="auto"/>
            <w:right w:val="none" w:sz="0" w:space="0" w:color="auto"/>
          </w:divBdr>
        </w:div>
        <w:div w:id="250742242">
          <w:marLeft w:val="0"/>
          <w:marRight w:val="0"/>
          <w:marTop w:val="0"/>
          <w:marBottom w:val="0"/>
          <w:divBdr>
            <w:top w:val="none" w:sz="0" w:space="0" w:color="auto"/>
            <w:left w:val="none" w:sz="0" w:space="0" w:color="auto"/>
            <w:bottom w:val="none" w:sz="0" w:space="0" w:color="auto"/>
            <w:right w:val="none" w:sz="0" w:space="0" w:color="auto"/>
          </w:divBdr>
        </w:div>
        <w:div w:id="634335582">
          <w:marLeft w:val="0"/>
          <w:marRight w:val="0"/>
          <w:marTop w:val="0"/>
          <w:marBottom w:val="0"/>
          <w:divBdr>
            <w:top w:val="none" w:sz="0" w:space="0" w:color="auto"/>
            <w:left w:val="none" w:sz="0" w:space="0" w:color="auto"/>
            <w:bottom w:val="none" w:sz="0" w:space="0" w:color="auto"/>
            <w:right w:val="none" w:sz="0" w:space="0" w:color="auto"/>
          </w:divBdr>
        </w:div>
        <w:div w:id="2006740084">
          <w:marLeft w:val="0"/>
          <w:marRight w:val="0"/>
          <w:marTop w:val="0"/>
          <w:marBottom w:val="0"/>
          <w:divBdr>
            <w:top w:val="none" w:sz="0" w:space="0" w:color="auto"/>
            <w:left w:val="none" w:sz="0" w:space="0" w:color="auto"/>
            <w:bottom w:val="none" w:sz="0" w:space="0" w:color="auto"/>
            <w:right w:val="none" w:sz="0" w:space="0" w:color="auto"/>
          </w:divBdr>
        </w:div>
        <w:div w:id="1409687721">
          <w:marLeft w:val="0"/>
          <w:marRight w:val="0"/>
          <w:marTop w:val="0"/>
          <w:marBottom w:val="0"/>
          <w:divBdr>
            <w:top w:val="none" w:sz="0" w:space="0" w:color="auto"/>
            <w:left w:val="none" w:sz="0" w:space="0" w:color="auto"/>
            <w:bottom w:val="none" w:sz="0" w:space="0" w:color="auto"/>
            <w:right w:val="none" w:sz="0" w:space="0" w:color="auto"/>
          </w:divBdr>
        </w:div>
        <w:div w:id="253440657">
          <w:marLeft w:val="0"/>
          <w:marRight w:val="0"/>
          <w:marTop w:val="0"/>
          <w:marBottom w:val="0"/>
          <w:divBdr>
            <w:top w:val="none" w:sz="0" w:space="0" w:color="auto"/>
            <w:left w:val="none" w:sz="0" w:space="0" w:color="auto"/>
            <w:bottom w:val="none" w:sz="0" w:space="0" w:color="auto"/>
            <w:right w:val="none" w:sz="0" w:space="0" w:color="auto"/>
          </w:divBdr>
        </w:div>
        <w:div w:id="1778019681">
          <w:marLeft w:val="0"/>
          <w:marRight w:val="0"/>
          <w:marTop w:val="0"/>
          <w:marBottom w:val="0"/>
          <w:divBdr>
            <w:top w:val="none" w:sz="0" w:space="0" w:color="auto"/>
            <w:left w:val="none" w:sz="0" w:space="0" w:color="auto"/>
            <w:bottom w:val="none" w:sz="0" w:space="0" w:color="auto"/>
            <w:right w:val="none" w:sz="0" w:space="0" w:color="auto"/>
          </w:divBdr>
        </w:div>
        <w:div w:id="949357488">
          <w:marLeft w:val="0"/>
          <w:marRight w:val="0"/>
          <w:marTop w:val="0"/>
          <w:marBottom w:val="0"/>
          <w:divBdr>
            <w:top w:val="none" w:sz="0" w:space="0" w:color="auto"/>
            <w:left w:val="none" w:sz="0" w:space="0" w:color="auto"/>
            <w:bottom w:val="none" w:sz="0" w:space="0" w:color="auto"/>
            <w:right w:val="none" w:sz="0" w:space="0" w:color="auto"/>
          </w:divBdr>
        </w:div>
        <w:div w:id="1712338267">
          <w:marLeft w:val="0"/>
          <w:marRight w:val="0"/>
          <w:marTop w:val="0"/>
          <w:marBottom w:val="0"/>
          <w:divBdr>
            <w:top w:val="none" w:sz="0" w:space="0" w:color="auto"/>
            <w:left w:val="none" w:sz="0" w:space="0" w:color="auto"/>
            <w:bottom w:val="none" w:sz="0" w:space="0" w:color="auto"/>
            <w:right w:val="none" w:sz="0" w:space="0" w:color="auto"/>
          </w:divBdr>
        </w:div>
        <w:div w:id="2009020426">
          <w:marLeft w:val="0"/>
          <w:marRight w:val="0"/>
          <w:marTop w:val="0"/>
          <w:marBottom w:val="0"/>
          <w:divBdr>
            <w:top w:val="none" w:sz="0" w:space="0" w:color="auto"/>
            <w:left w:val="none" w:sz="0" w:space="0" w:color="auto"/>
            <w:bottom w:val="none" w:sz="0" w:space="0" w:color="auto"/>
            <w:right w:val="none" w:sz="0" w:space="0" w:color="auto"/>
          </w:divBdr>
        </w:div>
        <w:div w:id="1597513698">
          <w:marLeft w:val="0"/>
          <w:marRight w:val="0"/>
          <w:marTop w:val="0"/>
          <w:marBottom w:val="0"/>
          <w:divBdr>
            <w:top w:val="none" w:sz="0" w:space="0" w:color="auto"/>
            <w:left w:val="none" w:sz="0" w:space="0" w:color="auto"/>
            <w:bottom w:val="none" w:sz="0" w:space="0" w:color="auto"/>
            <w:right w:val="none" w:sz="0" w:space="0" w:color="auto"/>
          </w:divBdr>
        </w:div>
        <w:div w:id="958220455">
          <w:marLeft w:val="0"/>
          <w:marRight w:val="0"/>
          <w:marTop w:val="0"/>
          <w:marBottom w:val="0"/>
          <w:divBdr>
            <w:top w:val="none" w:sz="0" w:space="0" w:color="auto"/>
            <w:left w:val="none" w:sz="0" w:space="0" w:color="auto"/>
            <w:bottom w:val="none" w:sz="0" w:space="0" w:color="auto"/>
            <w:right w:val="none" w:sz="0" w:space="0" w:color="auto"/>
          </w:divBdr>
        </w:div>
        <w:div w:id="1072386444">
          <w:marLeft w:val="0"/>
          <w:marRight w:val="0"/>
          <w:marTop w:val="0"/>
          <w:marBottom w:val="0"/>
          <w:divBdr>
            <w:top w:val="none" w:sz="0" w:space="0" w:color="auto"/>
            <w:left w:val="none" w:sz="0" w:space="0" w:color="auto"/>
            <w:bottom w:val="none" w:sz="0" w:space="0" w:color="auto"/>
            <w:right w:val="none" w:sz="0" w:space="0" w:color="auto"/>
          </w:divBdr>
        </w:div>
        <w:div w:id="286744120">
          <w:marLeft w:val="0"/>
          <w:marRight w:val="0"/>
          <w:marTop w:val="0"/>
          <w:marBottom w:val="0"/>
          <w:divBdr>
            <w:top w:val="none" w:sz="0" w:space="0" w:color="auto"/>
            <w:left w:val="none" w:sz="0" w:space="0" w:color="auto"/>
            <w:bottom w:val="none" w:sz="0" w:space="0" w:color="auto"/>
            <w:right w:val="none" w:sz="0" w:space="0" w:color="auto"/>
          </w:divBdr>
        </w:div>
        <w:div w:id="555702854">
          <w:marLeft w:val="0"/>
          <w:marRight w:val="0"/>
          <w:marTop w:val="0"/>
          <w:marBottom w:val="0"/>
          <w:divBdr>
            <w:top w:val="none" w:sz="0" w:space="0" w:color="auto"/>
            <w:left w:val="none" w:sz="0" w:space="0" w:color="auto"/>
            <w:bottom w:val="none" w:sz="0" w:space="0" w:color="auto"/>
            <w:right w:val="none" w:sz="0" w:space="0" w:color="auto"/>
          </w:divBdr>
        </w:div>
        <w:div w:id="1602713167">
          <w:marLeft w:val="0"/>
          <w:marRight w:val="0"/>
          <w:marTop w:val="0"/>
          <w:marBottom w:val="0"/>
          <w:divBdr>
            <w:top w:val="none" w:sz="0" w:space="0" w:color="auto"/>
            <w:left w:val="none" w:sz="0" w:space="0" w:color="auto"/>
            <w:bottom w:val="none" w:sz="0" w:space="0" w:color="auto"/>
            <w:right w:val="none" w:sz="0" w:space="0" w:color="auto"/>
          </w:divBdr>
        </w:div>
        <w:div w:id="1586113713">
          <w:marLeft w:val="0"/>
          <w:marRight w:val="0"/>
          <w:marTop w:val="0"/>
          <w:marBottom w:val="0"/>
          <w:divBdr>
            <w:top w:val="none" w:sz="0" w:space="0" w:color="auto"/>
            <w:left w:val="none" w:sz="0" w:space="0" w:color="auto"/>
            <w:bottom w:val="none" w:sz="0" w:space="0" w:color="auto"/>
            <w:right w:val="none" w:sz="0" w:space="0" w:color="auto"/>
          </w:divBdr>
        </w:div>
        <w:div w:id="317151354">
          <w:marLeft w:val="0"/>
          <w:marRight w:val="0"/>
          <w:marTop w:val="0"/>
          <w:marBottom w:val="0"/>
          <w:divBdr>
            <w:top w:val="none" w:sz="0" w:space="0" w:color="auto"/>
            <w:left w:val="none" w:sz="0" w:space="0" w:color="auto"/>
            <w:bottom w:val="none" w:sz="0" w:space="0" w:color="auto"/>
            <w:right w:val="none" w:sz="0" w:space="0" w:color="auto"/>
          </w:divBdr>
        </w:div>
        <w:div w:id="1730883912">
          <w:marLeft w:val="0"/>
          <w:marRight w:val="0"/>
          <w:marTop w:val="0"/>
          <w:marBottom w:val="0"/>
          <w:divBdr>
            <w:top w:val="none" w:sz="0" w:space="0" w:color="auto"/>
            <w:left w:val="none" w:sz="0" w:space="0" w:color="auto"/>
            <w:bottom w:val="none" w:sz="0" w:space="0" w:color="auto"/>
            <w:right w:val="none" w:sz="0" w:space="0" w:color="auto"/>
          </w:divBdr>
        </w:div>
        <w:div w:id="771559613">
          <w:marLeft w:val="0"/>
          <w:marRight w:val="0"/>
          <w:marTop w:val="0"/>
          <w:marBottom w:val="0"/>
          <w:divBdr>
            <w:top w:val="none" w:sz="0" w:space="0" w:color="auto"/>
            <w:left w:val="none" w:sz="0" w:space="0" w:color="auto"/>
            <w:bottom w:val="none" w:sz="0" w:space="0" w:color="auto"/>
            <w:right w:val="none" w:sz="0" w:space="0" w:color="auto"/>
          </w:divBdr>
        </w:div>
        <w:div w:id="731806013">
          <w:marLeft w:val="0"/>
          <w:marRight w:val="0"/>
          <w:marTop w:val="0"/>
          <w:marBottom w:val="0"/>
          <w:divBdr>
            <w:top w:val="none" w:sz="0" w:space="0" w:color="auto"/>
            <w:left w:val="none" w:sz="0" w:space="0" w:color="auto"/>
            <w:bottom w:val="none" w:sz="0" w:space="0" w:color="auto"/>
            <w:right w:val="none" w:sz="0" w:space="0" w:color="auto"/>
          </w:divBdr>
        </w:div>
        <w:div w:id="1196305484">
          <w:marLeft w:val="0"/>
          <w:marRight w:val="0"/>
          <w:marTop w:val="0"/>
          <w:marBottom w:val="0"/>
          <w:divBdr>
            <w:top w:val="none" w:sz="0" w:space="0" w:color="auto"/>
            <w:left w:val="none" w:sz="0" w:space="0" w:color="auto"/>
            <w:bottom w:val="none" w:sz="0" w:space="0" w:color="auto"/>
            <w:right w:val="none" w:sz="0" w:space="0" w:color="auto"/>
          </w:divBdr>
        </w:div>
        <w:div w:id="1792438439">
          <w:marLeft w:val="0"/>
          <w:marRight w:val="0"/>
          <w:marTop w:val="0"/>
          <w:marBottom w:val="0"/>
          <w:divBdr>
            <w:top w:val="none" w:sz="0" w:space="0" w:color="auto"/>
            <w:left w:val="none" w:sz="0" w:space="0" w:color="auto"/>
            <w:bottom w:val="none" w:sz="0" w:space="0" w:color="auto"/>
            <w:right w:val="none" w:sz="0" w:space="0" w:color="auto"/>
          </w:divBdr>
        </w:div>
        <w:div w:id="1874073278">
          <w:marLeft w:val="0"/>
          <w:marRight w:val="0"/>
          <w:marTop w:val="0"/>
          <w:marBottom w:val="0"/>
          <w:divBdr>
            <w:top w:val="none" w:sz="0" w:space="0" w:color="auto"/>
            <w:left w:val="none" w:sz="0" w:space="0" w:color="auto"/>
            <w:bottom w:val="none" w:sz="0" w:space="0" w:color="auto"/>
            <w:right w:val="none" w:sz="0" w:space="0" w:color="auto"/>
          </w:divBdr>
        </w:div>
        <w:div w:id="2125689768">
          <w:marLeft w:val="0"/>
          <w:marRight w:val="0"/>
          <w:marTop w:val="0"/>
          <w:marBottom w:val="0"/>
          <w:divBdr>
            <w:top w:val="none" w:sz="0" w:space="0" w:color="auto"/>
            <w:left w:val="none" w:sz="0" w:space="0" w:color="auto"/>
            <w:bottom w:val="none" w:sz="0" w:space="0" w:color="auto"/>
            <w:right w:val="none" w:sz="0" w:space="0" w:color="auto"/>
          </w:divBdr>
        </w:div>
        <w:div w:id="535627221">
          <w:marLeft w:val="0"/>
          <w:marRight w:val="0"/>
          <w:marTop w:val="0"/>
          <w:marBottom w:val="0"/>
          <w:divBdr>
            <w:top w:val="none" w:sz="0" w:space="0" w:color="auto"/>
            <w:left w:val="none" w:sz="0" w:space="0" w:color="auto"/>
            <w:bottom w:val="none" w:sz="0" w:space="0" w:color="auto"/>
            <w:right w:val="none" w:sz="0" w:space="0" w:color="auto"/>
          </w:divBdr>
        </w:div>
        <w:div w:id="1476995686">
          <w:marLeft w:val="0"/>
          <w:marRight w:val="0"/>
          <w:marTop w:val="0"/>
          <w:marBottom w:val="0"/>
          <w:divBdr>
            <w:top w:val="none" w:sz="0" w:space="0" w:color="auto"/>
            <w:left w:val="none" w:sz="0" w:space="0" w:color="auto"/>
            <w:bottom w:val="none" w:sz="0" w:space="0" w:color="auto"/>
            <w:right w:val="none" w:sz="0" w:space="0" w:color="auto"/>
          </w:divBdr>
        </w:div>
        <w:div w:id="584998838">
          <w:marLeft w:val="0"/>
          <w:marRight w:val="0"/>
          <w:marTop w:val="0"/>
          <w:marBottom w:val="0"/>
          <w:divBdr>
            <w:top w:val="none" w:sz="0" w:space="0" w:color="auto"/>
            <w:left w:val="none" w:sz="0" w:space="0" w:color="auto"/>
            <w:bottom w:val="none" w:sz="0" w:space="0" w:color="auto"/>
            <w:right w:val="none" w:sz="0" w:space="0" w:color="auto"/>
          </w:divBdr>
        </w:div>
        <w:div w:id="1762753404">
          <w:marLeft w:val="0"/>
          <w:marRight w:val="0"/>
          <w:marTop w:val="0"/>
          <w:marBottom w:val="0"/>
          <w:divBdr>
            <w:top w:val="none" w:sz="0" w:space="0" w:color="auto"/>
            <w:left w:val="none" w:sz="0" w:space="0" w:color="auto"/>
            <w:bottom w:val="none" w:sz="0" w:space="0" w:color="auto"/>
            <w:right w:val="none" w:sz="0" w:space="0" w:color="auto"/>
          </w:divBdr>
        </w:div>
        <w:div w:id="1732848741">
          <w:marLeft w:val="0"/>
          <w:marRight w:val="0"/>
          <w:marTop w:val="0"/>
          <w:marBottom w:val="0"/>
          <w:divBdr>
            <w:top w:val="none" w:sz="0" w:space="0" w:color="auto"/>
            <w:left w:val="none" w:sz="0" w:space="0" w:color="auto"/>
            <w:bottom w:val="none" w:sz="0" w:space="0" w:color="auto"/>
            <w:right w:val="none" w:sz="0" w:space="0" w:color="auto"/>
          </w:divBdr>
        </w:div>
        <w:div w:id="569778993">
          <w:marLeft w:val="0"/>
          <w:marRight w:val="0"/>
          <w:marTop w:val="0"/>
          <w:marBottom w:val="0"/>
          <w:divBdr>
            <w:top w:val="none" w:sz="0" w:space="0" w:color="auto"/>
            <w:left w:val="none" w:sz="0" w:space="0" w:color="auto"/>
            <w:bottom w:val="none" w:sz="0" w:space="0" w:color="auto"/>
            <w:right w:val="none" w:sz="0" w:space="0" w:color="auto"/>
          </w:divBdr>
        </w:div>
        <w:div w:id="726537211">
          <w:marLeft w:val="0"/>
          <w:marRight w:val="0"/>
          <w:marTop w:val="0"/>
          <w:marBottom w:val="0"/>
          <w:divBdr>
            <w:top w:val="none" w:sz="0" w:space="0" w:color="auto"/>
            <w:left w:val="none" w:sz="0" w:space="0" w:color="auto"/>
            <w:bottom w:val="none" w:sz="0" w:space="0" w:color="auto"/>
            <w:right w:val="none" w:sz="0" w:space="0" w:color="auto"/>
          </w:divBdr>
        </w:div>
        <w:div w:id="553811234">
          <w:marLeft w:val="0"/>
          <w:marRight w:val="0"/>
          <w:marTop w:val="0"/>
          <w:marBottom w:val="0"/>
          <w:divBdr>
            <w:top w:val="none" w:sz="0" w:space="0" w:color="auto"/>
            <w:left w:val="none" w:sz="0" w:space="0" w:color="auto"/>
            <w:bottom w:val="none" w:sz="0" w:space="0" w:color="auto"/>
            <w:right w:val="none" w:sz="0" w:space="0" w:color="auto"/>
          </w:divBdr>
        </w:div>
        <w:div w:id="502362143">
          <w:marLeft w:val="0"/>
          <w:marRight w:val="0"/>
          <w:marTop w:val="0"/>
          <w:marBottom w:val="0"/>
          <w:divBdr>
            <w:top w:val="none" w:sz="0" w:space="0" w:color="auto"/>
            <w:left w:val="none" w:sz="0" w:space="0" w:color="auto"/>
            <w:bottom w:val="none" w:sz="0" w:space="0" w:color="auto"/>
            <w:right w:val="none" w:sz="0" w:space="0" w:color="auto"/>
          </w:divBdr>
        </w:div>
        <w:div w:id="2111268697">
          <w:marLeft w:val="0"/>
          <w:marRight w:val="0"/>
          <w:marTop w:val="0"/>
          <w:marBottom w:val="0"/>
          <w:divBdr>
            <w:top w:val="none" w:sz="0" w:space="0" w:color="auto"/>
            <w:left w:val="none" w:sz="0" w:space="0" w:color="auto"/>
            <w:bottom w:val="none" w:sz="0" w:space="0" w:color="auto"/>
            <w:right w:val="none" w:sz="0" w:space="0" w:color="auto"/>
          </w:divBdr>
        </w:div>
        <w:div w:id="1661500895">
          <w:marLeft w:val="0"/>
          <w:marRight w:val="0"/>
          <w:marTop w:val="0"/>
          <w:marBottom w:val="0"/>
          <w:divBdr>
            <w:top w:val="none" w:sz="0" w:space="0" w:color="auto"/>
            <w:left w:val="none" w:sz="0" w:space="0" w:color="auto"/>
            <w:bottom w:val="none" w:sz="0" w:space="0" w:color="auto"/>
            <w:right w:val="none" w:sz="0" w:space="0" w:color="auto"/>
          </w:divBdr>
        </w:div>
        <w:div w:id="2125926882">
          <w:marLeft w:val="0"/>
          <w:marRight w:val="0"/>
          <w:marTop w:val="0"/>
          <w:marBottom w:val="0"/>
          <w:divBdr>
            <w:top w:val="none" w:sz="0" w:space="0" w:color="auto"/>
            <w:left w:val="none" w:sz="0" w:space="0" w:color="auto"/>
            <w:bottom w:val="none" w:sz="0" w:space="0" w:color="auto"/>
            <w:right w:val="none" w:sz="0" w:space="0" w:color="auto"/>
          </w:divBdr>
        </w:div>
      </w:divsChild>
    </w:div>
    <w:div w:id="267782861">
      <w:bodyDiv w:val="1"/>
      <w:marLeft w:val="0"/>
      <w:marRight w:val="0"/>
      <w:marTop w:val="0"/>
      <w:marBottom w:val="0"/>
      <w:divBdr>
        <w:top w:val="none" w:sz="0" w:space="0" w:color="auto"/>
        <w:left w:val="none" w:sz="0" w:space="0" w:color="auto"/>
        <w:bottom w:val="none" w:sz="0" w:space="0" w:color="auto"/>
        <w:right w:val="none" w:sz="0" w:space="0" w:color="auto"/>
      </w:divBdr>
    </w:div>
    <w:div w:id="450170024">
      <w:bodyDiv w:val="1"/>
      <w:marLeft w:val="0"/>
      <w:marRight w:val="0"/>
      <w:marTop w:val="0"/>
      <w:marBottom w:val="0"/>
      <w:divBdr>
        <w:top w:val="none" w:sz="0" w:space="0" w:color="auto"/>
        <w:left w:val="none" w:sz="0" w:space="0" w:color="auto"/>
        <w:bottom w:val="none" w:sz="0" w:space="0" w:color="auto"/>
        <w:right w:val="none" w:sz="0" w:space="0" w:color="auto"/>
      </w:divBdr>
      <w:divsChild>
        <w:div w:id="311910319">
          <w:marLeft w:val="0"/>
          <w:marRight w:val="0"/>
          <w:marTop w:val="0"/>
          <w:marBottom w:val="0"/>
          <w:divBdr>
            <w:top w:val="none" w:sz="0" w:space="0" w:color="auto"/>
            <w:left w:val="none" w:sz="0" w:space="0" w:color="auto"/>
            <w:bottom w:val="none" w:sz="0" w:space="0" w:color="auto"/>
            <w:right w:val="none" w:sz="0" w:space="0" w:color="auto"/>
          </w:divBdr>
        </w:div>
        <w:div w:id="1606964763">
          <w:marLeft w:val="0"/>
          <w:marRight w:val="0"/>
          <w:marTop w:val="0"/>
          <w:marBottom w:val="0"/>
          <w:divBdr>
            <w:top w:val="none" w:sz="0" w:space="0" w:color="auto"/>
            <w:left w:val="none" w:sz="0" w:space="0" w:color="auto"/>
            <w:bottom w:val="none" w:sz="0" w:space="0" w:color="auto"/>
            <w:right w:val="none" w:sz="0" w:space="0" w:color="auto"/>
          </w:divBdr>
        </w:div>
        <w:div w:id="1535922220">
          <w:marLeft w:val="0"/>
          <w:marRight w:val="0"/>
          <w:marTop w:val="0"/>
          <w:marBottom w:val="0"/>
          <w:divBdr>
            <w:top w:val="none" w:sz="0" w:space="0" w:color="auto"/>
            <w:left w:val="none" w:sz="0" w:space="0" w:color="auto"/>
            <w:bottom w:val="none" w:sz="0" w:space="0" w:color="auto"/>
            <w:right w:val="none" w:sz="0" w:space="0" w:color="auto"/>
          </w:divBdr>
        </w:div>
        <w:div w:id="1166048077">
          <w:marLeft w:val="0"/>
          <w:marRight w:val="0"/>
          <w:marTop w:val="0"/>
          <w:marBottom w:val="0"/>
          <w:divBdr>
            <w:top w:val="none" w:sz="0" w:space="0" w:color="auto"/>
            <w:left w:val="none" w:sz="0" w:space="0" w:color="auto"/>
            <w:bottom w:val="none" w:sz="0" w:space="0" w:color="auto"/>
            <w:right w:val="none" w:sz="0" w:space="0" w:color="auto"/>
          </w:divBdr>
        </w:div>
        <w:div w:id="1674339270">
          <w:marLeft w:val="0"/>
          <w:marRight w:val="0"/>
          <w:marTop w:val="0"/>
          <w:marBottom w:val="0"/>
          <w:divBdr>
            <w:top w:val="none" w:sz="0" w:space="0" w:color="auto"/>
            <w:left w:val="none" w:sz="0" w:space="0" w:color="auto"/>
            <w:bottom w:val="none" w:sz="0" w:space="0" w:color="auto"/>
            <w:right w:val="none" w:sz="0" w:space="0" w:color="auto"/>
          </w:divBdr>
        </w:div>
        <w:div w:id="1237593897">
          <w:marLeft w:val="0"/>
          <w:marRight w:val="0"/>
          <w:marTop w:val="0"/>
          <w:marBottom w:val="0"/>
          <w:divBdr>
            <w:top w:val="none" w:sz="0" w:space="0" w:color="auto"/>
            <w:left w:val="none" w:sz="0" w:space="0" w:color="auto"/>
            <w:bottom w:val="none" w:sz="0" w:space="0" w:color="auto"/>
            <w:right w:val="none" w:sz="0" w:space="0" w:color="auto"/>
          </w:divBdr>
        </w:div>
        <w:div w:id="1233661623">
          <w:marLeft w:val="0"/>
          <w:marRight w:val="0"/>
          <w:marTop w:val="0"/>
          <w:marBottom w:val="0"/>
          <w:divBdr>
            <w:top w:val="none" w:sz="0" w:space="0" w:color="auto"/>
            <w:left w:val="none" w:sz="0" w:space="0" w:color="auto"/>
            <w:bottom w:val="none" w:sz="0" w:space="0" w:color="auto"/>
            <w:right w:val="none" w:sz="0" w:space="0" w:color="auto"/>
          </w:divBdr>
        </w:div>
        <w:div w:id="775171093">
          <w:marLeft w:val="0"/>
          <w:marRight w:val="0"/>
          <w:marTop w:val="0"/>
          <w:marBottom w:val="0"/>
          <w:divBdr>
            <w:top w:val="none" w:sz="0" w:space="0" w:color="auto"/>
            <w:left w:val="none" w:sz="0" w:space="0" w:color="auto"/>
            <w:bottom w:val="none" w:sz="0" w:space="0" w:color="auto"/>
            <w:right w:val="none" w:sz="0" w:space="0" w:color="auto"/>
          </w:divBdr>
        </w:div>
        <w:div w:id="900411534">
          <w:marLeft w:val="0"/>
          <w:marRight w:val="0"/>
          <w:marTop w:val="0"/>
          <w:marBottom w:val="0"/>
          <w:divBdr>
            <w:top w:val="none" w:sz="0" w:space="0" w:color="auto"/>
            <w:left w:val="none" w:sz="0" w:space="0" w:color="auto"/>
            <w:bottom w:val="none" w:sz="0" w:space="0" w:color="auto"/>
            <w:right w:val="none" w:sz="0" w:space="0" w:color="auto"/>
          </w:divBdr>
        </w:div>
        <w:div w:id="1574704620">
          <w:marLeft w:val="0"/>
          <w:marRight w:val="0"/>
          <w:marTop w:val="0"/>
          <w:marBottom w:val="0"/>
          <w:divBdr>
            <w:top w:val="none" w:sz="0" w:space="0" w:color="auto"/>
            <w:left w:val="none" w:sz="0" w:space="0" w:color="auto"/>
            <w:bottom w:val="none" w:sz="0" w:space="0" w:color="auto"/>
            <w:right w:val="none" w:sz="0" w:space="0" w:color="auto"/>
          </w:divBdr>
        </w:div>
        <w:div w:id="333607646">
          <w:marLeft w:val="0"/>
          <w:marRight w:val="0"/>
          <w:marTop w:val="0"/>
          <w:marBottom w:val="0"/>
          <w:divBdr>
            <w:top w:val="none" w:sz="0" w:space="0" w:color="auto"/>
            <w:left w:val="none" w:sz="0" w:space="0" w:color="auto"/>
            <w:bottom w:val="none" w:sz="0" w:space="0" w:color="auto"/>
            <w:right w:val="none" w:sz="0" w:space="0" w:color="auto"/>
          </w:divBdr>
        </w:div>
        <w:div w:id="1316757296">
          <w:marLeft w:val="0"/>
          <w:marRight w:val="0"/>
          <w:marTop w:val="0"/>
          <w:marBottom w:val="0"/>
          <w:divBdr>
            <w:top w:val="none" w:sz="0" w:space="0" w:color="auto"/>
            <w:left w:val="none" w:sz="0" w:space="0" w:color="auto"/>
            <w:bottom w:val="none" w:sz="0" w:space="0" w:color="auto"/>
            <w:right w:val="none" w:sz="0" w:space="0" w:color="auto"/>
          </w:divBdr>
        </w:div>
        <w:div w:id="1934514157">
          <w:marLeft w:val="0"/>
          <w:marRight w:val="0"/>
          <w:marTop w:val="0"/>
          <w:marBottom w:val="0"/>
          <w:divBdr>
            <w:top w:val="none" w:sz="0" w:space="0" w:color="auto"/>
            <w:left w:val="none" w:sz="0" w:space="0" w:color="auto"/>
            <w:bottom w:val="none" w:sz="0" w:space="0" w:color="auto"/>
            <w:right w:val="none" w:sz="0" w:space="0" w:color="auto"/>
          </w:divBdr>
        </w:div>
        <w:div w:id="1082023858">
          <w:marLeft w:val="0"/>
          <w:marRight w:val="0"/>
          <w:marTop w:val="0"/>
          <w:marBottom w:val="0"/>
          <w:divBdr>
            <w:top w:val="none" w:sz="0" w:space="0" w:color="auto"/>
            <w:left w:val="none" w:sz="0" w:space="0" w:color="auto"/>
            <w:bottom w:val="none" w:sz="0" w:space="0" w:color="auto"/>
            <w:right w:val="none" w:sz="0" w:space="0" w:color="auto"/>
          </w:divBdr>
        </w:div>
        <w:div w:id="1432120755">
          <w:marLeft w:val="0"/>
          <w:marRight w:val="0"/>
          <w:marTop w:val="0"/>
          <w:marBottom w:val="0"/>
          <w:divBdr>
            <w:top w:val="none" w:sz="0" w:space="0" w:color="auto"/>
            <w:left w:val="none" w:sz="0" w:space="0" w:color="auto"/>
            <w:bottom w:val="none" w:sz="0" w:space="0" w:color="auto"/>
            <w:right w:val="none" w:sz="0" w:space="0" w:color="auto"/>
          </w:divBdr>
        </w:div>
        <w:div w:id="418454558">
          <w:marLeft w:val="0"/>
          <w:marRight w:val="0"/>
          <w:marTop w:val="0"/>
          <w:marBottom w:val="0"/>
          <w:divBdr>
            <w:top w:val="none" w:sz="0" w:space="0" w:color="auto"/>
            <w:left w:val="none" w:sz="0" w:space="0" w:color="auto"/>
            <w:bottom w:val="none" w:sz="0" w:space="0" w:color="auto"/>
            <w:right w:val="none" w:sz="0" w:space="0" w:color="auto"/>
          </w:divBdr>
        </w:div>
        <w:div w:id="805901488">
          <w:marLeft w:val="0"/>
          <w:marRight w:val="0"/>
          <w:marTop w:val="0"/>
          <w:marBottom w:val="0"/>
          <w:divBdr>
            <w:top w:val="none" w:sz="0" w:space="0" w:color="auto"/>
            <w:left w:val="none" w:sz="0" w:space="0" w:color="auto"/>
            <w:bottom w:val="none" w:sz="0" w:space="0" w:color="auto"/>
            <w:right w:val="none" w:sz="0" w:space="0" w:color="auto"/>
          </w:divBdr>
        </w:div>
        <w:div w:id="1150366581">
          <w:marLeft w:val="0"/>
          <w:marRight w:val="0"/>
          <w:marTop w:val="0"/>
          <w:marBottom w:val="0"/>
          <w:divBdr>
            <w:top w:val="none" w:sz="0" w:space="0" w:color="auto"/>
            <w:left w:val="none" w:sz="0" w:space="0" w:color="auto"/>
            <w:bottom w:val="none" w:sz="0" w:space="0" w:color="auto"/>
            <w:right w:val="none" w:sz="0" w:space="0" w:color="auto"/>
          </w:divBdr>
        </w:div>
        <w:div w:id="481629181">
          <w:marLeft w:val="0"/>
          <w:marRight w:val="0"/>
          <w:marTop w:val="0"/>
          <w:marBottom w:val="0"/>
          <w:divBdr>
            <w:top w:val="none" w:sz="0" w:space="0" w:color="auto"/>
            <w:left w:val="none" w:sz="0" w:space="0" w:color="auto"/>
            <w:bottom w:val="none" w:sz="0" w:space="0" w:color="auto"/>
            <w:right w:val="none" w:sz="0" w:space="0" w:color="auto"/>
          </w:divBdr>
        </w:div>
        <w:div w:id="1559243854">
          <w:marLeft w:val="0"/>
          <w:marRight w:val="0"/>
          <w:marTop w:val="0"/>
          <w:marBottom w:val="0"/>
          <w:divBdr>
            <w:top w:val="none" w:sz="0" w:space="0" w:color="auto"/>
            <w:left w:val="none" w:sz="0" w:space="0" w:color="auto"/>
            <w:bottom w:val="none" w:sz="0" w:space="0" w:color="auto"/>
            <w:right w:val="none" w:sz="0" w:space="0" w:color="auto"/>
          </w:divBdr>
        </w:div>
        <w:div w:id="1096756474">
          <w:marLeft w:val="0"/>
          <w:marRight w:val="0"/>
          <w:marTop w:val="0"/>
          <w:marBottom w:val="0"/>
          <w:divBdr>
            <w:top w:val="none" w:sz="0" w:space="0" w:color="auto"/>
            <w:left w:val="none" w:sz="0" w:space="0" w:color="auto"/>
            <w:bottom w:val="none" w:sz="0" w:space="0" w:color="auto"/>
            <w:right w:val="none" w:sz="0" w:space="0" w:color="auto"/>
          </w:divBdr>
        </w:div>
        <w:div w:id="221452284">
          <w:marLeft w:val="0"/>
          <w:marRight w:val="0"/>
          <w:marTop w:val="0"/>
          <w:marBottom w:val="0"/>
          <w:divBdr>
            <w:top w:val="none" w:sz="0" w:space="0" w:color="auto"/>
            <w:left w:val="none" w:sz="0" w:space="0" w:color="auto"/>
            <w:bottom w:val="none" w:sz="0" w:space="0" w:color="auto"/>
            <w:right w:val="none" w:sz="0" w:space="0" w:color="auto"/>
          </w:divBdr>
        </w:div>
        <w:div w:id="770706737">
          <w:marLeft w:val="0"/>
          <w:marRight w:val="0"/>
          <w:marTop w:val="0"/>
          <w:marBottom w:val="0"/>
          <w:divBdr>
            <w:top w:val="none" w:sz="0" w:space="0" w:color="auto"/>
            <w:left w:val="none" w:sz="0" w:space="0" w:color="auto"/>
            <w:bottom w:val="none" w:sz="0" w:space="0" w:color="auto"/>
            <w:right w:val="none" w:sz="0" w:space="0" w:color="auto"/>
          </w:divBdr>
        </w:div>
      </w:divsChild>
    </w:div>
    <w:div w:id="469445736">
      <w:bodyDiv w:val="1"/>
      <w:marLeft w:val="0"/>
      <w:marRight w:val="0"/>
      <w:marTop w:val="0"/>
      <w:marBottom w:val="0"/>
      <w:divBdr>
        <w:top w:val="none" w:sz="0" w:space="0" w:color="auto"/>
        <w:left w:val="none" w:sz="0" w:space="0" w:color="auto"/>
        <w:bottom w:val="none" w:sz="0" w:space="0" w:color="auto"/>
        <w:right w:val="none" w:sz="0" w:space="0" w:color="auto"/>
      </w:divBdr>
      <w:divsChild>
        <w:div w:id="1601336823">
          <w:marLeft w:val="0"/>
          <w:marRight w:val="0"/>
          <w:marTop w:val="0"/>
          <w:marBottom w:val="0"/>
          <w:divBdr>
            <w:top w:val="none" w:sz="0" w:space="0" w:color="auto"/>
            <w:left w:val="none" w:sz="0" w:space="0" w:color="auto"/>
            <w:bottom w:val="none" w:sz="0" w:space="0" w:color="auto"/>
            <w:right w:val="none" w:sz="0" w:space="0" w:color="auto"/>
          </w:divBdr>
        </w:div>
        <w:div w:id="745567683">
          <w:marLeft w:val="0"/>
          <w:marRight w:val="0"/>
          <w:marTop w:val="0"/>
          <w:marBottom w:val="0"/>
          <w:divBdr>
            <w:top w:val="none" w:sz="0" w:space="0" w:color="auto"/>
            <w:left w:val="none" w:sz="0" w:space="0" w:color="auto"/>
            <w:bottom w:val="none" w:sz="0" w:space="0" w:color="auto"/>
            <w:right w:val="none" w:sz="0" w:space="0" w:color="auto"/>
          </w:divBdr>
        </w:div>
        <w:div w:id="1679964146">
          <w:marLeft w:val="0"/>
          <w:marRight w:val="0"/>
          <w:marTop w:val="0"/>
          <w:marBottom w:val="0"/>
          <w:divBdr>
            <w:top w:val="none" w:sz="0" w:space="0" w:color="auto"/>
            <w:left w:val="none" w:sz="0" w:space="0" w:color="auto"/>
            <w:bottom w:val="none" w:sz="0" w:space="0" w:color="auto"/>
            <w:right w:val="none" w:sz="0" w:space="0" w:color="auto"/>
          </w:divBdr>
        </w:div>
        <w:div w:id="1329598837">
          <w:marLeft w:val="0"/>
          <w:marRight w:val="0"/>
          <w:marTop w:val="0"/>
          <w:marBottom w:val="0"/>
          <w:divBdr>
            <w:top w:val="none" w:sz="0" w:space="0" w:color="auto"/>
            <w:left w:val="none" w:sz="0" w:space="0" w:color="auto"/>
            <w:bottom w:val="none" w:sz="0" w:space="0" w:color="auto"/>
            <w:right w:val="none" w:sz="0" w:space="0" w:color="auto"/>
          </w:divBdr>
        </w:div>
        <w:div w:id="1130324126">
          <w:marLeft w:val="0"/>
          <w:marRight w:val="0"/>
          <w:marTop w:val="0"/>
          <w:marBottom w:val="0"/>
          <w:divBdr>
            <w:top w:val="none" w:sz="0" w:space="0" w:color="auto"/>
            <w:left w:val="none" w:sz="0" w:space="0" w:color="auto"/>
            <w:bottom w:val="none" w:sz="0" w:space="0" w:color="auto"/>
            <w:right w:val="none" w:sz="0" w:space="0" w:color="auto"/>
          </w:divBdr>
        </w:div>
        <w:div w:id="659315205">
          <w:marLeft w:val="0"/>
          <w:marRight w:val="0"/>
          <w:marTop w:val="0"/>
          <w:marBottom w:val="0"/>
          <w:divBdr>
            <w:top w:val="none" w:sz="0" w:space="0" w:color="auto"/>
            <w:left w:val="none" w:sz="0" w:space="0" w:color="auto"/>
            <w:bottom w:val="none" w:sz="0" w:space="0" w:color="auto"/>
            <w:right w:val="none" w:sz="0" w:space="0" w:color="auto"/>
          </w:divBdr>
        </w:div>
        <w:div w:id="42604179">
          <w:marLeft w:val="0"/>
          <w:marRight w:val="0"/>
          <w:marTop w:val="0"/>
          <w:marBottom w:val="0"/>
          <w:divBdr>
            <w:top w:val="none" w:sz="0" w:space="0" w:color="auto"/>
            <w:left w:val="none" w:sz="0" w:space="0" w:color="auto"/>
            <w:bottom w:val="none" w:sz="0" w:space="0" w:color="auto"/>
            <w:right w:val="none" w:sz="0" w:space="0" w:color="auto"/>
          </w:divBdr>
        </w:div>
        <w:div w:id="639112615">
          <w:marLeft w:val="0"/>
          <w:marRight w:val="0"/>
          <w:marTop w:val="0"/>
          <w:marBottom w:val="0"/>
          <w:divBdr>
            <w:top w:val="none" w:sz="0" w:space="0" w:color="auto"/>
            <w:left w:val="none" w:sz="0" w:space="0" w:color="auto"/>
            <w:bottom w:val="none" w:sz="0" w:space="0" w:color="auto"/>
            <w:right w:val="none" w:sz="0" w:space="0" w:color="auto"/>
          </w:divBdr>
        </w:div>
        <w:div w:id="1181050245">
          <w:marLeft w:val="0"/>
          <w:marRight w:val="0"/>
          <w:marTop w:val="0"/>
          <w:marBottom w:val="0"/>
          <w:divBdr>
            <w:top w:val="none" w:sz="0" w:space="0" w:color="auto"/>
            <w:left w:val="none" w:sz="0" w:space="0" w:color="auto"/>
            <w:bottom w:val="none" w:sz="0" w:space="0" w:color="auto"/>
            <w:right w:val="none" w:sz="0" w:space="0" w:color="auto"/>
          </w:divBdr>
        </w:div>
        <w:div w:id="1205600718">
          <w:marLeft w:val="0"/>
          <w:marRight w:val="0"/>
          <w:marTop w:val="0"/>
          <w:marBottom w:val="0"/>
          <w:divBdr>
            <w:top w:val="none" w:sz="0" w:space="0" w:color="auto"/>
            <w:left w:val="none" w:sz="0" w:space="0" w:color="auto"/>
            <w:bottom w:val="none" w:sz="0" w:space="0" w:color="auto"/>
            <w:right w:val="none" w:sz="0" w:space="0" w:color="auto"/>
          </w:divBdr>
        </w:div>
        <w:div w:id="1240754890">
          <w:marLeft w:val="0"/>
          <w:marRight w:val="0"/>
          <w:marTop w:val="0"/>
          <w:marBottom w:val="0"/>
          <w:divBdr>
            <w:top w:val="none" w:sz="0" w:space="0" w:color="auto"/>
            <w:left w:val="none" w:sz="0" w:space="0" w:color="auto"/>
            <w:bottom w:val="none" w:sz="0" w:space="0" w:color="auto"/>
            <w:right w:val="none" w:sz="0" w:space="0" w:color="auto"/>
          </w:divBdr>
        </w:div>
        <w:div w:id="2146579134">
          <w:marLeft w:val="0"/>
          <w:marRight w:val="0"/>
          <w:marTop w:val="0"/>
          <w:marBottom w:val="0"/>
          <w:divBdr>
            <w:top w:val="none" w:sz="0" w:space="0" w:color="auto"/>
            <w:left w:val="none" w:sz="0" w:space="0" w:color="auto"/>
            <w:bottom w:val="none" w:sz="0" w:space="0" w:color="auto"/>
            <w:right w:val="none" w:sz="0" w:space="0" w:color="auto"/>
          </w:divBdr>
        </w:div>
        <w:div w:id="976256148">
          <w:marLeft w:val="0"/>
          <w:marRight w:val="0"/>
          <w:marTop w:val="0"/>
          <w:marBottom w:val="0"/>
          <w:divBdr>
            <w:top w:val="none" w:sz="0" w:space="0" w:color="auto"/>
            <w:left w:val="none" w:sz="0" w:space="0" w:color="auto"/>
            <w:bottom w:val="none" w:sz="0" w:space="0" w:color="auto"/>
            <w:right w:val="none" w:sz="0" w:space="0" w:color="auto"/>
          </w:divBdr>
        </w:div>
        <w:div w:id="1824740774">
          <w:marLeft w:val="0"/>
          <w:marRight w:val="0"/>
          <w:marTop w:val="0"/>
          <w:marBottom w:val="0"/>
          <w:divBdr>
            <w:top w:val="none" w:sz="0" w:space="0" w:color="auto"/>
            <w:left w:val="none" w:sz="0" w:space="0" w:color="auto"/>
            <w:bottom w:val="none" w:sz="0" w:space="0" w:color="auto"/>
            <w:right w:val="none" w:sz="0" w:space="0" w:color="auto"/>
          </w:divBdr>
        </w:div>
        <w:div w:id="1467969131">
          <w:marLeft w:val="0"/>
          <w:marRight w:val="0"/>
          <w:marTop w:val="0"/>
          <w:marBottom w:val="0"/>
          <w:divBdr>
            <w:top w:val="none" w:sz="0" w:space="0" w:color="auto"/>
            <w:left w:val="none" w:sz="0" w:space="0" w:color="auto"/>
            <w:bottom w:val="none" w:sz="0" w:space="0" w:color="auto"/>
            <w:right w:val="none" w:sz="0" w:space="0" w:color="auto"/>
          </w:divBdr>
        </w:div>
        <w:div w:id="647975424">
          <w:marLeft w:val="0"/>
          <w:marRight w:val="0"/>
          <w:marTop w:val="0"/>
          <w:marBottom w:val="0"/>
          <w:divBdr>
            <w:top w:val="none" w:sz="0" w:space="0" w:color="auto"/>
            <w:left w:val="none" w:sz="0" w:space="0" w:color="auto"/>
            <w:bottom w:val="none" w:sz="0" w:space="0" w:color="auto"/>
            <w:right w:val="none" w:sz="0" w:space="0" w:color="auto"/>
          </w:divBdr>
        </w:div>
        <w:div w:id="1662612412">
          <w:marLeft w:val="0"/>
          <w:marRight w:val="0"/>
          <w:marTop w:val="0"/>
          <w:marBottom w:val="0"/>
          <w:divBdr>
            <w:top w:val="none" w:sz="0" w:space="0" w:color="auto"/>
            <w:left w:val="none" w:sz="0" w:space="0" w:color="auto"/>
            <w:bottom w:val="none" w:sz="0" w:space="0" w:color="auto"/>
            <w:right w:val="none" w:sz="0" w:space="0" w:color="auto"/>
          </w:divBdr>
        </w:div>
        <w:div w:id="677535518">
          <w:marLeft w:val="0"/>
          <w:marRight w:val="0"/>
          <w:marTop w:val="0"/>
          <w:marBottom w:val="0"/>
          <w:divBdr>
            <w:top w:val="none" w:sz="0" w:space="0" w:color="auto"/>
            <w:left w:val="none" w:sz="0" w:space="0" w:color="auto"/>
            <w:bottom w:val="none" w:sz="0" w:space="0" w:color="auto"/>
            <w:right w:val="none" w:sz="0" w:space="0" w:color="auto"/>
          </w:divBdr>
        </w:div>
        <w:div w:id="915675397">
          <w:marLeft w:val="0"/>
          <w:marRight w:val="0"/>
          <w:marTop w:val="0"/>
          <w:marBottom w:val="0"/>
          <w:divBdr>
            <w:top w:val="none" w:sz="0" w:space="0" w:color="auto"/>
            <w:left w:val="none" w:sz="0" w:space="0" w:color="auto"/>
            <w:bottom w:val="none" w:sz="0" w:space="0" w:color="auto"/>
            <w:right w:val="none" w:sz="0" w:space="0" w:color="auto"/>
          </w:divBdr>
        </w:div>
        <w:div w:id="1377386338">
          <w:marLeft w:val="0"/>
          <w:marRight w:val="0"/>
          <w:marTop w:val="0"/>
          <w:marBottom w:val="0"/>
          <w:divBdr>
            <w:top w:val="none" w:sz="0" w:space="0" w:color="auto"/>
            <w:left w:val="none" w:sz="0" w:space="0" w:color="auto"/>
            <w:bottom w:val="none" w:sz="0" w:space="0" w:color="auto"/>
            <w:right w:val="none" w:sz="0" w:space="0" w:color="auto"/>
          </w:divBdr>
        </w:div>
        <w:div w:id="812333101">
          <w:marLeft w:val="0"/>
          <w:marRight w:val="0"/>
          <w:marTop w:val="0"/>
          <w:marBottom w:val="0"/>
          <w:divBdr>
            <w:top w:val="none" w:sz="0" w:space="0" w:color="auto"/>
            <w:left w:val="none" w:sz="0" w:space="0" w:color="auto"/>
            <w:bottom w:val="none" w:sz="0" w:space="0" w:color="auto"/>
            <w:right w:val="none" w:sz="0" w:space="0" w:color="auto"/>
          </w:divBdr>
        </w:div>
        <w:div w:id="572667674">
          <w:marLeft w:val="0"/>
          <w:marRight w:val="0"/>
          <w:marTop w:val="0"/>
          <w:marBottom w:val="0"/>
          <w:divBdr>
            <w:top w:val="none" w:sz="0" w:space="0" w:color="auto"/>
            <w:left w:val="none" w:sz="0" w:space="0" w:color="auto"/>
            <w:bottom w:val="none" w:sz="0" w:space="0" w:color="auto"/>
            <w:right w:val="none" w:sz="0" w:space="0" w:color="auto"/>
          </w:divBdr>
        </w:div>
        <w:div w:id="118455355">
          <w:marLeft w:val="0"/>
          <w:marRight w:val="0"/>
          <w:marTop w:val="0"/>
          <w:marBottom w:val="0"/>
          <w:divBdr>
            <w:top w:val="none" w:sz="0" w:space="0" w:color="auto"/>
            <w:left w:val="none" w:sz="0" w:space="0" w:color="auto"/>
            <w:bottom w:val="none" w:sz="0" w:space="0" w:color="auto"/>
            <w:right w:val="none" w:sz="0" w:space="0" w:color="auto"/>
          </w:divBdr>
        </w:div>
      </w:divsChild>
    </w:div>
    <w:div w:id="580528720">
      <w:bodyDiv w:val="1"/>
      <w:marLeft w:val="0"/>
      <w:marRight w:val="0"/>
      <w:marTop w:val="0"/>
      <w:marBottom w:val="0"/>
      <w:divBdr>
        <w:top w:val="none" w:sz="0" w:space="0" w:color="auto"/>
        <w:left w:val="none" w:sz="0" w:space="0" w:color="auto"/>
        <w:bottom w:val="none" w:sz="0" w:space="0" w:color="auto"/>
        <w:right w:val="none" w:sz="0" w:space="0" w:color="auto"/>
      </w:divBdr>
      <w:divsChild>
        <w:div w:id="192311669">
          <w:marLeft w:val="0"/>
          <w:marRight w:val="0"/>
          <w:marTop w:val="0"/>
          <w:marBottom w:val="0"/>
          <w:divBdr>
            <w:top w:val="none" w:sz="0" w:space="0" w:color="auto"/>
            <w:left w:val="none" w:sz="0" w:space="0" w:color="auto"/>
            <w:bottom w:val="none" w:sz="0" w:space="0" w:color="auto"/>
            <w:right w:val="none" w:sz="0" w:space="0" w:color="auto"/>
          </w:divBdr>
        </w:div>
        <w:div w:id="1239947224">
          <w:marLeft w:val="0"/>
          <w:marRight w:val="0"/>
          <w:marTop w:val="0"/>
          <w:marBottom w:val="0"/>
          <w:divBdr>
            <w:top w:val="none" w:sz="0" w:space="0" w:color="auto"/>
            <w:left w:val="none" w:sz="0" w:space="0" w:color="auto"/>
            <w:bottom w:val="none" w:sz="0" w:space="0" w:color="auto"/>
            <w:right w:val="none" w:sz="0" w:space="0" w:color="auto"/>
          </w:divBdr>
        </w:div>
        <w:div w:id="1070926280">
          <w:marLeft w:val="0"/>
          <w:marRight w:val="0"/>
          <w:marTop w:val="0"/>
          <w:marBottom w:val="0"/>
          <w:divBdr>
            <w:top w:val="none" w:sz="0" w:space="0" w:color="auto"/>
            <w:left w:val="none" w:sz="0" w:space="0" w:color="auto"/>
            <w:bottom w:val="none" w:sz="0" w:space="0" w:color="auto"/>
            <w:right w:val="none" w:sz="0" w:space="0" w:color="auto"/>
          </w:divBdr>
        </w:div>
        <w:div w:id="1265265967">
          <w:marLeft w:val="0"/>
          <w:marRight w:val="0"/>
          <w:marTop w:val="0"/>
          <w:marBottom w:val="0"/>
          <w:divBdr>
            <w:top w:val="none" w:sz="0" w:space="0" w:color="auto"/>
            <w:left w:val="none" w:sz="0" w:space="0" w:color="auto"/>
            <w:bottom w:val="none" w:sz="0" w:space="0" w:color="auto"/>
            <w:right w:val="none" w:sz="0" w:space="0" w:color="auto"/>
          </w:divBdr>
        </w:div>
        <w:div w:id="1292132173">
          <w:marLeft w:val="0"/>
          <w:marRight w:val="0"/>
          <w:marTop w:val="0"/>
          <w:marBottom w:val="0"/>
          <w:divBdr>
            <w:top w:val="none" w:sz="0" w:space="0" w:color="auto"/>
            <w:left w:val="none" w:sz="0" w:space="0" w:color="auto"/>
            <w:bottom w:val="none" w:sz="0" w:space="0" w:color="auto"/>
            <w:right w:val="none" w:sz="0" w:space="0" w:color="auto"/>
          </w:divBdr>
        </w:div>
      </w:divsChild>
    </w:div>
    <w:div w:id="614292470">
      <w:bodyDiv w:val="1"/>
      <w:marLeft w:val="0"/>
      <w:marRight w:val="0"/>
      <w:marTop w:val="0"/>
      <w:marBottom w:val="0"/>
      <w:divBdr>
        <w:top w:val="none" w:sz="0" w:space="0" w:color="auto"/>
        <w:left w:val="none" w:sz="0" w:space="0" w:color="auto"/>
        <w:bottom w:val="none" w:sz="0" w:space="0" w:color="auto"/>
        <w:right w:val="none" w:sz="0" w:space="0" w:color="auto"/>
      </w:divBdr>
    </w:div>
    <w:div w:id="712846213">
      <w:bodyDiv w:val="1"/>
      <w:marLeft w:val="0"/>
      <w:marRight w:val="0"/>
      <w:marTop w:val="0"/>
      <w:marBottom w:val="0"/>
      <w:divBdr>
        <w:top w:val="none" w:sz="0" w:space="0" w:color="auto"/>
        <w:left w:val="none" w:sz="0" w:space="0" w:color="auto"/>
        <w:bottom w:val="none" w:sz="0" w:space="0" w:color="auto"/>
        <w:right w:val="none" w:sz="0" w:space="0" w:color="auto"/>
      </w:divBdr>
      <w:divsChild>
        <w:div w:id="335039884">
          <w:marLeft w:val="0"/>
          <w:marRight w:val="0"/>
          <w:marTop w:val="0"/>
          <w:marBottom w:val="0"/>
          <w:divBdr>
            <w:top w:val="none" w:sz="0" w:space="0" w:color="auto"/>
            <w:left w:val="none" w:sz="0" w:space="0" w:color="auto"/>
            <w:bottom w:val="none" w:sz="0" w:space="0" w:color="auto"/>
            <w:right w:val="none" w:sz="0" w:space="0" w:color="auto"/>
          </w:divBdr>
        </w:div>
        <w:div w:id="2145728413">
          <w:marLeft w:val="0"/>
          <w:marRight w:val="0"/>
          <w:marTop w:val="0"/>
          <w:marBottom w:val="0"/>
          <w:divBdr>
            <w:top w:val="none" w:sz="0" w:space="0" w:color="auto"/>
            <w:left w:val="none" w:sz="0" w:space="0" w:color="auto"/>
            <w:bottom w:val="none" w:sz="0" w:space="0" w:color="auto"/>
            <w:right w:val="none" w:sz="0" w:space="0" w:color="auto"/>
          </w:divBdr>
        </w:div>
        <w:div w:id="421999490">
          <w:marLeft w:val="0"/>
          <w:marRight w:val="0"/>
          <w:marTop w:val="0"/>
          <w:marBottom w:val="0"/>
          <w:divBdr>
            <w:top w:val="none" w:sz="0" w:space="0" w:color="auto"/>
            <w:left w:val="none" w:sz="0" w:space="0" w:color="auto"/>
            <w:bottom w:val="none" w:sz="0" w:space="0" w:color="auto"/>
            <w:right w:val="none" w:sz="0" w:space="0" w:color="auto"/>
          </w:divBdr>
        </w:div>
        <w:div w:id="325548344">
          <w:marLeft w:val="0"/>
          <w:marRight w:val="0"/>
          <w:marTop w:val="0"/>
          <w:marBottom w:val="0"/>
          <w:divBdr>
            <w:top w:val="none" w:sz="0" w:space="0" w:color="auto"/>
            <w:left w:val="none" w:sz="0" w:space="0" w:color="auto"/>
            <w:bottom w:val="none" w:sz="0" w:space="0" w:color="auto"/>
            <w:right w:val="none" w:sz="0" w:space="0" w:color="auto"/>
          </w:divBdr>
        </w:div>
        <w:div w:id="17892833">
          <w:marLeft w:val="0"/>
          <w:marRight w:val="0"/>
          <w:marTop w:val="0"/>
          <w:marBottom w:val="0"/>
          <w:divBdr>
            <w:top w:val="none" w:sz="0" w:space="0" w:color="auto"/>
            <w:left w:val="none" w:sz="0" w:space="0" w:color="auto"/>
            <w:bottom w:val="none" w:sz="0" w:space="0" w:color="auto"/>
            <w:right w:val="none" w:sz="0" w:space="0" w:color="auto"/>
          </w:divBdr>
        </w:div>
        <w:div w:id="542521364">
          <w:marLeft w:val="0"/>
          <w:marRight w:val="0"/>
          <w:marTop w:val="0"/>
          <w:marBottom w:val="0"/>
          <w:divBdr>
            <w:top w:val="none" w:sz="0" w:space="0" w:color="auto"/>
            <w:left w:val="none" w:sz="0" w:space="0" w:color="auto"/>
            <w:bottom w:val="none" w:sz="0" w:space="0" w:color="auto"/>
            <w:right w:val="none" w:sz="0" w:space="0" w:color="auto"/>
          </w:divBdr>
        </w:div>
        <w:div w:id="1855147254">
          <w:marLeft w:val="0"/>
          <w:marRight w:val="0"/>
          <w:marTop w:val="0"/>
          <w:marBottom w:val="0"/>
          <w:divBdr>
            <w:top w:val="none" w:sz="0" w:space="0" w:color="auto"/>
            <w:left w:val="none" w:sz="0" w:space="0" w:color="auto"/>
            <w:bottom w:val="none" w:sz="0" w:space="0" w:color="auto"/>
            <w:right w:val="none" w:sz="0" w:space="0" w:color="auto"/>
          </w:divBdr>
        </w:div>
        <w:div w:id="304818755">
          <w:marLeft w:val="0"/>
          <w:marRight w:val="0"/>
          <w:marTop w:val="0"/>
          <w:marBottom w:val="0"/>
          <w:divBdr>
            <w:top w:val="none" w:sz="0" w:space="0" w:color="auto"/>
            <w:left w:val="none" w:sz="0" w:space="0" w:color="auto"/>
            <w:bottom w:val="none" w:sz="0" w:space="0" w:color="auto"/>
            <w:right w:val="none" w:sz="0" w:space="0" w:color="auto"/>
          </w:divBdr>
        </w:div>
        <w:div w:id="1351564152">
          <w:marLeft w:val="0"/>
          <w:marRight w:val="0"/>
          <w:marTop w:val="0"/>
          <w:marBottom w:val="0"/>
          <w:divBdr>
            <w:top w:val="none" w:sz="0" w:space="0" w:color="auto"/>
            <w:left w:val="none" w:sz="0" w:space="0" w:color="auto"/>
            <w:bottom w:val="none" w:sz="0" w:space="0" w:color="auto"/>
            <w:right w:val="none" w:sz="0" w:space="0" w:color="auto"/>
          </w:divBdr>
        </w:div>
        <w:div w:id="2084257995">
          <w:marLeft w:val="0"/>
          <w:marRight w:val="0"/>
          <w:marTop w:val="0"/>
          <w:marBottom w:val="0"/>
          <w:divBdr>
            <w:top w:val="none" w:sz="0" w:space="0" w:color="auto"/>
            <w:left w:val="none" w:sz="0" w:space="0" w:color="auto"/>
            <w:bottom w:val="none" w:sz="0" w:space="0" w:color="auto"/>
            <w:right w:val="none" w:sz="0" w:space="0" w:color="auto"/>
          </w:divBdr>
        </w:div>
        <w:div w:id="1366829449">
          <w:marLeft w:val="0"/>
          <w:marRight w:val="0"/>
          <w:marTop w:val="0"/>
          <w:marBottom w:val="0"/>
          <w:divBdr>
            <w:top w:val="none" w:sz="0" w:space="0" w:color="auto"/>
            <w:left w:val="none" w:sz="0" w:space="0" w:color="auto"/>
            <w:bottom w:val="none" w:sz="0" w:space="0" w:color="auto"/>
            <w:right w:val="none" w:sz="0" w:space="0" w:color="auto"/>
          </w:divBdr>
        </w:div>
        <w:div w:id="124084186">
          <w:marLeft w:val="0"/>
          <w:marRight w:val="0"/>
          <w:marTop w:val="0"/>
          <w:marBottom w:val="0"/>
          <w:divBdr>
            <w:top w:val="none" w:sz="0" w:space="0" w:color="auto"/>
            <w:left w:val="none" w:sz="0" w:space="0" w:color="auto"/>
            <w:bottom w:val="none" w:sz="0" w:space="0" w:color="auto"/>
            <w:right w:val="none" w:sz="0" w:space="0" w:color="auto"/>
          </w:divBdr>
        </w:div>
        <w:div w:id="1200967735">
          <w:marLeft w:val="0"/>
          <w:marRight w:val="0"/>
          <w:marTop w:val="0"/>
          <w:marBottom w:val="0"/>
          <w:divBdr>
            <w:top w:val="none" w:sz="0" w:space="0" w:color="auto"/>
            <w:left w:val="none" w:sz="0" w:space="0" w:color="auto"/>
            <w:bottom w:val="none" w:sz="0" w:space="0" w:color="auto"/>
            <w:right w:val="none" w:sz="0" w:space="0" w:color="auto"/>
          </w:divBdr>
        </w:div>
        <w:div w:id="1694840127">
          <w:marLeft w:val="0"/>
          <w:marRight w:val="0"/>
          <w:marTop w:val="0"/>
          <w:marBottom w:val="0"/>
          <w:divBdr>
            <w:top w:val="none" w:sz="0" w:space="0" w:color="auto"/>
            <w:left w:val="none" w:sz="0" w:space="0" w:color="auto"/>
            <w:bottom w:val="none" w:sz="0" w:space="0" w:color="auto"/>
            <w:right w:val="none" w:sz="0" w:space="0" w:color="auto"/>
          </w:divBdr>
        </w:div>
        <w:div w:id="1354071701">
          <w:marLeft w:val="0"/>
          <w:marRight w:val="0"/>
          <w:marTop w:val="0"/>
          <w:marBottom w:val="0"/>
          <w:divBdr>
            <w:top w:val="none" w:sz="0" w:space="0" w:color="auto"/>
            <w:left w:val="none" w:sz="0" w:space="0" w:color="auto"/>
            <w:bottom w:val="none" w:sz="0" w:space="0" w:color="auto"/>
            <w:right w:val="none" w:sz="0" w:space="0" w:color="auto"/>
          </w:divBdr>
        </w:div>
        <w:div w:id="1019509047">
          <w:marLeft w:val="0"/>
          <w:marRight w:val="0"/>
          <w:marTop w:val="0"/>
          <w:marBottom w:val="0"/>
          <w:divBdr>
            <w:top w:val="none" w:sz="0" w:space="0" w:color="auto"/>
            <w:left w:val="none" w:sz="0" w:space="0" w:color="auto"/>
            <w:bottom w:val="none" w:sz="0" w:space="0" w:color="auto"/>
            <w:right w:val="none" w:sz="0" w:space="0" w:color="auto"/>
          </w:divBdr>
        </w:div>
        <w:div w:id="1751534692">
          <w:marLeft w:val="0"/>
          <w:marRight w:val="0"/>
          <w:marTop w:val="0"/>
          <w:marBottom w:val="0"/>
          <w:divBdr>
            <w:top w:val="none" w:sz="0" w:space="0" w:color="auto"/>
            <w:left w:val="none" w:sz="0" w:space="0" w:color="auto"/>
            <w:bottom w:val="none" w:sz="0" w:space="0" w:color="auto"/>
            <w:right w:val="none" w:sz="0" w:space="0" w:color="auto"/>
          </w:divBdr>
        </w:div>
        <w:div w:id="905066688">
          <w:marLeft w:val="0"/>
          <w:marRight w:val="0"/>
          <w:marTop w:val="0"/>
          <w:marBottom w:val="0"/>
          <w:divBdr>
            <w:top w:val="none" w:sz="0" w:space="0" w:color="auto"/>
            <w:left w:val="none" w:sz="0" w:space="0" w:color="auto"/>
            <w:bottom w:val="none" w:sz="0" w:space="0" w:color="auto"/>
            <w:right w:val="none" w:sz="0" w:space="0" w:color="auto"/>
          </w:divBdr>
        </w:div>
        <w:div w:id="723722382">
          <w:marLeft w:val="0"/>
          <w:marRight w:val="0"/>
          <w:marTop w:val="0"/>
          <w:marBottom w:val="0"/>
          <w:divBdr>
            <w:top w:val="none" w:sz="0" w:space="0" w:color="auto"/>
            <w:left w:val="none" w:sz="0" w:space="0" w:color="auto"/>
            <w:bottom w:val="none" w:sz="0" w:space="0" w:color="auto"/>
            <w:right w:val="none" w:sz="0" w:space="0" w:color="auto"/>
          </w:divBdr>
        </w:div>
        <w:div w:id="191841575">
          <w:marLeft w:val="0"/>
          <w:marRight w:val="0"/>
          <w:marTop w:val="0"/>
          <w:marBottom w:val="0"/>
          <w:divBdr>
            <w:top w:val="none" w:sz="0" w:space="0" w:color="auto"/>
            <w:left w:val="none" w:sz="0" w:space="0" w:color="auto"/>
            <w:bottom w:val="none" w:sz="0" w:space="0" w:color="auto"/>
            <w:right w:val="none" w:sz="0" w:space="0" w:color="auto"/>
          </w:divBdr>
        </w:div>
        <w:div w:id="7410328">
          <w:marLeft w:val="0"/>
          <w:marRight w:val="0"/>
          <w:marTop w:val="0"/>
          <w:marBottom w:val="0"/>
          <w:divBdr>
            <w:top w:val="none" w:sz="0" w:space="0" w:color="auto"/>
            <w:left w:val="none" w:sz="0" w:space="0" w:color="auto"/>
            <w:bottom w:val="none" w:sz="0" w:space="0" w:color="auto"/>
            <w:right w:val="none" w:sz="0" w:space="0" w:color="auto"/>
          </w:divBdr>
        </w:div>
        <w:div w:id="1586842483">
          <w:marLeft w:val="0"/>
          <w:marRight w:val="0"/>
          <w:marTop w:val="0"/>
          <w:marBottom w:val="0"/>
          <w:divBdr>
            <w:top w:val="none" w:sz="0" w:space="0" w:color="auto"/>
            <w:left w:val="none" w:sz="0" w:space="0" w:color="auto"/>
            <w:bottom w:val="none" w:sz="0" w:space="0" w:color="auto"/>
            <w:right w:val="none" w:sz="0" w:space="0" w:color="auto"/>
          </w:divBdr>
        </w:div>
        <w:div w:id="513419583">
          <w:marLeft w:val="0"/>
          <w:marRight w:val="0"/>
          <w:marTop w:val="0"/>
          <w:marBottom w:val="0"/>
          <w:divBdr>
            <w:top w:val="none" w:sz="0" w:space="0" w:color="auto"/>
            <w:left w:val="none" w:sz="0" w:space="0" w:color="auto"/>
            <w:bottom w:val="none" w:sz="0" w:space="0" w:color="auto"/>
            <w:right w:val="none" w:sz="0" w:space="0" w:color="auto"/>
          </w:divBdr>
        </w:div>
        <w:div w:id="1567377966">
          <w:marLeft w:val="0"/>
          <w:marRight w:val="0"/>
          <w:marTop w:val="0"/>
          <w:marBottom w:val="0"/>
          <w:divBdr>
            <w:top w:val="none" w:sz="0" w:space="0" w:color="auto"/>
            <w:left w:val="none" w:sz="0" w:space="0" w:color="auto"/>
            <w:bottom w:val="none" w:sz="0" w:space="0" w:color="auto"/>
            <w:right w:val="none" w:sz="0" w:space="0" w:color="auto"/>
          </w:divBdr>
        </w:div>
        <w:div w:id="1859352361">
          <w:marLeft w:val="0"/>
          <w:marRight w:val="0"/>
          <w:marTop w:val="0"/>
          <w:marBottom w:val="0"/>
          <w:divBdr>
            <w:top w:val="none" w:sz="0" w:space="0" w:color="auto"/>
            <w:left w:val="none" w:sz="0" w:space="0" w:color="auto"/>
            <w:bottom w:val="none" w:sz="0" w:space="0" w:color="auto"/>
            <w:right w:val="none" w:sz="0" w:space="0" w:color="auto"/>
          </w:divBdr>
        </w:div>
        <w:div w:id="265625950">
          <w:marLeft w:val="0"/>
          <w:marRight w:val="0"/>
          <w:marTop w:val="0"/>
          <w:marBottom w:val="0"/>
          <w:divBdr>
            <w:top w:val="none" w:sz="0" w:space="0" w:color="auto"/>
            <w:left w:val="none" w:sz="0" w:space="0" w:color="auto"/>
            <w:bottom w:val="none" w:sz="0" w:space="0" w:color="auto"/>
            <w:right w:val="none" w:sz="0" w:space="0" w:color="auto"/>
          </w:divBdr>
        </w:div>
        <w:div w:id="401416703">
          <w:marLeft w:val="0"/>
          <w:marRight w:val="0"/>
          <w:marTop w:val="0"/>
          <w:marBottom w:val="0"/>
          <w:divBdr>
            <w:top w:val="none" w:sz="0" w:space="0" w:color="auto"/>
            <w:left w:val="none" w:sz="0" w:space="0" w:color="auto"/>
            <w:bottom w:val="none" w:sz="0" w:space="0" w:color="auto"/>
            <w:right w:val="none" w:sz="0" w:space="0" w:color="auto"/>
          </w:divBdr>
        </w:div>
        <w:div w:id="1365404658">
          <w:marLeft w:val="0"/>
          <w:marRight w:val="0"/>
          <w:marTop w:val="0"/>
          <w:marBottom w:val="0"/>
          <w:divBdr>
            <w:top w:val="none" w:sz="0" w:space="0" w:color="auto"/>
            <w:left w:val="none" w:sz="0" w:space="0" w:color="auto"/>
            <w:bottom w:val="none" w:sz="0" w:space="0" w:color="auto"/>
            <w:right w:val="none" w:sz="0" w:space="0" w:color="auto"/>
          </w:divBdr>
        </w:div>
        <w:div w:id="1489010555">
          <w:marLeft w:val="0"/>
          <w:marRight w:val="0"/>
          <w:marTop w:val="0"/>
          <w:marBottom w:val="0"/>
          <w:divBdr>
            <w:top w:val="none" w:sz="0" w:space="0" w:color="auto"/>
            <w:left w:val="none" w:sz="0" w:space="0" w:color="auto"/>
            <w:bottom w:val="none" w:sz="0" w:space="0" w:color="auto"/>
            <w:right w:val="none" w:sz="0" w:space="0" w:color="auto"/>
          </w:divBdr>
        </w:div>
        <w:div w:id="1296375462">
          <w:marLeft w:val="0"/>
          <w:marRight w:val="0"/>
          <w:marTop w:val="0"/>
          <w:marBottom w:val="0"/>
          <w:divBdr>
            <w:top w:val="none" w:sz="0" w:space="0" w:color="auto"/>
            <w:left w:val="none" w:sz="0" w:space="0" w:color="auto"/>
            <w:bottom w:val="none" w:sz="0" w:space="0" w:color="auto"/>
            <w:right w:val="none" w:sz="0" w:space="0" w:color="auto"/>
          </w:divBdr>
        </w:div>
        <w:div w:id="1700860602">
          <w:marLeft w:val="0"/>
          <w:marRight w:val="0"/>
          <w:marTop w:val="0"/>
          <w:marBottom w:val="0"/>
          <w:divBdr>
            <w:top w:val="none" w:sz="0" w:space="0" w:color="auto"/>
            <w:left w:val="none" w:sz="0" w:space="0" w:color="auto"/>
            <w:bottom w:val="none" w:sz="0" w:space="0" w:color="auto"/>
            <w:right w:val="none" w:sz="0" w:space="0" w:color="auto"/>
          </w:divBdr>
        </w:div>
        <w:div w:id="1709187624">
          <w:marLeft w:val="0"/>
          <w:marRight w:val="0"/>
          <w:marTop w:val="0"/>
          <w:marBottom w:val="0"/>
          <w:divBdr>
            <w:top w:val="none" w:sz="0" w:space="0" w:color="auto"/>
            <w:left w:val="none" w:sz="0" w:space="0" w:color="auto"/>
            <w:bottom w:val="none" w:sz="0" w:space="0" w:color="auto"/>
            <w:right w:val="none" w:sz="0" w:space="0" w:color="auto"/>
          </w:divBdr>
        </w:div>
        <w:div w:id="1749110792">
          <w:marLeft w:val="0"/>
          <w:marRight w:val="0"/>
          <w:marTop w:val="0"/>
          <w:marBottom w:val="0"/>
          <w:divBdr>
            <w:top w:val="none" w:sz="0" w:space="0" w:color="auto"/>
            <w:left w:val="none" w:sz="0" w:space="0" w:color="auto"/>
            <w:bottom w:val="none" w:sz="0" w:space="0" w:color="auto"/>
            <w:right w:val="none" w:sz="0" w:space="0" w:color="auto"/>
          </w:divBdr>
        </w:div>
        <w:div w:id="1893687290">
          <w:marLeft w:val="0"/>
          <w:marRight w:val="0"/>
          <w:marTop w:val="0"/>
          <w:marBottom w:val="0"/>
          <w:divBdr>
            <w:top w:val="none" w:sz="0" w:space="0" w:color="auto"/>
            <w:left w:val="none" w:sz="0" w:space="0" w:color="auto"/>
            <w:bottom w:val="none" w:sz="0" w:space="0" w:color="auto"/>
            <w:right w:val="none" w:sz="0" w:space="0" w:color="auto"/>
          </w:divBdr>
        </w:div>
        <w:div w:id="242568105">
          <w:marLeft w:val="0"/>
          <w:marRight w:val="0"/>
          <w:marTop w:val="0"/>
          <w:marBottom w:val="0"/>
          <w:divBdr>
            <w:top w:val="none" w:sz="0" w:space="0" w:color="auto"/>
            <w:left w:val="none" w:sz="0" w:space="0" w:color="auto"/>
            <w:bottom w:val="none" w:sz="0" w:space="0" w:color="auto"/>
            <w:right w:val="none" w:sz="0" w:space="0" w:color="auto"/>
          </w:divBdr>
        </w:div>
        <w:div w:id="686903795">
          <w:marLeft w:val="0"/>
          <w:marRight w:val="0"/>
          <w:marTop w:val="0"/>
          <w:marBottom w:val="0"/>
          <w:divBdr>
            <w:top w:val="none" w:sz="0" w:space="0" w:color="auto"/>
            <w:left w:val="none" w:sz="0" w:space="0" w:color="auto"/>
            <w:bottom w:val="none" w:sz="0" w:space="0" w:color="auto"/>
            <w:right w:val="none" w:sz="0" w:space="0" w:color="auto"/>
          </w:divBdr>
        </w:div>
        <w:div w:id="1696036243">
          <w:marLeft w:val="0"/>
          <w:marRight w:val="0"/>
          <w:marTop w:val="0"/>
          <w:marBottom w:val="0"/>
          <w:divBdr>
            <w:top w:val="none" w:sz="0" w:space="0" w:color="auto"/>
            <w:left w:val="none" w:sz="0" w:space="0" w:color="auto"/>
            <w:bottom w:val="none" w:sz="0" w:space="0" w:color="auto"/>
            <w:right w:val="none" w:sz="0" w:space="0" w:color="auto"/>
          </w:divBdr>
        </w:div>
        <w:div w:id="613438684">
          <w:marLeft w:val="0"/>
          <w:marRight w:val="0"/>
          <w:marTop w:val="0"/>
          <w:marBottom w:val="0"/>
          <w:divBdr>
            <w:top w:val="none" w:sz="0" w:space="0" w:color="auto"/>
            <w:left w:val="none" w:sz="0" w:space="0" w:color="auto"/>
            <w:bottom w:val="none" w:sz="0" w:space="0" w:color="auto"/>
            <w:right w:val="none" w:sz="0" w:space="0" w:color="auto"/>
          </w:divBdr>
        </w:div>
        <w:div w:id="316767235">
          <w:marLeft w:val="0"/>
          <w:marRight w:val="0"/>
          <w:marTop w:val="0"/>
          <w:marBottom w:val="0"/>
          <w:divBdr>
            <w:top w:val="none" w:sz="0" w:space="0" w:color="auto"/>
            <w:left w:val="none" w:sz="0" w:space="0" w:color="auto"/>
            <w:bottom w:val="none" w:sz="0" w:space="0" w:color="auto"/>
            <w:right w:val="none" w:sz="0" w:space="0" w:color="auto"/>
          </w:divBdr>
        </w:div>
      </w:divsChild>
    </w:div>
    <w:div w:id="844398412">
      <w:bodyDiv w:val="1"/>
      <w:marLeft w:val="0"/>
      <w:marRight w:val="0"/>
      <w:marTop w:val="0"/>
      <w:marBottom w:val="0"/>
      <w:divBdr>
        <w:top w:val="none" w:sz="0" w:space="0" w:color="auto"/>
        <w:left w:val="none" w:sz="0" w:space="0" w:color="auto"/>
        <w:bottom w:val="none" w:sz="0" w:space="0" w:color="auto"/>
        <w:right w:val="none" w:sz="0" w:space="0" w:color="auto"/>
      </w:divBdr>
    </w:div>
    <w:div w:id="934553067">
      <w:bodyDiv w:val="1"/>
      <w:marLeft w:val="0"/>
      <w:marRight w:val="0"/>
      <w:marTop w:val="0"/>
      <w:marBottom w:val="0"/>
      <w:divBdr>
        <w:top w:val="none" w:sz="0" w:space="0" w:color="auto"/>
        <w:left w:val="none" w:sz="0" w:space="0" w:color="auto"/>
        <w:bottom w:val="none" w:sz="0" w:space="0" w:color="auto"/>
        <w:right w:val="none" w:sz="0" w:space="0" w:color="auto"/>
      </w:divBdr>
    </w:div>
    <w:div w:id="1074158092">
      <w:bodyDiv w:val="1"/>
      <w:marLeft w:val="0"/>
      <w:marRight w:val="0"/>
      <w:marTop w:val="0"/>
      <w:marBottom w:val="0"/>
      <w:divBdr>
        <w:top w:val="none" w:sz="0" w:space="0" w:color="auto"/>
        <w:left w:val="none" w:sz="0" w:space="0" w:color="auto"/>
        <w:bottom w:val="none" w:sz="0" w:space="0" w:color="auto"/>
        <w:right w:val="none" w:sz="0" w:space="0" w:color="auto"/>
      </w:divBdr>
    </w:div>
    <w:div w:id="1087920888">
      <w:bodyDiv w:val="1"/>
      <w:marLeft w:val="0"/>
      <w:marRight w:val="0"/>
      <w:marTop w:val="0"/>
      <w:marBottom w:val="0"/>
      <w:divBdr>
        <w:top w:val="none" w:sz="0" w:space="0" w:color="auto"/>
        <w:left w:val="none" w:sz="0" w:space="0" w:color="auto"/>
        <w:bottom w:val="none" w:sz="0" w:space="0" w:color="auto"/>
        <w:right w:val="none" w:sz="0" w:space="0" w:color="auto"/>
      </w:divBdr>
      <w:divsChild>
        <w:div w:id="866987093">
          <w:marLeft w:val="0"/>
          <w:marRight w:val="0"/>
          <w:marTop w:val="0"/>
          <w:marBottom w:val="0"/>
          <w:divBdr>
            <w:top w:val="none" w:sz="0" w:space="0" w:color="auto"/>
            <w:left w:val="none" w:sz="0" w:space="0" w:color="auto"/>
            <w:bottom w:val="none" w:sz="0" w:space="0" w:color="auto"/>
            <w:right w:val="none" w:sz="0" w:space="0" w:color="auto"/>
          </w:divBdr>
        </w:div>
        <w:div w:id="1160122082">
          <w:marLeft w:val="0"/>
          <w:marRight w:val="0"/>
          <w:marTop w:val="0"/>
          <w:marBottom w:val="0"/>
          <w:divBdr>
            <w:top w:val="none" w:sz="0" w:space="0" w:color="auto"/>
            <w:left w:val="none" w:sz="0" w:space="0" w:color="auto"/>
            <w:bottom w:val="none" w:sz="0" w:space="0" w:color="auto"/>
            <w:right w:val="none" w:sz="0" w:space="0" w:color="auto"/>
          </w:divBdr>
        </w:div>
        <w:div w:id="301425789">
          <w:marLeft w:val="0"/>
          <w:marRight w:val="0"/>
          <w:marTop w:val="0"/>
          <w:marBottom w:val="0"/>
          <w:divBdr>
            <w:top w:val="none" w:sz="0" w:space="0" w:color="auto"/>
            <w:left w:val="none" w:sz="0" w:space="0" w:color="auto"/>
            <w:bottom w:val="none" w:sz="0" w:space="0" w:color="auto"/>
            <w:right w:val="none" w:sz="0" w:space="0" w:color="auto"/>
          </w:divBdr>
        </w:div>
        <w:div w:id="734663401">
          <w:marLeft w:val="0"/>
          <w:marRight w:val="0"/>
          <w:marTop w:val="0"/>
          <w:marBottom w:val="0"/>
          <w:divBdr>
            <w:top w:val="none" w:sz="0" w:space="0" w:color="auto"/>
            <w:left w:val="none" w:sz="0" w:space="0" w:color="auto"/>
            <w:bottom w:val="none" w:sz="0" w:space="0" w:color="auto"/>
            <w:right w:val="none" w:sz="0" w:space="0" w:color="auto"/>
          </w:divBdr>
        </w:div>
        <w:div w:id="197817980">
          <w:marLeft w:val="0"/>
          <w:marRight w:val="0"/>
          <w:marTop w:val="0"/>
          <w:marBottom w:val="0"/>
          <w:divBdr>
            <w:top w:val="none" w:sz="0" w:space="0" w:color="auto"/>
            <w:left w:val="none" w:sz="0" w:space="0" w:color="auto"/>
            <w:bottom w:val="none" w:sz="0" w:space="0" w:color="auto"/>
            <w:right w:val="none" w:sz="0" w:space="0" w:color="auto"/>
          </w:divBdr>
        </w:div>
        <w:div w:id="443186284">
          <w:marLeft w:val="0"/>
          <w:marRight w:val="0"/>
          <w:marTop w:val="0"/>
          <w:marBottom w:val="0"/>
          <w:divBdr>
            <w:top w:val="none" w:sz="0" w:space="0" w:color="auto"/>
            <w:left w:val="none" w:sz="0" w:space="0" w:color="auto"/>
            <w:bottom w:val="none" w:sz="0" w:space="0" w:color="auto"/>
            <w:right w:val="none" w:sz="0" w:space="0" w:color="auto"/>
          </w:divBdr>
        </w:div>
        <w:div w:id="1750806579">
          <w:marLeft w:val="0"/>
          <w:marRight w:val="0"/>
          <w:marTop w:val="0"/>
          <w:marBottom w:val="0"/>
          <w:divBdr>
            <w:top w:val="none" w:sz="0" w:space="0" w:color="auto"/>
            <w:left w:val="none" w:sz="0" w:space="0" w:color="auto"/>
            <w:bottom w:val="none" w:sz="0" w:space="0" w:color="auto"/>
            <w:right w:val="none" w:sz="0" w:space="0" w:color="auto"/>
          </w:divBdr>
        </w:div>
        <w:div w:id="727726047">
          <w:marLeft w:val="0"/>
          <w:marRight w:val="0"/>
          <w:marTop w:val="0"/>
          <w:marBottom w:val="0"/>
          <w:divBdr>
            <w:top w:val="none" w:sz="0" w:space="0" w:color="auto"/>
            <w:left w:val="none" w:sz="0" w:space="0" w:color="auto"/>
            <w:bottom w:val="none" w:sz="0" w:space="0" w:color="auto"/>
            <w:right w:val="none" w:sz="0" w:space="0" w:color="auto"/>
          </w:divBdr>
        </w:div>
        <w:div w:id="1969970521">
          <w:marLeft w:val="0"/>
          <w:marRight w:val="0"/>
          <w:marTop w:val="0"/>
          <w:marBottom w:val="0"/>
          <w:divBdr>
            <w:top w:val="none" w:sz="0" w:space="0" w:color="auto"/>
            <w:left w:val="none" w:sz="0" w:space="0" w:color="auto"/>
            <w:bottom w:val="none" w:sz="0" w:space="0" w:color="auto"/>
            <w:right w:val="none" w:sz="0" w:space="0" w:color="auto"/>
          </w:divBdr>
        </w:div>
        <w:div w:id="1070351514">
          <w:marLeft w:val="0"/>
          <w:marRight w:val="0"/>
          <w:marTop w:val="0"/>
          <w:marBottom w:val="0"/>
          <w:divBdr>
            <w:top w:val="none" w:sz="0" w:space="0" w:color="auto"/>
            <w:left w:val="none" w:sz="0" w:space="0" w:color="auto"/>
            <w:bottom w:val="none" w:sz="0" w:space="0" w:color="auto"/>
            <w:right w:val="none" w:sz="0" w:space="0" w:color="auto"/>
          </w:divBdr>
        </w:div>
        <w:div w:id="1998027792">
          <w:marLeft w:val="0"/>
          <w:marRight w:val="0"/>
          <w:marTop w:val="0"/>
          <w:marBottom w:val="0"/>
          <w:divBdr>
            <w:top w:val="none" w:sz="0" w:space="0" w:color="auto"/>
            <w:left w:val="none" w:sz="0" w:space="0" w:color="auto"/>
            <w:bottom w:val="none" w:sz="0" w:space="0" w:color="auto"/>
            <w:right w:val="none" w:sz="0" w:space="0" w:color="auto"/>
          </w:divBdr>
        </w:div>
        <w:div w:id="227963086">
          <w:marLeft w:val="0"/>
          <w:marRight w:val="0"/>
          <w:marTop w:val="0"/>
          <w:marBottom w:val="0"/>
          <w:divBdr>
            <w:top w:val="none" w:sz="0" w:space="0" w:color="auto"/>
            <w:left w:val="none" w:sz="0" w:space="0" w:color="auto"/>
            <w:bottom w:val="none" w:sz="0" w:space="0" w:color="auto"/>
            <w:right w:val="none" w:sz="0" w:space="0" w:color="auto"/>
          </w:divBdr>
        </w:div>
        <w:div w:id="1193420876">
          <w:marLeft w:val="0"/>
          <w:marRight w:val="0"/>
          <w:marTop w:val="0"/>
          <w:marBottom w:val="0"/>
          <w:divBdr>
            <w:top w:val="none" w:sz="0" w:space="0" w:color="auto"/>
            <w:left w:val="none" w:sz="0" w:space="0" w:color="auto"/>
            <w:bottom w:val="none" w:sz="0" w:space="0" w:color="auto"/>
            <w:right w:val="none" w:sz="0" w:space="0" w:color="auto"/>
          </w:divBdr>
        </w:div>
        <w:div w:id="1825854632">
          <w:marLeft w:val="0"/>
          <w:marRight w:val="0"/>
          <w:marTop w:val="0"/>
          <w:marBottom w:val="0"/>
          <w:divBdr>
            <w:top w:val="none" w:sz="0" w:space="0" w:color="auto"/>
            <w:left w:val="none" w:sz="0" w:space="0" w:color="auto"/>
            <w:bottom w:val="none" w:sz="0" w:space="0" w:color="auto"/>
            <w:right w:val="none" w:sz="0" w:space="0" w:color="auto"/>
          </w:divBdr>
        </w:div>
        <w:div w:id="1082608478">
          <w:marLeft w:val="0"/>
          <w:marRight w:val="0"/>
          <w:marTop w:val="0"/>
          <w:marBottom w:val="0"/>
          <w:divBdr>
            <w:top w:val="none" w:sz="0" w:space="0" w:color="auto"/>
            <w:left w:val="none" w:sz="0" w:space="0" w:color="auto"/>
            <w:bottom w:val="none" w:sz="0" w:space="0" w:color="auto"/>
            <w:right w:val="none" w:sz="0" w:space="0" w:color="auto"/>
          </w:divBdr>
        </w:div>
        <w:div w:id="1856727071">
          <w:marLeft w:val="0"/>
          <w:marRight w:val="0"/>
          <w:marTop w:val="0"/>
          <w:marBottom w:val="0"/>
          <w:divBdr>
            <w:top w:val="none" w:sz="0" w:space="0" w:color="auto"/>
            <w:left w:val="none" w:sz="0" w:space="0" w:color="auto"/>
            <w:bottom w:val="none" w:sz="0" w:space="0" w:color="auto"/>
            <w:right w:val="none" w:sz="0" w:space="0" w:color="auto"/>
          </w:divBdr>
        </w:div>
        <w:div w:id="609775208">
          <w:marLeft w:val="0"/>
          <w:marRight w:val="0"/>
          <w:marTop w:val="0"/>
          <w:marBottom w:val="0"/>
          <w:divBdr>
            <w:top w:val="none" w:sz="0" w:space="0" w:color="auto"/>
            <w:left w:val="none" w:sz="0" w:space="0" w:color="auto"/>
            <w:bottom w:val="none" w:sz="0" w:space="0" w:color="auto"/>
            <w:right w:val="none" w:sz="0" w:space="0" w:color="auto"/>
          </w:divBdr>
        </w:div>
      </w:divsChild>
    </w:div>
    <w:div w:id="1186093385">
      <w:bodyDiv w:val="1"/>
      <w:marLeft w:val="0"/>
      <w:marRight w:val="0"/>
      <w:marTop w:val="0"/>
      <w:marBottom w:val="0"/>
      <w:divBdr>
        <w:top w:val="none" w:sz="0" w:space="0" w:color="auto"/>
        <w:left w:val="none" w:sz="0" w:space="0" w:color="auto"/>
        <w:bottom w:val="none" w:sz="0" w:space="0" w:color="auto"/>
        <w:right w:val="none" w:sz="0" w:space="0" w:color="auto"/>
      </w:divBdr>
      <w:divsChild>
        <w:div w:id="2004115908">
          <w:marLeft w:val="0"/>
          <w:marRight w:val="0"/>
          <w:marTop w:val="0"/>
          <w:marBottom w:val="0"/>
          <w:divBdr>
            <w:top w:val="none" w:sz="0" w:space="0" w:color="auto"/>
            <w:left w:val="none" w:sz="0" w:space="0" w:color="auto"/>
            <w:bottom w:val="none" w:sz="0" w:space="0" w:color="auto"/>
            <w:right w:val="none" w:sz="0" w:space="0" w:color="auto"/>
          </w:divBdr>
        </w:div>
        <w:div w:id="836383589">
          <w:marLeft w:val="0"/>
          <w:marRight w:val="0"/>
          <w:marTop w:val="0"/>
          <w:marBottom w:val="0"/>
          <w:divBdr>
            <w:top w:val="none" w:sz="0" w:space="0" w:color="auto"/>
            <w:left w:val="none" w:sz="0" w:space="0" w:color="auto"/>
            <w:bottom w:val="none" w:sz="0" w:space="0" w:color="auto"/>
            <w:right w:val="none" w:sz="0" w:space="0" w:color="auto"/>
          </w:divBdr>
        </w:div>
        <w:div w:id="810942493">
          <w:marLeft w:val="0"/>
          <w:marRight w:val="0"/>
          <w:marTop w:val="0"/>
          <w:marBottom w:val="0"/>
          <w:divBdr>
            <w:top w:val="none" w:sz="0" w:space="0" w:color="auto"/>
            <w:left w:val="none" w:sz="0" w:space="0" w:color="auto"/>
            <w:bottom w:val="none" w:sz="0" w:space="0" w:color="auto"/>
            <w:right w:val="none" w:sz="0" w:space="0" w:color="auto"/>
          </w:divBdr>
        </w:div>
        <w:div w:id="1559899743">
          <w:marLeft w:val="0"/>
          <w:marRight w:val="0"/>
          <w:marTop w:val="0"/>
          <w:marBottom w:val="0"/>
          <w:divBdr>
            <w:top w:val="none" w:sz="0" w:space="0" w:color="auto"/>
            <w:left w:val="none" w:sz="0" w:space="0" w:color="auto"/>
            <w:bottom w:val="none" w:sz="0" w:space="0" w:color="auto"/>
            <w:right w:val="none" w:sz="0" w:space="0" w:color="auto"/>
          </w:divBdr>
        </w:div>
        <w:div w:id="383065625">
          <w:marLeft w:val="0"/>
          <w:marRight w:val="0"/>
          <w:marTop w:val="0"/>
          <w:marBottom w:val="0"/>
          <w:divBdr>
            <w:top w:val="none" w:sz="0" w:space="0" w:color="auto"/>
            <w:left w:val="none" w:sz="0" w:space="0" w:color="auto"/>
            <w:bottom w:val="none" w:sz="0" w:space="0" w:color="auto"/>
            <w:right w:val="none" w:sz="0" w:space="0" w:color="auto"/>
          </w:divBdr>
        </w:div>
      </w:divsChild>
    </w:div>
    <w:div w:id="1216350210">
      <w:bodyDiv w:val="1"/>
      <w:marLeft w:val="0"/>
      <w:marRight w:val="0"/>
      <w:marTop w:val="0"/>
      <w:marBottom w:val="0"/>
      <w:divBdr>
        <w:top w:val="none" w:sz="0" w:space="0" w:color="auto"/>
        <w:left w:val="none" w:sz="0" w:space="0" w:color="auto"/>
        <w:bottom w:val="none" w:sz="0" w:space="0" w:color="auto"/>
        <w:right w:val="none" w:sz="0" w:space="0" w:color="auto"/>
      </w:divBdr>
      <w:divsChild>
        <w:div w:id="134757096">
          <w:marLeft w:val="0"/>
          <w:marRight w:val="0"/>
          <w:marTop w:val="0"/>
          <w:marBottom w:val="0"/>
          <w:divBdr>
            <w:top w:val="none" w:sz="0" w:space="0" w:color="auto"/>
            <w:left w:val="none" w:sz="0" w:space="0" w:color="auto"/>
            <w:bottom w:val="none" w:sz="0" w:space="0" w:color="auto"/>
            <w:right w:val="none" w:sz="0" w:space="0" w:color="auto"/>
          </w:divBdr>
        </w:div>
        <w:div w:id="1761175889">
          <w:marLeft w:val="0"/>
          <w:marRight w:val="0"/>
          <w:marTop w:val="0"/>
          <w:marBottom w:val="0"/>
          <w:divBdr>
            <w:top w:val="none" w:sz="0" w:space="0" w:color="auto"/>
            <w:left w:val="none" w:sz="0" w:space="0" w:color="auto"/>
            <w:bottom w:val="none" w:sz="0" w:space="0" w:color="auto"/>
            <w:right w:val="none" w:sz="0" w:space="0" w:color="auto"/>
          </w:divBdr>
        </w:div>
        <w:div w:id="2117366256">
          <w:marLeft w:val="0"/>
          <w:marRight w:val="0"/>
          <w:marTop w:val="0"/>
          <w:marBottom w:val="0"/>
          <w:divBdr>
            <w:top w:val="none" w:sz="0" w:space="0" w:color="auto"/>
            <w:left w:val="none" w:sz="0" w:space="0" w:color="auto"/>
            <w:bottom w:val="none" w:sz="0" w:space="0" w:color="auto"/>
            <w:right w:val="none" w:sz="0" w:space="0" w:color="auto"/>
          </w:divBdr>
        </w:div>
        <w:div w:id="1057358797">
          <w:marLeft w:val="0"/>
          <w:marRight w:val="0"/>
          <w:marTop w:val="0"/>
          <w:marBottom w:val="0"/>
          <w:divBdr>
            <w:top w:val="none" w:sz="0" w:space="0" w:color="auto"/>
            <w:left w:val="none" w:sz="0" w:space="0" w:color="auto"/>
            <w:bottom w:val="none" w:sz="0" w:space="0" w:color="auto"/>
            <w:right w:val="none" w:sz="0" w:space="0" w:color="auto"/>
          </w:divBdr>
        </w:div>
        <w:div w:id="1799228164">
          <w:marLeft w:val="0"/>
          <w:marRight w:val="0"/>
          <w:marTop w:val="0"/>
          <w:marBottom w:val="0"/>
          <w:divBdr>
            <w:top w:val="none" w:sz="0" w:space="0" w:color="auto"/>
            <w:left w:val="none" w:sz="0" w:space="0" w:color="auto"/>
            <w:bottom w:val="none" w:sz="0" w:space="0" w:color="auto"/>
            <w:right w:val="none" w:sz="0" w:space="0" w:color="auto"/>
          </w:divBdr>
        </w:div>
        <w:div w:id="372118324">
          <w:marLeft w:val="0"/>
          <w:marRight w:val="0"/>
          <w:marTop w:val="0"/>
          <w:marBottom w:val="0"/>
          <w:divBdr>
            <w:top w:val="none" w:sz="0" w:space="0" w:color="auto"/>
            <w:left w:val="none" w:sz="0" w:space="0" w:color="auto"/>
            <w:bottom w:val="none" w:sz="0" w:space="0" w:color="auto"/>
            <w:right w:val="none" w:sz="0" w:space="0" w:color="auto"/>
          </w:divBdr>
        </w:div>
        <w:div w:id="1094590551">
          <w:marLeft w:val="0"/>
          <w:marRight w:val="0"/>
          <w:marTop w:val="0"/>
          <w:marBottom w:val="0"/>
          <w:divBdr>
            <w:top w:val="none" w:sz="0" w:space="0" w:color="auto"/>
            <w:left w:val="none" w:sz="0" w:space="0" w:color="auto"/>
            <w:bottom w:val="none" w:sz="0" w:space="0" w:color="auto"/>
            <w:right w:val="none" w:sz="0" w:space="0" w:color="auto"/>
          </w:divBdr>
        </w:div>
        <w:div w:id="752628823">
          <w:marLeft w:val="0"/>
          <w:marRight w:val="0"/>
          <w:marTop w:val="0"/>
          <w:marBottom w:val="0"/>
          <w:divBdr>
            <w:top w:val="none" w:sz="0" w:space="0" w:color="auto"/>
            <w:left w:val="none" w:sz="0" w:space="0" w:color="auto"/>
            <w:bottom w:val="none" w:sz="0" w:space="0" w:color="auto"/>
            <w:right w:val="none" w:sz="0" w:space="0" w:color="auto"/>
          </w:divBdr>
        </w:div>
        <w:div w:id="270820469">
          <w:marLeft w:val="0"/>
          <w:marRight w:val="0"/>
          <w:marTop w:val="0"/>
          <w:marBottom w:val="0"/>
          <w:divBdr>
            <w:top w:val="none" w:sz="0" w:space="0" w:color="auto"/>
            <w:left w:val="none" w:sz="0" w:space="0" w:color="auto"/>
            <w:bottom w:val="none" w:sz="0" w:space="0" w:color="auto"/>
            <w:right w:val="none" w:sz="0" w:space="0" w:color="auto"/>
          </w:divBdr>
        </w:div>
        <w:div w:id="1967929747">
          <w:marLeft w:val="0"/>
          <w:marRight w:val="0"/>
          <w:marTop w:val="0"/>
          <w:marBottom w:val="0"/>
          <w:divBdr>
            <w:top w:val="none" w:sz="0" w:space="0" w:color="auto"/>
            <w:left w:val="none" w:sz="0" w:space="0" w:color="auto"/>
            <w:bottom w:val="none" w:sz="0" w:space="0" w:color="auto"/>
            <w:right w:val="none" w:sz="0" w:space="0" w:color="auto"/>
          </w:divBdr>
        </w:div>
        <w:div w:id="1230730157">
          <w:marLeft w:val="0"/>
          <w:marRight w:val="0"/>
          <w:marTop w:val="0"/>
          <w:marBottom w:val="0"/>
          <w:divBdr>
            <w:top w:val="none" w:sz="0" w:space="0" w:color="auto"/>
            <w:left w:val="none" w:sz="0" w:space="0" w:color="auto"/>
            <w:bottom w:val="none" w:sz="0" w:space="0" w:color="auto"/>
            <w:right w:val="none" w:sz="0" w:space="0" w:color="auto"/>
          </w:divBdr>
        </w:div>
        <w:div w:id="1352535205">
          <w:marLeft w:val="0"/>
          <w:marRight w:val="0"/>
          <w:marTop w:val="0"/>
          <w:marBottom w:val="0"/>
          <w:divBdr>
            <w:top w:val="none" w:sz="0" w:space="0" w:color="auto"/>
            <w:left w:val="none" w:sz="0" w:space="0" w:color="auto"/>
            <w:bottom w:val="none" w:sz="0" w:space="0" w:color="auto"/>
            <w:right w:val="none" w:sz="0" w:space="0" w:color="auto"/>
          </w:divBdr>
        </w:div>
        <w:div w:id="871453195">
          <w:marLeft w:val="0"/>
          <w:marRight w:val="0"/>
          <w:marTop w:val="0"/>
          <w:marBottom w:val="0"/>
          <w:divBdr>
            <w:top w:val="none" w:sz="0" w:space="0" w:color="auto"/>
            <w:left w:val="none" w:sz="0" w:space="0" w:color="auto"/>
            <w:bottom w:val="none" w:sz="0" w:space="0" w:color="auto"/>
            <w:right w:val="none" w:sz="0" w:space="0" w:color="auto"/>
          </w:divBdr>
        </w:div>
        <w:div w:id="205724089">
          <w:marLeft w:val="0"/>
          <w:marRight w:val="0"/>
          <w:marTop w:val="0"/>
          <w:marBottom w:val="0"/>
          <w:divBdr>
            <w:top w:val="none" w:sz="0" w:space="0" w:color="auto"/>
            <w:left w:val="none" w:sz="0" w:space="0" w:color="auto"/>
            <w:bottom w:val="none" w:sz="0" w:space="0" w:color="auto"/>
            <w:right w:val="none" w:sz="0" w:space="0" w:color="auto"/>
          </w:divBdr>
        </w:div>
        <w:div w:id="1674911557">
          <w:marLeft w:val="0"/>
          <w:marRight w:val="0"/>
          <w:marTop w:val="0"/>
          <w:marBottom w:val="0"/>
          <w:divBdr>
            <w:top w:val="none" w:sz="0" w:space="0" w:color="auto"/>
            <w:left w:val="none" w:sz="0" w:space="0" w:color="auto"/>
            <w:bottom w:val="none" w:sz="0" w:space="0" w:color="auto"/>
            <w:right w:val="none" w:sz="0" w:space="0" w:color="auto"/>
          </w:divBdr>
        </w:div>
        <w:div w:id="487594271">
          <w:marLeft w:val="0"/>
          <w:marRight w:val="0"/>
          <w:marTop w:val="0"/>
          <w:marBottom w:val="0"/>
          <w:divBdr>
            <w:top w:val="none" w:sz="0" w:space="0" w:color="auto"/>
            <w:left w:val="none" w:sz="0" w:space="0" w:color="auto"/>
            <w:bottom w:val="none" w:sz="0" w:space="0" w:color="auto"/>
            <w:right w:val="none" w:sz="0" w:space="0" w:color="auto"/>
          </w:divBdr>
        </w:div>
        <w:div w:id="936135864">
          <w:marLeft w:val="0"/>
          <w:marRight w:val="0"/>
          <w:marTop w:val="0"/>
          <w:marBottom w:val="0"/>
          <w:divBdr>
            <w:top w:val="none" w:sz="0" w:space="0" w:color="auto"/>
            <w:left w:val="none" w:sz="0" w:space="0" w:color="auto"/>
            <w:bottom w:val="none" w:sz="0" w:space="0" w:color="auto"/>
            <w:right w:val="none" w:sz="0" w:space="0" w:color="auto"/>
          </w:divBdr>
        </w:div>
      </w:divsChild>
    </w:div>
    <w:div w:id="1232816831">
      <w:bodyDiv w:val="1"/>
      <w:marLeft w:val="0"/>
      <w:marRight w:val="0"/>
      <w:marTop w:val="0"/>
      <w:marBottom w:val="0"/>
      <w:divBdr>
        <w:top w:val="none" w:sz="0" w:space="0" w:color="auto"/>
        <w:left w:val="none" w:sz="0" w:space="0" w:color="auto"/>
        <w:bottom w:val="none" w:sz="0" w:space="0" w:color="auto"/>
        <w:right w:val="none" w:sz="0" w:space="0" w:color="auto"/>
      </w:divBdr>
    </w:div>
    <w:div w:id="1257130740">
      <w:bodyDiv w:val="1"/>
      <w:marLeft w:val="0"/>
      <w:marRight w:val="0"/>
      <w:marTop w:val="0"/>
      <w:marBottom w:val="0"/>
      <w:divBdr>
        <w:top w:val="none" w:sz="0" w:space="0" w:color="auto"/>
        <w:left w:val="none" w:sz="0" w:space="0" w:color="auto"/>
        <w:bottom w:val="none" w:sz="0" w:space="0" w:color="auto"/>
        <w:right w:val="none" w:sz="0" w:space="0" w:color="auto"/>
      </w:divBdr>
      <w:divsChild>
        <w:div w:id="938294782">
          <w:marLeft w:val="0"/>
          <w:marRight w:val="0"/>
          <w:marTop w:val="0"/>
          <w:marBottom w:val="0"/>
          <w:divBdr>
            <w:top w:val="none" w:sz="0" w:space="0" w:color="auto"/>
            <w:left w:val="none" w:sz="0" w:space="0" w:color="auto"/>
            <w:bottom w:val="none" w:sz="0" w:space="0" w:color="auto"/>
            <w:right w:val="none" w:sz="0" w:space="0" w:color="auto"/>
          </w:divBdr>
        </w:div>
        <w:div w:id="1385062354">
          <w:marLeft w:val="0"/>
          <w:marRight w:val="0"/>
          <w:marTop w:val="0"/>
          <w:marBottom w:val="0"/>
          <w:divBdr>
            <w:top w:val="none" w:sz="0" w:space="0" w:color="auto"/>
            <w:left w:val="none" w:sz="0" w:space="0" w:color="auto"/>
            <w:bottom w:val="none" w:sz="0" w:space="0" w:color="auto"/>
            <w:right w:val="none" w:sz="0" w:space="0" w:color="auto"/>
          </w:divBdr>
        </w:div>
        <w:div w:id="816188284">
          <w:marLeft w:val="0"/>
          <w:marRight w:val="0"/>
          <w:marTop w:val="0"/>
          <w:marBottom w:val="0"/>
          <w:divBdr>
            <w:top w:val="none" w:sz="0" w:space="0" w:color="auto"/>
            <w:left w:val="none" w:sz="0" w:space="0" w:color="auto"/>
            <w:bottom w:val="none" w:sz="0" w:space="0" w:color="auto"/>
            <w:right w:val="none" w:sz="0" w:space="0" w:color="auto"/>
          </w:divBdr>
        </w:div>
        <w:div w:id="686517210">
          <w:marLeft w:val="0"/>
          <w:marRight w:val="0"/>
          <w:marTop w:val="0"/>
          <w:marBottom w:val="0"/>
          <w:divBdr>
            <w:top w:val="none" w:sz="0" w:space="0" w:color="auto"/>
            <w:left w:val="none" w:sz="0" w:space="0" w:color="auto"/>
            <w:bottom w:val="none" w:sz="0" w:space="0" w:color="auto"/>
            <w:right w:val="none" w:sz="0" w:space="0" w:color="auto"/>
          </w:divBdr>
        </w:div>
        <w:div w:id="852189249">
          <w:marLeft w:val="0"/>
          <w:marRight w:val="0"/>
          <w:marTop w:val="0"/>
          <w:marBottom w:val="0"/>
          <w:divBdr>
            <w:top w:val="none" w:sz="0" w:space="0" w:color="auto"/>
            <w:left w:val="none" w:sz="0" w:space="0" w:color="auto"/>
            <w:bottom w:val="none" w:sz="0" w:space="0" w:color="auto"/>
            <w:right w:val="none" w:sz="0" w:space="0" w:color="auto"/>
          </w:divBdr>
        </w:div>
      </w:divsChild>
    </w:div>
    <w:div w:id="1373193881">
      <w:bodyDiv w:val="1"/>
      <w:marLeft w:val="0"/>
      <w:marRight w:val="0"/>
      <w:marTop w:val="0"/>
      <w:marBottom w:val="0"/>
      <w:divBdr>
        <w:top w:val="none" w:sz="0" w:space="0" w:color="auto"/>
        <w:left w:val="none" w:sz="0" w:space="0" w:color="auto"/>
        <w:bottom w:val="none" w:sz="0" w:space="0" w:color="auto"/>
        <w:right w:val="none" w:sz="0" w:space="0" w:color="auto"/>
      </w:divBdr>
      <w:divsChild>
        <w:div w:id="62918472">
          <w:marLeft w:val="0"/>
          <w:marRight w:val="0"/>
          <w:marTop w:val="0"/>
          <w:marBottom w:val="0"/>
          <w:divBdr>
            <w:top w:val="none" w:sz="0" w:space="0" w:color="auto"/>
            <w:left w:val="none" w:sz="0" w:space="0" w:color="auto"/>
            <w:bottom w:val="none" w:sz="0" w:space="0" w:color="auto"/>
            <w:right w:val="none" w:sz="0" w:space="0" w:color="auto"/>
          </w:divBdr>
        </w:div>
        <w:div w:id="1222129764">
          <w:marLeft w:val="0"/>
          <w:marRight w:val="0"/>
          <w:marTop w:val="0"/>
          <w:marBottom w:val="0"/>
          <w:divBdr>
            <w:top w:val="none" w:sz="0" w:space="0" w:color="auto"/>
            <w:left w:val="none" w:sz="0" w:space="0" w:color="auto"/>
            <w:bottom w:val="none" w:sz="0" w:space="0" w:color="auto"/>
            <w:right w:val="none" w:sz="0" w:space="0" w:color="auto"/>
          </w:divBdr>
        </w:div>
        <w:div w:id="1738895425">
          <w:marLeft w:val="0"/>
          <w:marRight w:val="0"/>
          <w:marTop w:val="0"/>
          <w:marBottom w:val="0"/>
          <w:divBdr>
            <w:top w:val="none" w:sz="0" w:space="0" w:color="auto"/>
            <w:left w:val="none" w:sz="0" w:space="0" w:color="auto"/>
            <w:bottom w:val="none" w:sz="0" w:space="0" w:color="auto"/>
            <w:right w:val="none" w:sz="0" w:space="0" w:color="auto"/>
          </w:divBdr>
        </w:div>
        <w:div w:id="491067497">
          <w:marLeft w:val="0"/>
          <w:marRight w:val="0"/>
          <w:marTop w:val="0"/>
          <w:marBottom w:val="0"/>
          <w:divBdr>
            <w:top w:val="none" w:sz="0" w:space="0" w:color="auto"/>
            <w:left w:val="none" w:sz="0" w:space="0" w:color="auto"/>
            <w:bottom w:val="none" w:sz="0" w:space="0" w:color="auto"/>
            <w:right w:val="none" w:sz="0" w:space="0" w:color="auto"/>
          </w:divBdr>
        </w:div>
        <w:div w:id="283659751">
          <w:marLeft w:val="0"/>
          <w:marRight w:val="0"/>
          <w:marTop w:val="0"/>
          <w:marBottom w:val="0"/>
          <w:divBdr>
            <w:top w:val="none" w:sz="0" w:space="0" w:color="auto"/>
            <w:left w:val="none" w:sz="0" w:space="0" w:color="auto"/>
            <w:bottom w:val="none" w:sz="0" w:space="0" w:color="auto"/>
            <w:right w:val="none" w:sz="0" w:space="0" w:color="auto"/>
          </w:divBdr>
        </w:div>
        <w:div w:id="1080634677">
          <w:marLeft w:val="0"/>
          <w:marRight w:val="0"/>
          <w:marTop w:val="0"/>
          <w:marBottom w:val="0"/>
          <w:divBdr>
            <w:top w:val="none" w:sz="0" w:space="0" w:color="auto"/>
            <w:left w:val="none" w:sz="0" w:space="0" w:color="auto"/>
            <w:bottom w:val="none" w:sz="0" w:space="0" w:color="auto"/>
            <w:right w:val="none" w:sz="0" w:space="0" w:color="auto"/>
          </w:divBdr>
        </w:div>
      </w:divsChild>
    </w:div>
    <w:div w:id="1625884843">
      <w:bodyDiv w:val="1"/>
      <w:marLeft w:val="0"/>
      <w:marRight w:val="0"/>
      <w:marTop w:val="0"/>
      <w:marBottom w:val="0"/>
      <w:divBdr>
        <w:top w:val="none" w:sz="0" w:space="0" w:color="auto"/>
        <w:left w:val="none" w:sz="0" w:space="0" w:color="auto"/>
        <w:bottom w:val="none" w:sz="0" w:space="0" w:color="auto"/>
        <w:right w:val="none" w:sz="0" w:space="0" w:color="auto"/>
      </w:divBdr>
    </w:div>
    <w:div w:id="1726879602">
      <w:bodyDiv w:val="1"/>
      <w:marLeft w:val="0"/>
      <w:marRight w:val="0"/>
      <w:marTop w:val="0"/>
      <w:marBottom w:val="0"/>
      <w:divBdr>
        <w:top w:val="none" w:sz="0" w:space="0" w:color="auto"/>
        <w:left w:val="none" w:sz="0" w:space="0" w:color="auto"/>
        <w:bottom w:val="none" w:sz="0" w:space="0" w:color="auto"/>
        <w:right w:val="none" w:sz="0" w:space="0" w:color="auto"/>
      </w:divBdr>
      <w:divsChild>
        <w:div w:id="1219439625">
          <w:marLeft w:val="0"/>
          <w:marRight w:val="0"/>
          <w:marTop w:val="0"/>
          <w:marBottom w:val="0"/>
          <w:divBdr>
            <w:top w:val="none" w:sz="0" w:space="0" w:color="auto"/>
            <w:left w:val="none" w:sz="0" w:space="0" w:color="auto"/>
            <w:bottom w:val="none" w:sz="0" w:space="0" w:color="auto"/>
            <w:right w:val="none" w:sz="0" w:space="0" w:color="auto"/>
          </w:divBdr>
        </w:div>
        <w:div w:id="1911886885">
          <w:marLeft w:val="0"/>
          <w:marRight w:val="0"/>
          <w:marTop w:val="0"/>
          <w:marBottom w:val="0"/>
          <w:divBdr>
            <w:top w:val="none" w:sz="0" w:space="0" w:color="auto"/>
            <w:left w:val="none" w:sz="0" w:space="0" w:color="auto"/>
            <w:bottom w:val="none" w:sz="0" w:space="0" w:color="auto"/>
            <w:right w:val="none" w:sz="0" w:space="0" w:color="auto"/>
          </w:divBdr>
        </w:div>
      </w:divsChild>
    </w:div>
    <w:div w:id="2124222644">
      <w:bodyDiv w:val="1"/>
      <w:marLeft w:val="0"/>
      <w:marRight w:val="0"/>
      <w:marTop w:val="0"/>
      <w:marBottom w:val="0"/>
      <w:divBdr>
        <w:top w:val="none" w:sz="0" w:space="0" w:color="auto"/>
        <w:left w:val="none" w:sz="0" w:space="0" w:color="auto"/>
        <w:bottom w:val="none" w:sz="0" w:space="0" w:color="auto"/>
        <w:right w:val="none" w:sz="0" w:space="0" w:color="auto"/>
      </w:divBdr>
      <w:divsChild>
        <w:div w:id="1487166356">
          <w:marLeft w:val="0"/>
          <w:marRight w:val="0"/>
          <w:marTop w:val="0"/>
          <w:marBottom w:val="0"/>
          <w:divBdr>
            <w:top w:val="none" w:sz="0" w:space="0" w:color="auto"/>
            <w:left w:val="none" w:sz="0" w:space="0" w:color="auto"/>
            <w:bottom w:val="none" w:sz="0" w:space="0" w:color="auto"/>
            <w:right w:val="none" w:sz="0" w:space="0" w:color="auto"/>
          </w:divBdr>
        </w:div>
        <w:div w:id="1541019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AB6FF-FE44-40D3-A467-06BE263D3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12</Pages>
  <Words>2742</Words>
  <Characters>16453</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Lista wskaźników (EFRR)</vt:lpstr>
    </vt:vector>
  </TitlesOfParts>
  <Company>urząd marszałkowski</Company>
  <LinksUpToDate>false</LinksUpToDate>
  <CharactersWithSpaces>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wskaźników (EFRR)</dc:title>
  <dc:creator>Mariusz Pilch</dc:creator>
  <cp:lastModifiedBy>Sobczyk Katarzyna</cp:lastModifiedBy>
  <cp:revision>72</cp:revision>
  <cp:lastPrinted>2024-05-24T09:50:00Z</cp:lastPrinted>
  <dcterms:created xsi:type="dcterms:W3CDTF">2023-03-14T07:43:00Z</dcterms:created>
  <dcterms:modified xsi:type="dcterms:W3CDTF">2024-12-12T10:07:00Z</dcterms:modified>
</cp:coreProperties>
</file>