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6D83A653" w:rsidR="00F10DFC" w:rsidRDefault="00F10DFC"/>
    <w:p w14:paraId="09E9036E" w14:textId="77777777" w:rsidR="003217E7" w:rsidRDefault="003217E7">
      <w:pPr>
        <w:rPr>
          <w:b/>
          <w:sz w:val="32"/>
          <w:szCs w:val="32"/>
        </w:rPr>
      </w:pPr>
    </w:p>
    <w:p w14:paraId="6A87D0B5" w14:textId="38575873"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12BBA3B3"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BD73ED">
        <w:rPr>
          <w:b/>
          <w:sz w:val="28"/>
          <w:szCs w:val="28"/>
        </w:rPr>
        <w:t>10.</w:t>
      </w:r>
      <w:r w:rsidR="003217E7">
        <w:rPr>
          <w:b/>
          <w:sz w:val="28"/>
          <w:szCs w:val="28"/>
        </w:rPr>
        <w:t>5</w:t>
      </w:r>
      <w:r w:rsidR="00BD73ED">
        <w:rPr>
          <w:b/>
          <w:sz w:val="28"/>
          <w:szCs w:val="28"/>
        </w:rPr>
        <w:t xml:space="preserve"> Rewitalizacja na obszarach </w:t>
      </w:r>
      <w:r w:rsidR="003217E7">
        <w:rPr>
          <w:b/>
          <w:sz w:val="28"/>
          <w:szCs w:val="28"/>
        </w:rPr>
        <w:t xml:space="preserve">innych niż </w:t>
      </w:r>
      <w:r w:rsidR="00BD73ED">
        <w:rPr>
          <w:b/>
          <w:sz w:val="28"/>
          <w:szCs w:val="28"/>
        </w:rPr>
        <w:t>miejski</w:t>
      </w:r>
      <w:r w:rsidR="003217E7">
        <w:rPr>
          <w:b/>
          <w:sz w:val="28"/>
          <w:szCs w:val="28"/>
        </w:rPr>
        <w:t>e</w:t>
      </w:r>
      <w:bookmarkEnd w:id="0"/>
    </w:p>
    <w:p w14:paraId="57D47670" w14:textId="77777777" w:rsidR="009A1829" w:rsidRPr="009A1829" w:rsidRDefault="00F10DFC" w:rsidP="008A35EC">
      <w:pPr>
        <w:spacing w:before="120" w:after="80"/>
        <w:rPr>
          <w:b/>
          <w:bCs/>
          <w:sz w:val="28"/>
          <w:szCs w:val="28"/>
        </w:rPr>
      </w:pPr>
      <w:r w:rsidRPr="009A1829">
        <w:rPr>
          <w:b/>
          <w:sz w:val="28"/>
          <w:szCs w:val="28"/>
        </w:rPr>
        <w:t xml:space="preserve">Cel polityki </w:t>
      </w:r>
      <w:r w:rsidR="009A1829" w:rsidRPr="009A1829">
        <w:rPr>
          <w:b/>
          <w:sz w:val="28"/>
          <w:szCs w:val="28"/>
        </w:rPr>
        <w:t>5</w:t>
      </w:r>
      <w:r w:rsidRPr="009A1829">
        <w:rPr>
          <w:b/>
          <w:sz w:val="28"/>
          <w:szCs w:val="28"/>
        </w:rPr>
        <w:t xml:space="preserve">: </w:t>
      </w:r>
      <w:r w:rsidR="009A1829" w:rsidRPr="009A1829">
        <w:rPr>
          <w:rFonts w:ascii="Calibri" w:eastAsia="Times New Roman" w:hAnsi="Calibri" w:cs="Calibri"/>
          <w:b/>
          <w:bCs/>
          <w:iCs/>
          <w:noProof/>
          <w:sz w:val="28"/>
          <w:szCs w:val="28"/>
          <w:lang w:eastAsia="pl-PL" w:bidi="pl-PL"/>
        </w:rPr>
        <w:t>Europa bliższa obywatelom dzięki wspieraniu zrównoważonego i zintegrowanego rozwoju wszystkich rodzajów terytoriów i inicjatyw lokalnych</w:t>
      </w:r>
      <w:r w:rsidR="009A1829" w:rsidRPr="009A1829">
        <w:rPr>
          <w:b/>
          <w:bCs/>
          <w:sz w:val="28"/>
          <w:szCs w:val="28"/>
        </w:rPr>
        <w:t xml:space="preserve"> </w:t>
      </w:r>
    </w:p>
    <w:p w14:paraId="775F89DB" w14:textId="10E033A1"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EFRR.CP</w:t>
      </w:r>
      <w:r w:rsidR="00BD73ED">
        <w:rPr>
          <w:b/>
          <w:sz w:val="28"/>
          <w:szCs w:val="28"/>
        </w:rPr>
        <w:t>5</w:t>
      </w:r>
      <w:r w:rsidR="00E56AAA" w:rsidRPr="00850C7A">
        <w:rPr>
          <w:b/>
          <w:sz w:val="28"/>
          <w:szCs w:val="28"/>
        </w:rPr>
        <w:t>.I</w:t>
      </w:r>
      <w:r w:rsidR="007D1716">
        <w:rPr>
          <w:b/>
          <w:sz w:val="28"/>
          <w:szCs w:val="28"/>
        </w:rPr>
        <w:t>I</w:t>
      </w:r>
      <w:r w:rsidR="00E56AAA" w:rsidRPr="00850C7A">
        <w:rPr>
          <w:b/>
          <w:sz w:val="28"/>
          <w:szCs w:val="28"/>
        </w:rPr>
        <w:t xml:space="preserve"> - Wspieranie </w:t>
      </w:r>
      <w:r w:rsidR="00520F59">
        <w:rPr>
          <w:b/>
          <w:sz w:val="28"/>
          <w:szCs w:val="28"/>
        </w:rPr>
        <w:t xml:space="preserve">zintegrowanego i sprzyjającego włączeniu społecznemu rozwoju społecznego, gospodarczego </w:t>
      </w:r>
      <w:r w:rsidR="00520F59">
        <w:rPr>
          <w:b/>
          <w:sz w:val="28"/>
          <w:szCs w:val="28"/>
        </w:rPr>
        <w:br/>
        <w:t xml:space="preserve">i środowiskowego, </w:t>
      </w:r>
      <w:r w:rsidR="007D1716">
        <w:rPr>
          <w:b/>
          <w:sz w:val="28"/>
          <w:szCs w:val="28"/>
        </w:rPr>
        <w:t xml:space="preserve">na poziomie lokalnym, </w:t>
      </w:r>
      <w:r w:rsidR="00520F59">
        <w:rPr>
          <w:b/>
          <w:sz w:val="28"/>
          <w:szCs w:val="28"/>
        </w:rPr>
        <w:t xml:space="preserve">kultury, dziedzictwa naturalnego, zrównoważonej turystyki i bezpieczeństwa na obszarach </w:t>
      </w:r>
      <w:r w:rsidR="007D1716">
        <w:rPr>
          <w:b/>
          <w:sz w:val="28"/>
          <w:szCs w:val="28"/>
        </w:rPr>
        <w:t xml:space="preserve">innych niż </w:t>
      </w:r>
      <w:r w:rsidR="00520F59">
        <w:rPr>
          <w:b/>
          <w:sz w:val="28"/>
          <w:szCs w:val="28"/>
        </w:rPr>
        <w:t>miejski</w:t>
      </w:r>
      <w:r w:rsidR="007D1716">
        <w:rPr>
          <w:b/>
          <w:sz w:val="28"/>
          <w:szCs w:val="28"/>
        </w:rPr>
        <w:t>e</w:t>
      </w:r>
      <w:r w:rsidR="00520F59">
        <w:rPr>
          <w:b/>
          <w:sz w:val="28"/>
          <w:szCs w:val="28"/>
        </w:rPr>
        <w:t xml:space="preserve"> </w:t>
      </w:r>
    </w:p>
    <w:p w14:paraId="23411EE4" w14:textId="77777777" w:rsidR="00850C7A" w:rsidRPr="00850C7A" w:rsidRDefault="00850C7A" w:rsidP="008A35EC">
      <w:pPr>
        <w:spacing w:before="120" w:after="80"/>
        <w:rPr>
          <w:b/>
          <w:sz w:val="28"/>
          <w:szCs w:val="28"/>
        </w:rPr>
      </w:pPr>
    </w:p>
    <w:p w14:paraId="08B32D6D" w14:textId="7D476E17" w:rsidR="00BF1A41" w:rsidRPr="00850C7A" w:rsidRDefault="0006467A" w:rsidP="00BF1A41">
      <w:pPr>
        <w:rPr>
          <w:b/>
          <w:sz w:val="28"/>
          <w:szCs w:val="28"/>
        </w:rPr>
      </w:pPr>
      <w:r w:rsidRPr="00850C7A">
        <w:rPr>
          <w:b/>
          <w:sz w:val="28"/>
          <w:szCs w:val="28"/>
        </w:rPr>
        <w:t>Nabór nr:</w:t>
      </w:r>
      <w:r w:rsidR="003217E7">
        <w:rPr>
          <w:b/>
          <w:sz w:val="28"/>
          <w:szCs w:val="28"/>
        </w:rPr>
        <w:t xml:space="preserve"> </w:t>
      </w:r>
      <w:bookmarkStart w:id="1" w:name="_Hlk150499537"/>
      <w:bookmarkStart w:id="2" w:name="_Hlk150258045"/>
      <w:r w:rsidR="00BF1A41" w:rsidRPr="00850C7A">
        <w:rPr>
          <w:b/>
          <w:sz w:val="28"/>
          <w:szCs w:val="28"/>
        </w:rPr>
        <w:t>FEOP.</w:t>
      </w:r>
      <w:r w:rsidR="006140D1">
        <w:rPr>
          <w:b/>
          <w:sz w:val="28"/>
          <w:szCs w:val="28"/>
        </w:rPr>
        <w:t>1</w:t>
      </w:r>
      <w:r w:rsidR="00BF1A41" w:rsidRPr="00850C7A">
        <w:rPr>
          <w:b/>
          <w:sz w:val="28"/>
          <w:szCs w:val="28"/>
        </w:rPr>
        <w:t>0.0</w:t>
      </w:r>
      <w:r w:rsidR="003217E7">
        <w:rPr>
          <w:b/>
          <w:sz w:val="28"/>
          <w:szCs w:val="28"/>
        </w:rPr>
        <w:t>5</w:t>
      </w:r>
      <w:r w:rsidR="00BF1A41" w:rsidRPr="00850C7A">
        <w:rPr>
          <w:b/>
          <w:sz w:val="28"/>
          <w:szCs w:val="28"/>
        </w:rPr>
        <w:t>-IZ.00-00</w:t>
      </w:r>
      <w:r w:rsidR="00546C04">
        <w:rPr>
          <w:b/>
          <w:sz w:val="28"/>
          <w:szCs w:val="28"/>
        </w:rPr>
        <w:t>1</w:t>
      </w:r>
      <w:r w:rsidR="00BF1A41" w:rsidRPr="00850C7A">
        <w:rPr>
          <w:b/>
          <w:sz w:val="28"/>
          <w:szCs w:val="28"/>
        </w:rPr>
        <w:t>/24</w:t>
      </w:r>
    </w:p>
    <w:bookmarkEnd w:id="1"/>
    <w:bookmarkEnd w:id="2"/>
    <w:p w14:paraId="631BEC41" w14:textId="77777777" w:rsidR="00850C7A" w:rsidRDefault="00850C7A" w:rsidP="008A35EC">
      <w:pPr>
        <w:spacing w:after="0"/>
        <w:rPr>
          <w:b/>
          <w:sz w:val="24"/>
          <w:szCs w:val="24"/>
        </w:rPr>
      </w:pPr>
    </w:p>
    <w:p w14:paraId="1BCE8716" w14:textId="77777777" w:rsidR="003217E7" w:rsidRDefault="003217E7" w:rsidP="008A35EC">
      <w:pPr>
        <w:spacing w:after="0"/>
        <w:rPr>
          <w:b/>
          <w:sz w:val="24"/>
          <w:szCs w:val="24"/>
        </w:rPr>
      </w:pPr>
    </w:p>
    <w:p w14:paraId="584507A2" w14:textId="77777777" w:rsidR="003217E7" w:rsidRDefault="003217E7" w:rsidP="008A35EC">
      <w:pPr>
        <w:spacing w:after="0"/>
        <w:rPr>
          <w:b/>
          <w:sz w:val="24"/>
          <w:szCs w:val="24"/>
        </w:rPr>
      </w:pPr>
    </w:p>
    <w:p w14:paraId="78F820D6" w14:textId="77777777" w:rsidR="003217E7" w:rsidRDefault="003217E7" w:rsidP="008A35EC">
      <w:pPr>
        <w:spacing w:after="0"/>
        <w:rPr>
          <w:b/>
          <w:sz w:val="24"/>
          <w:szCs w:val="24"/>
        </w:rPr>
      </w:pPr>
    </w:p>
    <w:p w14:paraId="2051F9B2" w14:textId="77777777" w:rsidR="003217E7" w:rsidRDefault="003217E7" w:rsidP="008A35EC">
      <w:pPr>
        <w:spacing w:after="0"/>
        <w:rPr>
          <w:b/>
          <w:sz w:val="24"/>
          <w:szCs w:val="24"/>
        </w:rPr>
      </w:pPr>
    </w:p>
    <w:p w14:paraId="5E187642" w14:textId="77777777" w:rsidR="003217E7" w:rsidRDefault="003217E7" w:rsidP="008A35EC">
      <w:pPr>
        <w:spacing w:after="0"/>
        <w:rPr>
          <w:b/>
          <w:sz w:val="24"/>
          <w:szCs w:val="24"/>
        </w:rPr>
      </w:pPr>
    </w:p>
    <w:p w14:paraId="717C3215" w14:textId="77777777" w:rsidR="003217E7" w:rsidRDefault="003217E7" w:rsidP="008A35EC">
      <w:pPr>
        <w:spacing w:after="0"/>
        <w:rPr>
          <w:b/>
          <w:sz w:val="24"/>
          <w:szCs w:val="24"/>
        </w:rPr>
      </w:pPr>
    </w:p>
    <w:p w14:paraId="2E4BE73E" w14:textId="77777777" w:rsidR="003217E7" w:rsidRDefault="003217E7" w:rsidP="008A35EC">
      <w:pPr>
        <w:spacing w:after="0"/>
        <w:rPr>
          <w:b/>
          <w:sz w:val="24"/>
          <w:szCs w:val="24"/>
        </w:rPr>
      </w:pPr>
    </w:p>
    <w:p w14:paraId="284EB953" w14:textId="77777777" w:rsidR="003217E7" w:rsidRDefault="003217E7" w:rsidP="008A35EC">
      <w:pPr>
        <w:spacing w:after="0"/>
        <w:rPr>
          <w:b/>
          <w:sz w:val="24"/>
          <w:szCs w:val="24"/>
        </w:rPr>
      </w:pPr>
    </w:p>
    <w:p w14:paraId="482D986F" w14:textId="77777777" w:rsidR="003217E7" w:rsidRDefault="003217E7" w:rsidP="008A35EC">
      <w:pPr>
        <w:spacing w:after="0"/>
        <w:rPr>
          <w:b/>
          <w:sz w:val="24"/>
          <w:szCs w:val="24"/>
        </w:rPr>
      </w:pPr>
    </w:p>
    <w:p w14:paraId="48007F96" w14:textId="77777777" w:rsidR="003217E7" w:rsidRDefault="003217E7" w:rsidP="008A35EC">
      <w:pPr>
        <w:spacing w:after="0"/>
        <w:rPr>
          <w:b/>
          <w:sz w:val="24"/>
          <w:szCs w:val="24"/>
        </w:rPr>
      </w:pPr>
    </w:p>
    <w:p w14:paraId="3EB9E99C" w14:textId="77777777" w:rsidR="003217E7" w:rsidRDefault="003217E7" w:rsidP="008A35EC">
      <w:pPr>
        <w:spacing w:after="0"/>
        <w:rPr>
          <w:b/>
          <w:sz w:val="24"/>
          <w:szCs w:val="24"/>
        </w:rPr>
      </w:pPr>
    </w:p>
    <w:p w14:paraId="4F0BAC08" w14:textId="77777777" w:rsidR="00F10DFC" w:rsidRPr="008A35EC" w:rsidRDefault="00F10DFC" w:rsidP="008A35EC">
      <w:pPr>
        <w:spacing w:after="0"/>
        <w:rPr>
          <w:i/>
        </w:rPr>
      </w:pPr>
      <w:bookmarkStart w:id="3" w:name="_Hlk158358738"/>
      <w:r w:rsidRPr="008A35EC">
        <w:rPr>
          <w:i/>
        </w:rPr>
        <w:t>Dokument przyjęty przez Zarząd Województwa Opolskiego</w:t>
      </w:r>
    </w:p>
    <w:p w14:paraId="0DD37E8F" w14:textId="2802D342" w:rsidR="00F10DFC" w:rsidRPr="008A35EC" w:rsidRDefault="00F10DFC" w:rsidP="008A35EC">
      <w:pPr>
        <w:spacing w:after="0"/>
        <w:rPr>
          <w:i/>
        </w:rPr>
      </w:pPr>
      <w:r w:rsidRPr="008A35EC">
        <w:rPr>
          <w:i/>
        </w:rPr>
        <w:t>Uchwałą nr</w:t>
      </w:r>
      <w:r w:rsidR="008735BC">
        <w:rPr>
          <w:i/>
        </w:rPr>
        <w:t xml:space="preserve"> </w:t>
      </w:r>
      <w:r w:rsidR="007340E8">
        <w:rPr>
          <w:i/>
        </w:rPr>
        <w:t>361</w:t>
      </w:r>
      <w:r w:rsidRPr="008A35EC">
        <w:rPr>
          <w:i/>
        </w:rPr>
        <w:t>/202</w:t>
      </w:r>
      <w:r w:rsidR="00BF1A41" w:rsidRPr="008A35EC">
        <w:rPr>
          <w:i/>
        </w:rPr>
        <w:t>4</w:t>
      </w:r>
      <w:r w:rsidRPr="008A35EC">
        <w:rPr>
          <w:i/>
        </w:rPr>
        <w:t xml:space="preserve"> z dnia</w:t>
      </w:r>
      <w:r w:rsidR="0011573B">
        <w:rPr>
          <w:i/>
        </w:rPr>
        <w:t xml:space="preserve"> </w:t>
      </w:r>
      <w:r w:rsidR="007340E8">
        <w:rPr>
          <w:i/>
        </w:rPr>
        <w:t>24 czerwca</w:t>
      </w:r>
      <w:r w:rsidR="00845C19" w:rsidRPr="008A35EC">
        <w:rPr>
          <w:i/>
        </w:rPr>
        <w:t xml:space="preserve"> </w:t>
      </w:r>
      <w:r w:rsidRPr="008A35EC">
        <w:rPr>
          <w:i/>
        </w:rPr>
        <w:t>202</w:t>
      </w:r>
      <w:r w:rsidR="00BF1A41" w:rsidRPr="008A35EC">
        <w:rPr>
          <w:i/>
        </w:rPr>
        <w:t>4</w:t>
      </w:r>
      <w:r w:rsidRPr="008A35EC">
        <w:rPr>
          <w:i/>
        </w:rPr>
        <w:t xml:space="preserve"> r.</w:t>
      </w:r>
      <w:r w:rsidR="007340E8">
        <w:rPr>
          <w:i/>
        </w:rPr>
        <w:t>, ze zmianami</w:t>
      </w:r>
      <w:r w:rsidR="00EE65A1">
        <w:rPr>
          <w:i/>
        </w:rPr>
        <w:t xml:space="preserve"> </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28AEDC77"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8735BC">
        <w:rPr>
          <w:i/>
          <w:sz w:val="24"/>
          <w:szCs w:val="24"/>
        </w:rPr>
        <w:t>wrzesień</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5621BFB6" w14:textId="77777777" w:rsidR="0086648A" w:rsidRDefault="0086648A" w:rsidP="005155E3">
      <w:pPr>
        <w:tabs>
          <w:tab w:val="left" w:pos="3765"/>
        </w:tabs>
        <w:spacing w:line="240" w:lineRule="auto"/>
        <w:rPr>
          <w:i/>
          <w:sz w:val="24"/>
          <w:szCs w:val="24"/>
        </w:rPr>
      </w:pPr>
    </w:p>
    <w:p w14:paraId="6FE60B5C" w14:textId="5A42F79A"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5A18D23" w14:textId="63991034" w:rsidR="0017592D"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076" w:history="1">
            <w:r w:rsidR="0017592D" w:rsidRPr="0058641E">
              <w:rPr>
                <w:rStyle w:val="Hipercze"/>
                <w:rFonts w:cstheme="minorHAnsi"/>
                <w:b/>
                <w:bCs/>
                <w:iCs/>
                <w:noProof/>
              </w:rPr>
              <w:t>1.</w:t>
            </w:r>
            <w:r w:rsidR="0017592D">
              <w:rPr>
                <w:rFonts w:eastAsiaTheme="minorEastAsia"/>
                <w:noProof/>
                <w:kern w:val="2"/>
                <w:lang w:eastAsia="pl-PL"/>
                <w14:ligatures w14:val="standardContextual"/>
              </w:rPr>
              <w:tab/>
            </w:r>
            <w:r w:rsidR="0017592D" w:rsidRPr="0058641E">
              <w:rPr>
                <w:rStyle w:val="Hipercze"/>
                <w:rFonts w:cstheme="minorHAnsi"/>
                <w:b/>
                <w:noProof/>
              </w:rPr>
              <w:t>Skróty i pojęcia stosowane w Regulaminie wyboru projektów w trybie konkurencyjnym i załącznikach:</w:t>
            </w:r>
            <w:r w:rsidR="0017592D">
              <w:rPr>
                <w:noProof/>
                <w:webHidden/>
              </w:rPr>
              <w:tab/>
            </w:r>
            <w:r w:rsidR="0017592D">
              <w:rPr>
                <w:noProof/>
                <w:webHidden/>
              </w:rPr>
              <w:fldChar w:fldCharType="begin"/>
            </w:r>
            <w:r w:rsidR="0017592D">
              <w:rPr>
                <w:noProof/>
                <w:webHidden/>
              </w:rPr>
              <w:instrText xml:space="preserve"> PAGEREF _Toc166445076 \h </w:instrText>
            </w:r>
            <w:r w:rsidR="0017592D">
              <w:rPr>
                <w:noProof/>
                <w:webHidden/>
              </w:rPr>
            </w:r>
            <w:r w:rsidR="0017592D">
              <w:rPr>
                <w:noProof/>
                <w:webHidden/>
              </w:rPr>
              <w:fldChar w:fldCharType="separate"/>
            </w:r>
            <w:r w:rsidR="00FA3414">
              <w:rPr>
                <w:noProof/>
                <w:webHidden/>
              </w:rPr>
              <w:t>5</w:t>
            </w:r>
            <w:r w:rsidR="0017592D">
              <w:rPr>
                <w:noProof/>
                <w:webHidden/>
              </w:rPr>
              <w:fldChar w:fldCharType="end"/>
            </w:r>
          </w:hyperlink>
        </w:p>
        <w:p w14:paraId="11B058C0" w14:textId="5C597801" w:rsidR="0017592D" w:rsidRDefault="0017592D">
          <w:pPr>
            <w:pStyle w:val="Spistreci1"/>
            <w:rPr>
              <w:rFonts w:eastAsiaTheme="minorEastAsia"/>
              <w:noProof/>
              <w:kern w:val="2"/>
              <w:lang w:eastAsia="pl-PL"/>
              <w14:ligatures w14:val="standardContextual"/>
            </w:rPr>
          </w:pPr>
          <w:hyperlink w:anchor="_Toc166445077" w:history="1">
            <w:r w:rsidRPr="0058641E">
              <w:rPr>
                <w:rStyle w:val="Hipercze"/>
                <w:rFonts w:cstheme="minorHAnsi"/>
                <w:b/>
                <w:bCs/>
                <w:iCs/>
                <w:noProof/>
              </w:rPr>
              <w:t>2.</w:t>
            </w:r>
            <w:r>
              <w:rPr>
                <w:rFonts w:eastAsiaTheme="minorEastAsia"/>
                <w:noProof/>
                <w:kern w:val="2"/>
                <w:lang w:eastAsia="pl-PL"/>
                <w14:ligatures w14:val="standardContextual"/>
              </w:rPr>
              <w:tab/>
            </w:r>
            <w:r w:rsidRPr="0058641E">
              <w:rPr>
                <w:rStyle w:val="Hipercze"/>
                <w:rFonts w:cstheme="minorHAnsi"/>
                <w:b/>
                <w:noProof/>
              </w:rPr>
              <w:t>Wstęp</w:t>
            </w:r>
            <w:r>
              <w:rPr>
                <w:noProof/>
                <w:webHidden/>
              </w:rPr>
              <w:tab/>
            </w:r>
            <w:r>
              <w:rPr>
                <w:noProof/>
                <w:webHidden/>
              </w:rPr>
              <w:fldChar w:fldCharType="begin"/>
            </w:r>
            <w:r>
              <w:rPr>
                <w:noProof/>
                <w:webHidden/>
              </w:rPr>
              <w:instrText xml:space="preserve"> PAGEREF _Toc166445077 \h </w:instrText>
            </w:r>
            <w:r>
              <w:rPr>
                <w:noProof/>
                <w:webHidden/>
              </w:rPr>
            </w:r>
            <w:r>
              <w:rPr>
                <w:noProof/>
                <w:webHidden/>
              </w:rPr>
              <w:fldChar w:fldCharType="separate"/>
            </w:r>
            <w:r w:rsidR="00FA3414">
              <w:rPr>
                <w:noProof/>
                <w:webHidden/>
              </w:rPr>
              <w:t>10</w:t>
            </w:r>
            <w:r>
              <w:rPr>
                <w:noProof/>
                <w:webHidden/>
              </w:rPr>
              <w:fldChar w:fldCharType="end"/>
            </w:r>
          </w:hyperlink>
        </w:p>
        <w:p w14:paraId="354979D8" w14:textId="6AAFF985" w:rsidR="0017592D" w:rsidRDefault="0017592D">
          <w:pPr>
            <w:pStyle w:val="Spistreci1"/>
            <w:rPr>
              <w:rFonts w:eastAsiaTheme="minorEastAsia"/>
              <w:noProof/>
              <w:kern w:val="2"/>
              <w:lang w:eastAsia="pl-PL"/>
              <w14:ligatures w14:val="standardContextual"/>
            </w:rPr>
          </w:pPr>
          <w:hyperlink w:anchor="_Toc166445078" w:history="1">
            <w:r w:rsidRPr="0058641E">
              <w:rPr>
                <w:rStyle w:val="Hipercze"/>
                <w:rFonts w:cstheme="minorHAnsi"/>
                <w:b/>
                <w:bCs/>
                <w:iCs/>
                <w:noProof/>
              </w:rPr>
              <w:t>3.</w:t>
            </w:r>
            <w:r>
              <w:rPr>
                <w:rFonts w:eastAsiaTheme="minorEastAsia"/>
                <w:noProof/>
                <w:kern w:val="2"/>
                <w:lang w:eastAsia="pl-PL"/>
                <w14:ligatures w14:val="standardContextual"/>
              </w:rPr>
              <w:tab/>
            </w:r>
            <w:r w:rsidRPr="0058641E">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_Toc166445078 \h </w:instrText>
            </w:r>
            <w:r>
              <w:rPr>
                <w:noProof/>
                <w:webHidden/>
              </w:rPr>
            </w:r>
            <w:r>
              <w:rPr>
                <w:noProof/>
                <w:webHidden/>
              </w:rPr>
              <w:fldChar w:fldCharType="separate"/>
            </w:r>
            <w:r w:rsidR="00FA3414">
              <w:rPr>
                <w:noProof/>
                <w:webHidden/>
              </w:rPr>
              <w:t>10</w:t>
            </w:r>
            <w:r>
              <w:rPr>
                <w:noProof/>
                <w:webHidden/>
              </w:rPr>
              <w:fldChar w:fldCharType="end"/>
            </w:r>
          </w:hyperlink>
        </w:p>
        <w:p w14:paraId="5ED420DE" w14:textId="799126ED" w:rsidR="0017592D" w:rsidRDefault="0017592D">
          <w:pPr>
            <w:pStyle w:val="Spistreci1"/>
            <w:rPr>
              <w:rFonts w:eastAsiaTheme="minorEastAsia"/>
              <w:noProof/>
              <w:kern w:val="2"/>
              <w:lang w:eastAsia="pl-PL"/>
              <w14:ligatures w14:val="standardContextual"/>
            </w:rPr>
          </w:pPr>
          <w:hyperlink w:anchor="_Toc166445079" w:history="1">
            <w:r w:rsidRPr="0058641E">
              <w:rPr>
                <w:rStyle w:val="Hipercze"/>
                <w:rFonts w:cstheme="minorHAnsi"/>
                <w:b/>
                <w:bCs/>
                <w:iCs/>
                <w:noProof/>
              </w:rPr>
              <w:t>4.</w:t>
            </w:r>
            <w:r>
              <w:rPr>
                <w:rFonts w:eastAsiaTheme="minorEastAsia"/>
                <w:noProof/>
                <w:kern w:val="2"/>
                <w:lang w:eastAsia="pl-PL"/>
                <w14:ligatures w14:val="standardContextual"/>
              </w:rPr>
              <w:tab/>
            </w:r>
            <w:r w:rsidRPr="0058641E">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_Toc166445079 \h </w:instrText>
            </w:r>
            <w:r>
              <w:rPr>
                <w:noProof/>
                <w:webHidden/>
              </w:rPr>
            </w:r>
            <w:r>
              <w:rPr>
                <w:noProof/>
                <w:webHidden/>
              </w:rPr>
              <w:fldChar w:fldCharType="separate"/>
            </w:r>
            <w:r w:rsidR="00FA3414">
              <w:rPr>
                <w:noProof/>
                <w:webHidden/>
              </w:rPr>
              <w:t>11</w:t>
            </w:r>
            <w:r>
              <w:rPr>
                <w:noProof/>
                <w:webHidden/>
              </w:rPr>
              <w:fldChar w:fldCharType="end"/>
            </w:r>
          </w:hyperlink>
        </w:p>
        <w:p w14:paraId="0AFDD6D8" w14:textId="31260FE4" w:rsidR="0017592D" w:rsidRDefault="0017592D">
          <w:pPr>
            <w:pStyle w:val="Spistreci1"/>
            <w:rPr>
              <w:rFonts w:eastAsiaTheme="minorEastAsia"/>
              <w:noProof/>
              <w:kern w:val="2"/>
              <w:lang w:eastAsia="pl-PL"/>
              <w14:ligatures w14:val="standardContextual"/>
            </w:rPr>
          </w:pPr>
          <w:hyperlink w:anchor="_Toc166445080" w:history="1">
            <w:r w:rsidRPr="0058641E">
              <w:rPr>
                <w:rStyle w:val="Hipercze"/>
                <w:rFonts w:cstheme="minorHAnsi"/>
                <w:b/>
                <w:bCs/>
                <w:iCs/>
                <w:noProof/>
              </w:rPr>
              <w:t>5.</w:t>
            </w:r>
            <w:r>
              <w:rPr>
                <w:rFonts w:eastAsiaTheme="minorEastAsia"/>
                <w:noProof/>
                <w:kern w:val="2"/>
                <w:lang w:eastAsia="pl-PL"/>
                <w14:ligatures w14:val="standardContextual"/>
              </w:rPr>
              <w:tab/>
            </w:r>
            <w:r w:rsidRPr="0058641E">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_Toc166445080 \h </w:instrText>
            </w:r>
            <w:r>
              <w:rPr>
                <w:noProof/>
                <w:webHidden/>
              </w:rPr>
            </w:r>
            <w:r>
              <w:rPr>
                <w:noProof/>
                <w:webHidden/>
              </w:rPr>
              <w:fldChar w:fldCharType="separate"/>
            </w:r>
            <w:r w:rsidR="00FA3414">
              <w:rPr>
                <w:noProof/>
                <w:webHidden/>
              </w:rPr>
              <w:t>11</w:t>
            </w:r>
            <w:r>
              <w:rPr>
                <w:noProof/>
                <w:webHidden/>
              </w:rPr>
              <w:fldChar w:fldCharType="end"/>
            </w:r>
          </w:hyperlink>
        </w:p>
        <w:p w14:paraId="4727C90D" w14:textId="220DB878" w:rsidR="0017592D" w:rsidRDefault="0017592D">
          <w:pPr>
            <w:pStyle w:val="Spistreci1"/>
            <w:rPr>
              <w:rFonts w:eastAsiaTheme="minorEastAsia"/>
              <w:noProof/>
              <w:kern w:val="2"/>
              <w:lang w:eastAsia="pl-PL"/>
              <w14:ligatures w14:val="standardContextual"/>
            </w:rPr>
          </w:pPr>
          <w:hyperlink w:anchor="_Toc166445081" w:history="1">
            <w:r w:rsidRPr="0058641E">
              <w:rPr>
                <w:rStyle w:val="Hipercze"/>
                <w:rFonts w:cstheme="minorHAnsi"/>
                <w:b/>
                <w:bCs/>
                <w:iCs/>
                <w:noProof/>
              </w:rPr>
              <w:t>6.</w:t>
            </w:r>
            <w:r>
              <w:rPr>
                <w:rFonts w:eastAsiaTheme="minorEastAsia"/>
                <w:noProof/>
                <w:kern w:val="2"/>
                <w:lang w:eastAsia="pl-PL"/>
                <w14:ligatures w14:val="standardContextual"/>
              </w:rPr>
              <w:tab/>
            </w:r>
            <w:r w:rsidRPr="0058641E">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_Toc166445081 \h </w:instrText>
            </w:r>
            <w:r>
              <w:rPr>
                <w:noProof/>
                <w:webHidden/>
              </w:rPr>
            </w:r>
            <w:r>
              <w:rPr>
                <w:noProof/>
                <w:webHidden/>
              </w:rPr>
              <w:fldChar w:fldCharType="separate"/>
            </w:r>
            <w:r w:rsidR="00FA3414">
              <w:rPr>
                <w:noProof/>
                <w:webHidden/>
              </w:rPr>
              <w:t>11</w:t>
            </w:r>
            <w:r>
              <w:rPr>
                <w:noProof/>
                <w:webHidden/>
              </w:rPr>
              <w:fldChar w:fldCharType="end"/>
            </w:r>
          </w:hyperlink>
        </w:p>
        <w:p w14:paraId="5C58D47C" w14:textId="0162F233" w:rsidR="0017592D" w:rsidRDefault="0017592D">
          <w:pPr>
            <w:pStyle w:val="Spistreci1"/>
            <w:rPr>
              <w:rFonts w:eastAsiaTheme="minorEastAsia"/>
              <w:noProof/>
              <w:kern w:val="2"/>
              <w:lang w:eastAsia="pl-PL"/>
              <w14:ligatures w14:val="standardContextual"/>
            </w:rPr>
          </w:pPr>
          <w:hyperlink w:anchor="_Toc166445082" w:history="1">
            <w:r w:rsidRPr="0058641E">
              <w:rPr>
                <w:rStyle w:val="Hipercze"/>
                <w:rFonts w:cstheme="minorHAnsi"/>
                <w:b/>
                <w:bCs/>
                <w:iCs/>
                <w:noProof/>
              </w:rPr>
              <w:t>7.</w:t>
            </w:r>
            <w:r>
              <w:rPr>
                <w:rFonts w:eastAsiaTheme="minorEastAsia"/>
                <w:noProof/>
                <w:kern w:val="2"/>
                <w:lang w:eastAsia="pl-PL"/>
                <w14:ligatures w14:val="standardContextual"/>
              </w:rPr>
              <w:tab/>
            </w:r>
            <w:r w:rsidRPr="0058641E">
              <w:rPr>
                <w:rStyle w:val="Hipercze"/>
                <w:rFonts w:cstheme="minorHAnsi"/>
                <w:b/>
                <w:noProof/>
              </w:rPr>
              <w:t>Typy przedsięwzięć</w:t>
            </w:r>
            <w:r>
              <w:rPr>
                <w:noProof/>
                <w:webHidden/>
              </w:rPr>
              <w:tab/>
            </w:r>
            <w:r>
              <w:rPr>
                <w:noProof/>
                <w:webHidden/>
              </w:rPr>
              <w:fldChar w:fldCharType="begin"/>
            </w:r>
            <w:r>
              <w:rPr>
                <w:noProof/>
                <w:webHidden/>
              </w:rPr>
              <w:instrText xml:space="preserve"> PAGEREF _Toc166445082 \h </w:instrText>
            </w:r>
            <w:r>
              <w:rPr>
                <w:noProof/>
                <w:webHidden/>
              </w:rPr>
            </w:r>
            <w:r>
              <w:rPr>
                <w:noProof/>
                <w:webHidden/>
              </w:rPr>
              <w:fldChar w:fldCharType="separate"/>
            </w:r>
            <w:r w:rsidR="00FA3414">
              <w:rPr>
                <w:noProof/>
                <w:webHidden/>
              </w:rPr>
              <w:t>11</w:t>
            </w:r>
            <w:r>
              <w:rPr>
                <w:noProof/>
                <w:webHidden/>
              </w:rPr>
              <w:fldChar w:fldCharType="end"/>
            </w:r>
          </w:hyperlink>
        </w:p>
        <w:p w14:paraId="56DC6DF1" w14:textId="1F0E6ADE" w:rsidR="0017592D" w:rsidRDefault="0017592D">
          <w:pPr>
            <w:pStyle w:val="Spistreci1"/>
            <w:rPr>
              <w:rFonts w:eastAsiaTheme="minorEastAsia"/>
              <w:noProof/>
              <w:kern w:val="2"/>
              <w:lang w:eastAsia="pl-PL"/>
              <w14:ligatures w14:val="standardContextual"/>
            </w:rPr>
          </w:pPr>
          <w:hyperlink w:anchor="_Toc166445083" w:history="1">
            <w:r w:rsidRPr="0058641E">
              <w:rPr>
                <w:rStyle w:val="Hipercze"/>
                <w:rFonts w:cstheme="minorHAnsi"/>
                <w:b/>
                <w:bCs/>
                <w:iCs/>
                <w:noProof/>
              </w:rPr>
              <w:t>8.</w:t>
            </w:r>
            <w:r>
              <w:rPr>
                <w:rFonts w:eastAsiaTheme="minorEastAsia"/>
                <w:noProof/>
                <w:kern w:val="2"/>
                <w:lang w:eastAsia="pl-PL"/>
                <w14:ligatures w14:val="standardContextual"/>
              </w:rPr>
              <w:tab/>
            </w:r>
            <w:r w:rsidRPr="0058641E">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_Toc166445083 \h </w:instrText>
            </w:r>
            <w:r>
              <w:rPr>
                <w:noProof/>
                <w:webHidden/>
              </w:rPr>
            </w:r>
            <w:r>
              <w:rPr>
                <w:noProof/>
                <w:webHidden/>
              </w:rPr>
              <w:fldChar w:fldCharType="separate"/>
            </w:r>
            <w:r w:rsidR="00FA3414">
              <w:rPr>
                <w:noProof/>
                <w:webHidden/>
              </w:rPr>
              <w:t>12</w:t>
            </w:r>
            <w:r>
              <w:rPr>
                <w:noProof/>
                <w:webHidden/>
              </w:rPr>
              <w:fldChar w:fldCharType="end"/>
            </w:r>
          </w:hyperlink>
        </w:p>
        <w:p w14:paraId="617288AC" w14:textId="66F0A0DD" w:rsidR="0017592D" w:rsidRDefault="0017592D">
          <w:pPr>
            <w:pStyle w:val="Spistreci1"/>
            <w:rPr>
              <w:rFonts w:eastAsiaTheme="minorEastAsia"/>
              <w:noProof/>
              <w:kern w:val="2"/>
              <w:lang w:eastAsia="pl-PL"/>
              <w14:ligatures w14:val="standardContextual"/>
            </w:rPr>
          </w:pPr>
          <w:hyperlink w:anchor="_Toc166445084" w:history="1">
            <w:r w:rsidRPr="0058641E">
              <w:rPr>
                <w:rStyle w:val="Hipercze"/>
                <w:rFonts w:cstheme="minorHAnsi"/>
                <w:b/>
                <w:bCs/>
                <w:iCs/>
                <w:noProof/>
              </w:rPr>
              <w:t>9.</w:t>
            </w:r>
            <w:r>
              <w:rPr>
                <w:rFonts w:eastAsiaTheme="minorEastAsia"/>
                <w:noProof/>
                <w:kern w:val="2"/>
                <w:lang w:eastAsia="pl-PL"/>
                <w14:ligatures w14:val="standardContextual"/>
              </w:rPr>
              <w:tab/>
            </w:r>
            <w:r w:rsidRPr="0058641E">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_Toc166445084 \h </w:instrText>
            </w:r>
            <w:r>
              <w:rPr>
                <w:noProof/>
                <w:webHidden/>
              </w:rPr>
            </w:r>
            <w:r>
              <w:rPr>
                <w:noProof/>
                <w:webHidden/>
              </w:rPr>
              <w:fldChar w:fldCharType="separate"/>
            </w:r>
            <w:r w:rsidR="00FA3414">
              <w:rPr>
                <w:noProof/>
                <w:webHidden/>
              </w:rPr>
              <w:t>15</w:t>
            </w:r>
            <w:r>
              <w:rPr>
                <w:noProof/>
                <w:webHidden/>
              </w:rPr>
              <w:fldChar w:fldCharType="end"/>
            </w:r>
          </w:hyperlink>
        </w:p>
        <w:p w14:paraId="01F20B53" w14:textId="0F48F2A0" w:rsidR="0017592D" w:rsidRDefault="0017592D">
          <w:pPr>
            <w:pStyle w:val="Spistreci1"/>
            <w:rPr>
              <w:rFonts w:eastAsiaTheme="minorEastAsia"/>
              <w:noProof/>
              <w:kern w:val="2"/>
              <w:lang w:eastAsia="pl-PL"/>
              <w14:ligatures w14:val="standardContextual"/>
            </w:rPr>
          </w:pPr>
          <w:hyperlink w:anchor="_Toc166445085" w:history="1">
            <w:r w:rsidRPr="0058641E">
              <w:rPr>
                <w:rStyle w:val="Hipercze"/>
                <w:rFonts w:cstheme="minorHAnsi"/>
                <w:b/>
                <w:bCs/>
                <w:iCs/>
                <w:noProof/>
              </w:rPr>
              <w:t>10.</w:t>
            </w:r>
            <w:r>
              <w:rPr>
                <w:rFonts w:eastAsiaTheme="minorEastAsia"/>
                <w:noProof/>
                <w:kern w:val="2"/>
                <w:lang w:eastAsia="pl-PL"/>
                <w14:ligatures w14:val="standardContextual"/>
              </w:rPr>
              <w:tab/>
            </w:r>
            <w:r w:rsidRPr="0058641E">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_Toc166445085 \h </w:instrText>
            </w:r>
            <w:r>
              <w:rPr>
                <w:noProof/>
                <w:webHidden/>
              </w:rPr>
            </w:r>
            <w:r>
              <w:rPr>
                <w:noProof/>
                <w:webHidden/>
              </w:rPr>
              <w:fldChar w:fldCharType="separate"/>
            </w:r>
            <w:r w:rsidR="00FA3414">
              <w:rPr>
                <w:noProof/>
                <w:webHidden/>
              </w:rPr>
              <w:t>16</w:t>
            </w:r>
            <w:r>
              <w:rPr>
                <w:noProof/>
                <w:webHidden/>
              </w:rPr>
              <w:fldChar w:fldCharType="end"/>
            </w:r>
          </w:hyperlink>
        </w:p>
        <w:p w14:paraId="3DA924A7" w14:textId="29F7DD72" w:rsidR="0017592D" w:rsidRDefault="0017592D">
          <w:pPr>
            <w:pStyle w:val="Spistreci1"/>
            <w:rPr>
              <w:rFonts w:eastAsiaTheme="minorEastAsia"/>
              <w:noProof/>
              <w:kern w:val="2"/>
              <w:lang w:eastAsia="pl-PL"/>
              <w14:ligatures w14:val="standardContextual"/>
            </w:rPr>
          </w:pPr>
          <w:hyperlink w:anchor="_Toc166445086" w:history="1">
            <w:r w:rsidRPr="0058641E">
              <w:rPr>
                <w:rStyle w:val="Hipercze"/>
                <w:rFonts w:cstheme="minorHAnsi"/>
                <w:b/>
                <w:bCs/>
                <w:iCs/>
                <w:noProof/>
              </w:rPr>
              <w:t>11.</w:t>
            </w:r>
            <w:r>
              <w:rPr>
                <w:rFonts w:eastAsiaTheme="minorEastAsia"/>
                <w:noProof/>
                <w:kern w:val="2"/>
                <w:lang w:eastAsia="pl-PL"/>
                <w14:ligatures w14:val="standardContextual"/>
              </w:rPr>
              <w:tab/>
            </w:r>
            <w:r w:rsidRPr="0058641E">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_Toc166445086 \h </w:instrText>
            </w:r>
            <w:r>
              <w:rPr>
                <w:noProof/>
                <w:webHidden/>
              </w:rPr>
            </w:r>
            <w:r>
              <w:rPr>
                <w:noProof/>
                <w:webHidden/>
              </w:rPr>
              <w:fldChar w:fldCharType="separate"/>
            </w:r>
            <w:r w:rsidR="00FA3414">
              <w:rPr>
                <w:noProof/>
                <w:webHidden/>
              </w:rPr>
              <w:t>16</w:t>
            </w:r>
            <w:r>
              <w:rPr>
                <w:noProof/>
                <w:webHidden/>
              </w:rPr>
              <w:fldChar w:fldCharType="end"/>
            </w:r>
          </w:hyperlink>
        </w:p>
        <w:p w14:paraId="1CEFE8AC" w14:textId="3C984069" w:rsidR="0017592D" w:rsidRDefault="0017592D">
          <w:pPr>
            <w:pStyle w:val="Spistreci1"/>
            <w:rPr>
              <w:rFonts w:eastAsiaTheme="minorEastAsia"/>
              <w:noProof/>
              <w:kern w:val="2"/>
              <w:lang w:eastAsia="pl-PL"/>
              <w14:ligatures w14:val="standardContextual"/>
            </w:rPr>
          </w:pPr>
          <w:hyperlink w:anchor="_Toc166445087" w:history="1">
            <w:r w:rsidRPr="0058641E">
              <w:rPr>
                <w:rStyle w:val="Hipercze"/>
                <w:rFonts w:cstheme="minorHAnsi"/>
                <w:b/>
                <w:bCs/>
                <w:iCs/>
                <w:noProof/>
              </w:rPr>
              <w:t>12.</w:t>
            </w:r>
            <w:r>
              <w:rPr>
                <w:rFonts w:eastAsiaTheme="minorEastAsia"/>
                <w:noProof/>
                <w:kern w:val="2"/>
                <w:lang w:eastAsia="pl-PL"/>
                <w14:ligatures w14:val="standardContextual"/>
              </w:rPr>
              <w:tab/>
            </w:r>
            <w:r w:rsidRPr="0058641E">
              <w:rPr>
                <w:rStyle w:val="Hipercze"/>
                <w:rFonts w:cstheme="minorHAnsi"/>
                <w:b/>
                <w:bCs/>
                <w:noProof/>
              </w:rPr>
              <w:t>Dopuszczalny cross-financing (%)</w:t>
            </w:r>
            <w:r>
              <w:rPr>
                <w:noProof/>
                <w:webHidden/>
              </w:rPr>
              <w:tab/>
            </w:r>
            <w:r>
              <w:rPr>
                <w:noProof/>
                <w:webHidden/>
              </w:rPr>
              <w:fldChar w:fldCharType="begin"/>
            </w:r>
            <w:r>
              <w:rPr>
                <w:noProof/>
                <w:webHidden/>
              </w:rPr>
              <w:instrText xml:space="preserve"> PAGEREF _Toc166445087 \h </w:instrText>
            </w:r>
            <w:r>
              <w:rPr>
                <w:noProof/>
                <w:webHidden/>
              </w:rPr>
            </w:r>
            <w:r>
              <w:rPr>
                <w:noProof/>
                <w:webHidden/>
              </w:rPr>
              <w:fldChar w:fldCharType="separate"/>
            </w:r>
            <w:r w:rsidR="00FA3414">
              <w:rPr>
                <w:noProof/>
                <w:webHidden/>
              </w:rPr>
              <w:t>16</w:t>
            </w:r>
            <w:r>
              <w:rPr>
                <w:noProof/>
                <w:webHidden/>
              </w:rPr>
              <w:fldChar w:fldCharType="end"/>
            </w:r>
          </w:hyperlink>
        </w:p>
        <w:p w14:paraId="3ABDDC56" w14:textId="0227D4CF" w:rsidR="0017592D" w:rsidRDefault="0017592D">
          <w:pPr>
            <w:pStyle w:val="Spistreci1"/>
            <w:rPr>
              <w:rFonts w:eastAsiaTheme="minorEastAsia"/>
              <w:noProof/>
              <w:kern w:val="2"/>
              <w:lang w:eastAsia="pl-PL"/>
              <w14:ligatures w14:val="standardContextual"/>
            </w:rPr>
          </w:pPr>
          <w:hyperlink w:anchor="_Toc166445088" w:history="1">
            <w:r w:rsidRPr="0058641E">
              <w:rPr>
                <w:rStyle w:val="Hipercze"/>
                <w:rFonts w:cstheme="minorHAnsi"/>
                <w:b/>
                <w:bCs/>
                <w:iCs/>
                <w:noProof/>
              </w:rPr>
              <w:t>13.</w:t>
            </w:r>
            <w:r>
              <w:rPr>
                <w:rFonts w:eastAsiaTheme="minorEastAsia"/>
                <w:noProof/>
                <w:kern w:val="2"/>
                <w:lang w:eastAsia="pl-PL"/>
                <w14:ligatures w14:val="standardContextual"/>
              </w:rPr>
              <w:tab/>
            </w:r>
            <w:r w:rsidRPr="0058641E">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_Toc166445088 \h </w:instrText>
            </w:r>
            <w:r>
              <w:rPr>
                <w:noProof/>
                <w:webHidden/>
              </w:rPr>
            </w:r>
            <w:r>
              <w:rPr>
                <w:noProof/>
                <w:webHidden/>
              </w:rPr>
              <w:fldChar w:fldCharType="separate"/>
            </w:r>
            <w:r w:rsidR="00FA3414">
              <w:rPr>
                <w:noProof/>
                <w:webHidden/>
              </w:rPr>
              <w:t>16</w:t>
            </w:r>
            <w:r>
              <w:rPr>
                <w:noProof/>
                <w:webHidden/>
              </w:rPr>
              <w:fldChar w:fldCharType="end"/>
            </w:r>
          </w:hyperlink>
        </w:p>
        <w:p w14:paraId="20BA9E85" w14:textId="58D8575E" w:rsidR="0017592D" w:rsidRDefault="0017592D">
          <w:pPr>
            <w:pStyle w:val="Spistreci1"/>
            <w:rPr>
              <w:rFonts w:eastAsiaTheme="minorEastAsia"/>
              <w:noProof/>
              <w:kern w:val="2"/>
              <w:lang w:eastAsia="pl-PL"/>
              <w14:ligatures w14:val="standardContextual"/>
            </w:rPr>
          </w:pPr>
          <w:hyperlink w:anchor="_Toc166445089" w:history="1">
            <w:r w:rsidRPr="0058641E">
              <w:rPr>
                <w:rStyle w:val="Hipercze"/>
                <w:rFonts w:cstheme="minorHAnsi"/>
                <w:b/>
                <w:bCs/>
                <w:iCs/>
                <w:noProof/>
              </w:rPr>
              <w:t>14.</w:t>
            </w:r>
            <w:r>
              <w:rPr>
                <w:rFonts w:eastAsiaTheme="minorEastAsia"/>
                <w:noProof/>
                <w:kern w:val="2"/>
                <w:lang w:eastAsia="pl-PL"/>
                <w14:ligatures w14:val="standardContextual"/>
              </w:rPr>
              <w:tab/>
            </w:r>
            <w:r w:rsidRPr="0058641E">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_Toc166445089 \h </w:instrText>
            </w:r>
            <w:r>
              <w:rPr>
                <w:noProof/>
                <w:webHidden/>
              </w:rPr>
            </w:r>
            <w:r>
              <w:rPr>
                <w:noProof/>
                <w:webHidden/>
              </w:rPr>
              <w:fldChar w:fldCharType="separate"/>
            </w:r>
            <w:r w:rsidR="00FA3414">
              <w:rPr>
                <w:noProof/>
                <w:webHidden/>
              </w:rPr>
              <w:t>17</w:t>
            </w:r>
            <w:r>
              <w:rPr>
                <w:noProof/>
                <w:webHidden/>
              </w:rPr>
              <w:fldChar w:fldCharType="end"/>
            </w:r>
          </w:hyperlink>
        </w:p>
        <w:p w14:paraId="32600E89" w14:textId="0AE83A6F" w:rsidR="0017592D" w:rsidRDefault="0017592D">
          <w:pPr>
            <w:pStyle w:val="Spistreci1"/>
            <w:rPr>
              <w:rFonts w:eastAsiaTheme="minorEastAsia"/>
              <w:noProof/>
              <w:kern w:val="2"/>
              <w:lang w:eastAsia="pl-PL"/>
              <w14:ligatures w14:val="standardContextual"/>
            </w:rPr>
          </w:pPr>
          <w:hyperlink w:anchor="_Toc166445090" w:history="1">
            <w:r w:rsidRPr="0058641E">
              <w:rPr>
                <w:rStyle w:val="Hipercze"/>
                <w:rFonts w:cstheme="minorHAnsi"/>
                <w:b/>
                <w:bCs/>
                <w:iCs/>
                <w:noProof/>
              </w:rPr>
              <w:t>15.</w:t>
            </w:r>
            <w:r>
              <w:rPr>
                <w:rFonts w:eastAsiaTheme="minorEastAsia"/>
                <w:noProof/>
                <w:kern w:val="2"/>
                <w:lang w:eastAsia="pl-PL"/>
                <w14:ligatures w14:val="standardContextual"/>
              </w:rPr>
              <w:tab/>
            </w:r>
            <w:r w:rsidRPr="0058641E">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_Toc166445090 \h </w:instrText>
            </w:r>
            <w:r>
              <w:rPr>
                <w:noProof/>
                <w:webHidden/>
              </w:rPr>
            </w:r>
            <w:r>
              <w:rPr>
                <w:noProof/>
                <w:webHidden/>
              </w:rPr>
              <w:fldChar w:fldCharType="separate"/>
            </w:r>
            <w:r w:rsidR="00FA3414">
              <w:rPr>
                <w:noProof/>
                <w:webHidden/>
              </w:rPr>
              <w:t>17</w:t>
            </w:r>
            <w:r>
              <w:rPr>
                <w:noProof/>
                <w:webHidden/>
              </w:rPr>
              <w:fldChar w:fldCharType="end"/>
            </w:r>
          </w:hyperlink>
        </w:p>
        <w:p w14:paraId="2A1A7CC8" w14:textId="016846FF" w:rsidR="0017592D" w:rsidRDefault="0017592D">
          <w:pPr>
            <w:pStyle w:val="Spistreci1"/>
            <w:rPr>
              <w:rFonts w:eastAsiaTheme="minorEastAsia"/>
              <w:noProof/>
              <w:kern w:val="2"/>
              <w:lang w:eastAsia="pl-PL"/>
              <w14:ligatures w14:val="standardContextual"/>
            </w:rPr>
          </w:pPr>
          <w:hyperlink w:anchor="_Toc166445091" w:history="1">
            <w:r w:rsidRPr="0058641E">
              <w:rPr>
                <w:rStyle w:val="Hipercze"/>
                <w:rFonts w:cstheme="minorHAnsi"/>
                <w:b/>
                <w:bCs/>
                <w:iCs/>
                <w:noProof/>
              </w:rPr>
              <w:t>16.</w:t>
            </w:r>
            <w:r>
              <w:rPr>
                <w:rFonts w:eastAsiaTheme="minorEastAsia"/>
                <w:noProof/>
                <w:kern w:val="2"/>
                <w:lang w:eastAsia="pl-PL"/>
                <w14:ligatures w14:val="standardContextual"/>
              </w:rPr>
              <w:tab/>
            </w:r>
            <w:r w:rsidRPr="0058641E">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_Toc166445091 \h </w:instrText>
            </w:r>
            <w:r>
              <w:rPr>
                <w:noProof/>
                <w:webHidden/>
              </w:rPr>
            </w:r>
            <w:r>
              <w:rPr>
                <w:noProof/>
                <w:webHidden/>
              </w:rPr>
              <w:fldChar w:fldCharType="separate"/>
            </w:r>
            <w:r w:rsidR="00FA3414">
              <w:rPr>
                <w:noProof/>
                <w:webHidden/>
              </w:rPr>
              <w:t>17</w:t>
            </w:r>
            <w:r>
              <w:rPr>
                <w:noProof/>
                <w:webHidden/>
              </w:rPr>
              <w:fldChar w:fldCharType="end"/>
            </w:r>
          </w:hyperlink>
        </w:p>
        <w:p w14:paraId="5531C46B" w14:textId="619AC1A4" w:rsidR="0017592D" w:rsidRDefault="0017592D">
          <w:pPr>
            <w:pStyle w:val="Spistreci1"/>
            <w:rPr>
              <w:rFonts w:eastAsiaTheme="minorEastAsia"/>
              <w:noProof/>
              <w:kern w:val="2"/>
              <w:lang w:eastAsia="pl-PL"/>
              <w14:ligatures w14:val="standardContextual"/>
            </w:rPr>
          </w:pPr>
          <w:hyperlink w:anchor="_Toc166445092" w:history="1">
            <w:r w:rsidRPr="0058641E">
              <w:rPr>
                <w:rStyle w:val="Hipercze"/>
                <w:rFonts w:cstheme="minorHAnsi"/>
                <w:b/>
                <w:bCs/>
                <w:iCs/>
                <w:noProof/>
              </w:rPr>
              <w:t>17.</w:t>
            </w:r>
            <w:r>
              <w:rPr>
                <w:rFonts w:eastAsiaTheme="minorEastAsia"/>
                <w:noProof/>
                <w:kern w:val="2"/>
                <w:lang w:eastAsia="pl-PL"/>
                <w14:ligatures w14:val="standardContextual"/>
              </w:rPr>
              <w:tab/>
            </w:r>
            <w:r w:rsidRPr="0058641E">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_Toc166445092 \h </w:instrText>
            </w:r>
            <w:r>
              <w:rPr>
                <w:noProof/>
                <w:webHidden/>
              </w:rPr>
            </w:r>
            <w:r>
              <w:rPr>
                <w:noProof/>
                <w:webHidden/>
              </w:rPr>
              <w:fldChar w:fldCharType="separate"/>
            </w:r>
            <w:r w:rsidR="00FA3414">
              <w:rPr>
                <w:noProof/>
                <w:webHidden/>
              </w:rPr>
              <w:t>17</w:t>
            </w:r>
            <w:r>
              <w:rPr>
                <w:noProof/>
                <w:webHidden/>
              </w:rPr>
              <w:fldChar w:fldCharType="end"/>
            </w:r>
          </w:hyperlink>
        </w:p>
        <w:p w14:paraId="71492CD0" w14:textId="48463D4C" w:rsidR="0017592D" w:rsidRDefault="0017592D">
          <w:pPr>
            <w:pStyle w:val="Spistreci1"/>
            <w:rPr>
              <w:rFonts w:eastAsiaTheme="minorEastAsia"/>
              <w:noProof/>
              <w:kern w:val="2"/>
              <w:lang w:eastAsia="pl-PL"/>
              <w14:ligatures w14:val="standardContextual"/>
            </w:rPr>
          </w:pPr>
          <w:hyperlink w:anchor="_Toc166445093" w:history="1">
            <w:r w:rsidRPr="0058641E">
              <w:rPr>
                <w:rStyle w:val="Hipercze"/>
                <w:rFonts w:cstheme="minorHAnsi"/>
                <w:b/>
                <w:bCs/>
                <w:iCs/>
                <w:noProof/>
              </w:rPr>
              <w:t>18.</w:t>
            </w:r>
            <w:r>
              <w:rPr>
                <w:rFonts w:eastAsiaTheme="minorEastAsia"/>
                <w:noProof/>
                <w:kern w:val="2"/>
                <w:lang w:eastAsia="pl-PL"/>
                <w14:ligatures w14:val="standardContextual"/>
              </w:rPr>
              <w:tab/>
            </w:r>
            <w:r w:rsidRPr="0058641E">
              <w:rPr>
                <w:rStyle w:val="Hipercze"/>
                <w:rFonts w:cstheme="minorHAnsi"/>
                <w:b/>
                <w:noProof/>
              </w:rPr>
              <w:t>Forma komunikacji</w:t>
            </w:r>
            <w:r>
              <w:rPr>
                <w:noProof/>
                <w:webHidden/>
              </w:rPr>
              <w:tab/>
            </w:r>
            <w:r>
              <w:rPr>
                <w:noProof/>
                <w:webHidden/>
              </w:rPr>
              <w:fldChar w:fldCharType="begin"/>
            </w:r>
            <w:r>
              <w:rPr>
                <w:noProof/>
                <w:webHidden/>
              </w:rPr>
              <w:instrText xml:space="preserve"> PAGEREF _Toc166445093 \h </w:instrText>
            </w:r>
            <w:r>
              <w:rPr>
                <w:noProof/>
                <w:webHidden/>
              </w:rPr>
            </w:r>
            <w:r>
              <w:rPr>
                <w:noProof/>
                <w:webHidden/>
              </w:rPr>
              <w:fldChar w:fldCharType="separate"/>
            </w:r>
            <w:r w:rsidR="00FA3414">
              <w:rPr>
                <w:noProof/>
                <w:webHidden/>
              </w:rPr>
              <w:t>18</w:t>
            </w:r>
            <w:r>
              <w:rPr>
                <w:noProof/>
                <w:webHidden/>
              </w:rPr>
              <w:fldChar w:fldCharType="end"/>
            </w:r>
          </w:hyperlink>
        </w:p>
        <w:p w14:paraId="1F490FA4" w14:textId="763CB840" w:rsidR="0017592D" w:rsidRDefault="0017592D">
          <w:pPr>
            <w:pStyle w:val="Spistreci1"/>
            <w:rPr>
              <w:rFonts w:eastAsiaTheme="minorEastAsia"/>
              <w:noProof/>
              <w:kern w:val="2"/>
              <w:lang w:eastAsia="pl-PL"/>
              <w14:ligatures w14:val="standardContextual"/>
            </w:rPr>
          </w:pPr>
          <w:hyperlink w:anchor="_Toc166445094" w:history="1">
            <w:r w:rsidRPr="0058641E">
              <w:rPr>
                <w:rStyle w:val="Hipercze"/>
                <w:rFonts w:cstheme="minorHAnsi"/>
                <w:b/>
                <w:bCs/>
                <w:iCs/>
                <w:noProof/>
              </w:rPr>
              <w:t>19.</w:t>
            </w:r>
            <w:r>
              <w:rPr>
                <w:rFonts w:eastAsiaTheme="minorEastAsia"/>
                <w:noProof/>
                <w:kern w:val="2"/>
                <w:lang w:eastAsia="pl-PL"/>
                <w14:ligatures w14:val="standardContextual"/>
              </w:rPr>
              <w:tab/>
            </w:r>
            <w:r w:rsidRPr="0058641E">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_Toc166445094 \h </w:instrText>
            </w:r>
            <w:r>
              <w:rPr>
                <w:noProof/>
                <w:webHidden/>
              </w:rPr>
            </w:r>
            <w:r>
              <w:rPr>
                <w:noProof/>
                <w:webHidden/>
              </w:rPr>
              <w:fldChar w:fldCharType="separate"/>
            </w:r>
            <w:r w:rsidR="00FA3414">
              <w:rPr>
                <w:noProof/>
                <w:webHidden/>
              </w:rPr>
              <w:t>19</w:t>
            </w:r>
            <w:r>
              <w:rPr>
                <w:noProof/>
                <w:webHidden/>
              </w:rPr>
              <w:fldChar w:fldCharType="end"/>
            </w:r>
          </w:hyperlink>
        </w:p>
        <w:p w14:paraId="50E9C598" w14:textId="14DDD760" w:rsidR="0017592D" w:rsidRDefault="0017592D">
          <w:pPr>
            <w:pStyle w:val="Spistreci1"/>
            <w:rPr>
              <w:rFonts w:eastAsiaTheme="minorEastAsia"/>
              <w:noProof/>
              <w:kern w:val="2"/>
              <w:lang w:eastAsia="pl-PL"/>
              <w14:ligatures w14:val="standardContextual"/>
            </w:rPr>
          </w:pPr>
          <w:hyperlink w:anchor="_Toc166445095" w:history="1">
            <w:r w:rsidRPr="0058641E">
              <w:rPr>
                <w:rStyle w:val="Hipercze"/>
                <w:rFonts w:cstheme="minorHAnsi"/>
                <w:b/>
                <w:bCs/>
                <w:iCs/>
                <w:noProof/>
              </w:rPr>
              <w:t>20.</w:t>
            </w:r>
            <w:r>
              <w:rPr>
                <w:rFonts w:eastAsiaTheme="minorEastAsia"/>
                <w:noProof/>
                <w:kern w:val="2"/>
                <w:lang w:eastAsia="pl-PL"/>
                <w14:ligatures w14:val="standardContextual"/>
              </w:rPr>
              <w:tab/>
            </w:r>
            <w:r w:rsidRPr="0058641E">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_Toc166445095 \h </w:instrText>
            </w:r>
            <w:r>
              <w:rPr>
                <w:noProof/>
                <w:webHidden/>
              </w:rPr>
            </w:r>
            <w:r>
              <w:rPr>
                <w:noProof/>
                <w:webHidden/>
              </w:rPr>
              <w:fldChar w:fldCharType="separate"/>
            </w:r>
            <w:r w:rsidR="00FA3414">
              <w:rPr>
                <w:noProof/>
                <w:webHidden/>
              </w:rPr>
              <w:t>20</w:t>
            </w:r>
            <w:r>
              <w:rPr>
                <w:noProof/>
                <w:webHidden/>
              </w:rPr>
              <w:fldChar w:fldCharType="end"/>
            </w:r>
          </w:hyperlink>
        </w:p>
        <w:p w14:paraId="334E28D8" w14:textId="342FEFC3" w:rsidR="0017592D" w:rsidRDefault="0017592D">
          <w:pPr>
            <w:pStyle w:val="Spistreci1"/>
            <w:rPr>
              <w:rFonts w:eastAsiaTheme="minorEastAsia"/>
              <w:noProof/>
              <w:kern w:val="2"/>
              <w:lang w:eastAsia="pl-PL"/>
              <w14:ligatures w14:val="standardContextual"/>
            </w:rPr>
          </w:pPr>
          <w:hyperlink w:anchor="_Toc166445096" w:history="1">
            <w:r w:rsidRPr="0058641E">
              <w:rPr>
                <w:rStyle w:val="Hipercze"/>
                <w:rFonts w:cstheme="minorHAnsi"/>
                <w:b/>
                <w:bCs/>
                <w:iCs/>
                <w:noProof/>
              </w:rPr>
              <w:t>21.</w:t>
            </w:r>
            <w:r>
              <w:rPr>
                <w:rFonts w:eastAsiaTheme="minorEastAsia"/>
                <w:noProof/>
                <w:kern w:val="2"/>
                <w:lang w:eastAsia="pl-PL"/>
                <w14:ligatures w14:val="standardContextual"/>
              </w:rPr>
              <w:tab/>
            </w:r>
            <w:r w:rsidRPr="0058641E">
              <w:rPr>
                <w:rStyle w:val="Hipercze"/>
                <w:rFonts w:cstheme="minorHAnsi"/>
                <w:b/>
                <w:bCs/>
                <w:noProof/>
              </w:rPr>
              <w:t>Rozstrzygnięcie w zakresie wyboru projektu do dofinansowania</w:t>
            </w:r>
            <w:r>
              <w:rPr>
                <w:noProof/>
                <w:webHidden/>
              </w:rPr>
              <w:tab/>
            </w:r>
            <w:r>
              <w:rPr>
                <w:noProof/>
                <w:webHidden/>
              </w:rPr>
              <w:fldChar w:fldCharType="begin"/>
            </w:r>
            <w:r>
              <w:rPr>
                <w:noProof/>
                <w:webHidden/>
              </w:rPr>
              <w:instrText xml:space="preserve"> PAGEREF _Toc166445096 \h </w:instrText>
            </w:r>
            <w:r>
              <w:rPr>
                <w:noProof/>
                <w:webHidden/>
              </w:rPr>
            </w:r>
            <w:r>
              <w:rPr>
                <w:noProof/>
                <w:webHidden/>
              </w:rPr>
              <w:fldChar w:fldCharType="separate"/>
            </w:r>
            <w:r w:rsidR="00FA3414">
              <w:rPr>
                <w:noProof/>
                <w:webHidden/>
              </w:rPr>
              <w:t>20</w:t>
            </w:r>
            <w:r>
              <w:rPr>
                <w:noProof/>
                <w:webHidden/>
              </w:rPr>
              <w:fldChar w:fldCharType="end"/>
            </w:r>
          </w:hyperlink>
        </w:p>
        <w:p w14:paraId="5881AB07" w14:textId="192841D8" w:rsidR="0017592D" w:rsidRDefault="0017592D">
          <w:pPr>
            <w:pStyle w:val="Spistreci1"/>
            <w:rPr>
              <w:rFonts w:eastAsiaTheme="minorEastAsia"/>
              <w:noProof/>
              <w:kern w:val="2"/>
              <w:lang w:eastAsia="pl-PL"/>
              <w14:ligatures w14:val="standardContextual"/>
            </w:rPr>
          </w:pPr>
          <w:hyperlink w:anchor="_Toc166445097" w:history="1">
            <w:r w:rsidRPr="0058641E">
              <w:rPr>
                <w:rStyle w:val="Hipercze"/>
                <w:rFonts w:cstheme="minorHAnsi"/>
                <w:b/>
                <w:bCs/>
                <w:iCs/>
                <w:noProof/>
              </w:rPr>
              <w:t>22.</w:t>
            </w:r>
            <w:r>
              <w:rPr>
                <w:rFonts w:eastAsiaTheme="minorEastAsia"/>
                <w:noProof/>
                <w:kern w:val="2"/>
                <w:lang w:eastAsia="pl-PL"/>
                <w14:ligatures w14:val="standardContextual"/>
              </w:rPr>
              <w:tab/>
            </w:r>
            <w:r w:rsidRPr="0058641E">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_Toc166445097 \h </w:instrText>
            </w:r>
            <w:r>
              <w:rPr>
                <w:noProof/>
                <w:webHidden/>
              </w:rPr>
            </w:r>
            <w:r>
              <w:rPr>
                <w:noProof/>
                <w:webHidden/>
              </w:rPr>
              <w:fldChar w:fldCharType="separate"/>
            </w:r>
            <w:r w:rsidR="00FA3414">
              <w:rPr>
                <w:noProof/>
                <w:webHidden/>
              </w:rPr>
              <w:t>21</w:t>
            </w:r>
            <w:r>
              <w:rPr>
                <w:noProof/>
                <w:webHidden/>
              </w:rPr>
              <w:fldChar w:fldCharType="end"/>
            </w:r>
          </w:hyperlink>
        </w:p>
        <w:p w14:paraId="018B0D1B" w14:textId="335D9FB1" w:rsidR="0017592D" w:rsidRDefault="0017592D">
          <w:pPr>
            <w:pStyle w:val="Spistreci1"/>
            <w:rPr>
              <w:rFonts w:eastAsiaTheme="minorEastAsia"/>
              <w:noProof/>
              <w:kern w:val="2"/>
              <w:lang w:eastAsia="pl-PL"/>
              <w14:ligatures w14:val="standardContextual"/>
            </w:rPr>
          </w:pPr>
          <w:hyperlink w:anchor="_Toc166445098" w:history="1">
            <w:r w:rsidRPr="0058641E">
              <w:rPr>
                <w:rStyle w:val="Hipercze"/>
                <w:rFonts w:cstheme="minorHAnsi"/>
                <w:b/>
                <w:bCs/>
                <w:iCs/>
                <w:noProof/>
              </w:rPr>
              <w:t>23.</w:t>
            </w:r>
            <w:r>
              <w:rPr>
                <w:rFonts w:eastAsiaTheme="minorEastAsia"/>
                <w:noProof/>
                <w:kern w:val="2"/>
                <w:lang w:eastAsia="pl-PL"/>
                <w14:ligatures w14:val="standardContextual"/>
              </w:rPr>
              <w:tab/>
            </w:r>
            <w:r w:rsidRPr="0058641E">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_Toc166445098 \h </w:instrText>
            </w:r>
            <w:r>
              <w:rPr>
                <w:noProof/>
                <w:webHidden/>
              </w:rPr>
            </w:r>
            <w:r>
              <w:rPr>
                <w:noProof/>
                <w:webHidden/>
              </w:rPr>
              <w:fldChar w:fldCharType="separate"/>
            </w:r>
            <w:r w:rsidR="00FA3414">
              <w:rPr>
                <w:noProof/>
                <w:webHidden/>
              </w:rPr>
              <w:t>21</w:t>
            </w:r>
            <w:r>
              <w:rPr>
                <w:noProof/>
                <w:webHidden/>
              </w:rPr>
              <w:fldChar w:fldCharType="end"/>
            </w:r>
          </w:hyperlink>
        </w:p>
        <w:p w14:paraId="4E8264F4" w14:textId="6AD30191" w:rsidR="0017592D" w:rsidRDefault="0017592D">
          <w:pPr>
            <w:pStyle w:val="Spistreci1"/>
            <w:rPr>
              <w:rFonts w:eastAsiaTheme="minorEastAsia"/>
              <w:noProof/>
              <w:kern w:val="2"/>
              <w:lang w:eastAsia="pl-PL"/>
              <w14:ligatures w14:val="standardContextual"/>
            </w:rPr>
          </w:pPr>
          <w:hyperlink w:anchor="_Toc166445099" w:history="1">
            <w:r w:rsidRPr="0058641E">
              <w:rPr>
                <w:rStyle w:val="Hipercze"/>
                <w:rFonts w:cstheme="minorHAnsi"/>
                <w:b/>
                <w:bCs/>
                <w:iCs/>
                <w:noProof/>
              </w:rPr>
              <w:t>24.</w:t>
            </w:r>
            <w:r>
              <w:rPr>
                <w:rFonts w:eastAsiaTheme="minorEastAsia"/>
                <w:noProof/>
                <w:kern w:val="2"/>
                <w:lang w:eastAsia="pl-PL"/>
                <w14:ligatures w14:val="standardContextual"/>
              </w:rPr>
              <w:tab/>
            </w:r>
            <w:r w:rsidRPr="0058641E">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_Toc166445099 \h </w:instrText>
            </w:r>
            <w:r>
              <w:rPr>
                <w:noProof/>
                <w:webHidden/>
              </w:rPr>
            </w:r>
            <w:r>
              <w:rPr>
                <w:noProof/>
                <w:webHidden/>
              </w:rPr>
              <w:fldChar w:fldCharType="separate"/>
            </w:r>
            <w:r w:rsidR="00FA3414">
              <w:rPr>
                <w:noProof/>
                <w:webHidden/>
              </w:rPr>
              <w:t>21</w:t>
            </w:r>
            <w:r>
              <w:rPr>
                <w:noProof/>
                <w:webHidden/>
              </w:rPr>
              <w:fldChar w:fldCharType="end"/>
            </w:r>
          </w:hyperlink>
        </w:p>
        <w:p w14:paraId="7B67BB8E" w14:textId="7F3528F0" w:rsidR="0017592D" w:rsidRDefault="0017592D">
          <w:pPr>
            <w:pStyle w:val="Spistreci1"/>
            <w:rPr>
              <w:rFonts w:eastAsiaTheme="minorEastAsia"/>
              <w:noProof/>
              <w:kern w:val="2"/>
              <w:lang w:eastAsia="pl-PL"/>
              <w14:ligatures w14:val="standardContextual"/>
            </w:rPr>
          </w:pPr>
          <w:hyperlink w:anchor="_Toc166445100" w:history="1">
            <w:r w:rsidRPr="0058641E">
              <w:rPr>
                <w:rStyle w:val="Hipercze"/>
                <w:rFonts w:cstheme="minorHAnsi"/>
                <w:b/>
                <w:bCs/>
                <w:iCs/>
                <w:noProof/>
              </w:rPr>
              <w:t>25.</w:t>
            </w:r>
            <w:r>
              <w:rPr>
                <w:rFonts w:eastAsiaTheme="minorEastAsia"/>
                <w:noProof/>
                <w:kern w:val="2"/>
                <w:lang w:eastAsia="pl-PL"/>
                <w14:ligatures w14:val="standardContextual"/>
              </w:rPr>
              <w:tab/>
            </w:r>
            <w:r w:rsidRPr="0058641E">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_Toc166445100 \h </w:instrText>
            </w:r>
            <w:r>
              <w:rPr>
                <w:noProof/>
                <w:webHidden/>
              </w:rPr>
            </w:r>
            <w:r>
              <w:rPr>
                <w:noProof/>
                <w:webHidden/>
              </w:rPr>
              <w:fldChar w:fldCharType="separate"/>
            </w:r>
            <w:r w:rsidR="00FA3414">
              <w:rPr>
                <w:noProof/>
                <w:webHidden/>
              </w:rPr>
              <w:t>25</w:t>
            </w:r>
            <w:r>
              <w:rPr>
                <w:noProof/>
                <w:webHidden/>
              </w:rPr>
              <w:fldChar w:fldCharType="end"/>
            </w:r>
          </w:hyperlink>
        </w:p>
        <w:p w14:paraId="559336DD" w14:textId="1F618E93" w:rsidR="0017592D" w:rsidRDefault="0017592D">
          <w:pPr>
            <w:pStyle w:val="Spistreci1"/>
            <w:rPr>
              <w:rFonts w:eastAsiaTheme="minorEastAsia"/>
              <w:noProof/>
              <w:kern w:val="2"/>
              <w:lang w:eastAsia="pl-PL"/>
              <w14:ligatures w14:val="standardContextual"/>
            </w:rPr>
          </w:pPr>
          <w:hyperlink w:anchor="_Toc166445101" w:history="1">
            <w:r w:rsidRPr="0058641E">
              <w:rPr>
                <w:rStyle w:val="Hipercze"/>
                <w:rFonts w:cstheme="minorHAnsi"/>
                <w:b/>
                <w:bCs/>
                <w:iCs/>
                <w:noProof/>
              </w:rPr>
              <w:t>26.</w:t>
            </w:r>
            <w:r>
              <w:rPr>
                <w:rFonts w:eastAsiaTheme="minorEastAsia"/>
                <w:noProof/>
                <w:kern w:val="2"/>
                <w:lang w:eastAsia="pl-PL"/>
                <w14:ligatures w14:val="standardContextual"/>
              </w:rPr>
              <w:tab/>
            </w:r>
            <w:r w:rsidRPr="0058641E">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_Toc166445101 \h </w:instrText>
            </w:r>
            <w:r>
              <w:rPr>
                <w:noProof/>
                <w:webHidden/>
              </w:rPr>
            </w:r>
            <w:r>
              <w:rPr>
                <w:noProof/>
                <w:webHidden/>
              </w:rPr>
              <w:fldChar w:fldCharType="separate"/>
            </w:r>
            <w:r w:rsidR="00FA3414">
              <w:rPr>
                <w:noProof/>
                <w:webHidden/>
              </w:rPr>
              <w:t>26</w:t>
            </w:r>
            <w:r>
              <w:rPr>
                <w:noProof/>
                <w:webHidden/>
              </w:rPr>
              <w:fldChar w:fldCharType="end"/>
            </w:r>
          </w:hyperlink>
        </w:p>
        <w:p w14:paraId="0BAC94EE" w14:textId="6891EA2B" w:rsidR="0017592D" w:rsidRDefault="0017592D">
          <w:pPr>
            <w:pStyle w:val="Spistreci1"/>
            <w:rPr>
              <w:rFonts w:eastAsiaTheme="minorEastAsia"/>
              <w:noProof/>
              <w:kern w:val="2"/>
              <w:lang w:eastAsia="pl-PL"/>
              <w14:ligatures w14:val="standardContextual"/>
            </w:rPr>
          </w:pPr>
          <w:hyperlink w:anchor="_Toc166445102" w:history="1">
            <w:r w:rsidRPr="0058641E">
              <w:rPr>
                <w:rStyle w:val="Hipercze"/>
                <w:rFonts w:cstheme="minorHAnsi"/>
                <w:b/>
                <w:bCs/>
                <w:iCs/>
                <w:noProof/>
              </w:rPr>
              <w:t>27.</w:t>
            </w:r>
            <w:r>
              <w:rPr>
                <w:rFonts w:eastAsiaTheme="minorEastAsia"/>
                <w:noProof/>
                <w:kern w:val="2"/>
                <w:lang w:eastAsia="pl-PL"/>
                <w14:ligatures w14:val="standardContextual"/>
              </w:rPr>
              <w:tab/>
            </w:r>
            <w:r w:rsidRPr="0058641E">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_Toc166445102 \h </w:instrText>
            </w:r>
            <w:r>
              <w:rPr>
                <w:noProof/>
                <w:webHidden/>
              </w:rPr>
            </w:r>
            <w:r>
              <w:rPr>
                <w:noProof/>
                <w:webHidden/>
              </w:rPr>
              <w:fldChar w:fldCharType="separate"/>
            </w:r>
            <w:r w:rsidR="00FA3414">
              <w:rPr>
                <w:noProof/>
                <w:webHidden/>
              </w:rPr>
              <w:t>27</w:t>
            </w:r>
            <w:r>
              <w:rPr>
                <w:noProof/>
                <w:webHidden/>
              </w:rPr>
              <w:fldChar w:fldCharType="end"/>
            </w:r>
          </w:hyperlink>
        </w:p>
        <w:p w14:paraId="76DA1D5D" w14:textId="588B639F" w:rsidR="0017592D" w:rsidRDefault="0017592D">
          <w:pPr>
            <w:pStyle w:val="Spistreci1"/>
            <w:rPr>
              <w:rFonts w:eastAsiaTheme="minorEastAsia"/>
              <w:noProof/>
              <w:kern w:val="2"/>
              <w:lang w:eastAsia="pl-PL"/>
              <w14:ligatures w14:val="standardContextual"/>
            </w:rPr>
          </w:pPr>
          <w:hyperlink w:anchor="_Toc166445103" w:history="1">
            <w:r w:rsidRPr="0058641E">
              <w:rPr>
                <w:rStyle w:val="Hipercze"/>
                <w:rFonts w:cstheme="minorHAnsi"/>
                <w:b/>
                <w:bCs/>
                <w:iCs/>
                <w:noProof/>
              </w:rPr>
              <w:t>28.</w:t>
            </w:r>
            <w:r>
              <w:rPr>
                <w:rFonts w:eastAsiaTheme="minorEastAsia"/>
                <w:noProof/>
                <w:kern w:val="2"/>
                <w:lang w:eastAsia="pl-PL"/>
                <w14:ligatures w14:val="standardContextual"/>
              </w:rPr>
              <w:tab/>
            </w:r>
            <w:r w:rsidRPr="0058641E">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_Toc166445103 \h </w:instrText>
            </w:r>
            <w:r>
              <w:rPr>
                <w:noProof/>
                <w:webHidden/>
              </w:rPr>
            </w:r>
            <w:r>
              <w:rPr>
                <w:noProof/>
                <w:webHidden/>
              </w:rPr>
              <w:fldChar w:fldCharType="separate"/>
            </w:r>
            <w:r w:rsidR="00FA3414">
              <w:rPr>
                <w:noProof/>
                <w:webHidden/>
              </w:rPr>
              <w:t>28</w:t>
            </w:r>
            <w:r>
              <w:rPr>
                <w:noProof/>
                <w:webHidden/>
              </w:rPr>
              <w:fldChar w:fldCharType="end"/>
            </w:r>
          </w:hyperlink>
        </w:p>
        <w:p w14:paraId="28A56DC0" w14:textId="64C86F6A" w:rsidR="0017592D" w:rsidRDefault="0017592D">
          <w:pPr>
            <w:pStyle w:val="Spistreci1"/>
            <w:rPr>
              <w:rFonts w:eastAsiaTheme="minorEastAsia"/>
              <w:noProof/>
              <w:kern w:val="2"/>
              <w:lang w:eastAsia="pl-PL"/>
              <w14:ligatures w14:val="standardContextual"/>
            </w:rPr>
          </w:pPr>
          <w:hyperlink w:anchor="_Toc166445104" w:history="1">
            <w:r w:rsidRPr="0058641E">
              <w:rPr>
                <w:rStyle w:val="Hipercze"/>
                <w:rFonts w:cstheme="minorHAnsi"/>
                <w:b/>
                <w:bCs/>
                <w:iCs/>
                <w:noProof/>
              </w:rPr>
              <w:t>29.</w:t>
            </w:r>
            <w:r>
              <w:rPr>
                <w:rFonts w:eastAsiaTheme="minorEastAsia"/>
                <w:noProof/>
                <w:kern w:val="2"/>
                <w:lang w:eastAsia="pl-PL"/>
                <w14:ligatures w14:val="standardContextual"/>
              </w:rPr>
              <w:tab/>
            </w:r>
            <w:r w:rsidRPr="0058641E">
              <w:rPr>
                <w:rStyle w:val="Hipercze"/>
                <w:rFonts w:cstheme="minorHAnsi"/>
                <w:b/>
                <w:bCs/>
                <w:noProof/>
              </w:rPr>
              <w:t>Uprawnienia skargowe wnioskodawcy/beneficjenta  w postępowaniu konkurencyjnym</w:t>
            </w:r>
            <w:r w:rsidRPr="0058641E">
              <w:rPr>
                <w:rStyle w:val="Hipercze"/>
                <w:rFonts w:cstheme="minorHAnsi"/>
                <w:b/>
                <w:noProof/>
              </w:rPr>
              <w:t xml:space="preserve"> </w:t>
            </w:r>
            <w:r w:rsidR="00AF3BC5">
              <w:rPr>
                <w:rStyle w:val="Hipercze"/>
                <w:rFonts w:cstheme="minorHAnsi"/>
                <w:b/>
                <w:noProof/>
              </w:rPr>
              <w:br/>
            </w:r>
            <w:r w:rsidRPr="0058641E">
              <w:rPr>
                <w:rStyle w:val="Hipercze"/>
                <w:rFonts w:cstheme="minorHAnsi"/>
                <w:b/>
                <w:bCs/>
                <w:noProof/>
              </w:rPr>
              <w:t>(z wyłączeniem procedury odwoławczej o której mowa w pkt. 28 niniejszego Regulaminu)</w:t>
            </w:r>
            <w:r>
              <w:rPr>
                <w:noProof/>
                <w:webHidden/>
              </w:rPr>
              <w:tab/>
            </w:r>
            <w:r>
              <w:rPr>
                <w:noProof/>
                <w:webHidden/>
              </w:rPr>
              <w:fldChar w:fldCharType="begin"/>
            </w:r>
            <w:r>
              <w:rPr>
                <w:noProof/>
                <w:webHidden/>
              </w:rPr>
              <w:instrText xml:space="preserve"> PAGEREF _Toc166445104 \h </w:instrText>
            </w:r>
            <w:r>
              <w:rPr>
                <w:noProof/>
                <w:webHidden/>
              </w:rPr>
            </w:r>
            <w:r>
              <w:rPr>
                <w:noProof/>
                <w:webHidden/>
              </w:rPr>
              <w:fldChar w:fldCharType="separate"/>
            </w:r>
            <w:r w:rsidR="00FA3414">
              <w:rPr>
                <w:noProof/>
                <w:webHidden/>
              </w:rPr>
              <w:t>28</w:t>
            </w:r>
            <w:r>
              <w:rPr>
                <w:noProof/>
                <w:webHidden/>
              </w:rPr>
              <w:fldChar w:fldCharType="end"/>
            </w:r>
          </w:hyperlink>
        </w:p>
        <w:p w14:paraId="6D70270E" w14:textId="138383B6" w:rsidR="0017592D" w:rsidRDefault="0017592D">
          <w:pPr>
            <w:pStyle w:val="Spistreci1"/>
            <w:rPr>
              <w:rFonts w:eastAsiaTheme="minorEastAsia"/>
              <w:noProof/>
              <w:kern w:val="2"/>
              <w:lang w:eastAsia="pl-PL"/>
              <w14:ligatures w14:val="standardContextual"/>
            </w:rPr>
          </w:pPr>
          <w:hyperlink w:anchor="_Toc166445105" w:history="1">
            <w:r w:rsidRPr="0058641E">
              <w:rPr>
                <w:rStyle w:val="Hipercze"/>
                <w:rFonts w:cstheme="minorHAnsi"/>
                <w:b/>
                <w:bCs/>
                <w:iCs/>
                <w:noProof/>
              </w:rPr>
              <w:t>30.</w:t>
            </w:r>
            <w:r>
              <w:rPr>
                <w:rFonts w:eastAsiaTheme="minorEastAsia"/>
                <w:noProof/>
                <w:kern w:val="2"/>
                <w:lang w:eastAsia="pl-PL"/>
                <w14:ligatures w14:val="standardContextual"/>
              </w:rPr>
              <w:tab/>
            </w:r>
            <w:r w:rsidRPr="0058641E">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_Toc166445105 \h </w:instrText>
            </w:r>
            <w:r>
              <w:rPr>
                <w:noProof/>
                <w:webHidden/>
              </w:rPr>
            </w:r>
            <w:r>
              <w:rPr>
                <w:noProof/>
                <w:webHidden/>
              </w:rPr>
              <w:fldChar w:fldCharType="separate"/>
            </w:r>
            <w:r w:rsidR="00FA3414">
              <w:rPr>
                <w:noProof/>
                <w:webHidden/>
              </w:rPr>
              <w:t>30</w:t>
            </w:r>
            <w:r>
              <w:rPr>
                <w:noProof/>
                <w:webHidden/>
              </w:rPr>
              <w:fldChar w:fldCharType="end"/>
            </w:r>
          </w:hyperlink>
        </w:p>
        <w:p w14:paraId="029728CB" w14:textId="560F88ED" w:rsidR="0017592D" w:rsidRDefault="0017592D">
          <w:pPr>
            <w:pStyle w:val="Spistreci1"/>
            <w:rPr>
              <w:rFonts w:eastAsiaTheme="minorEastAsia"/>
              <w:noProof/>
              <w:kern w:val="2"/>
              <w:lang w:eastAsia="pl-PL"/>
              <w14:ligatures w14:val="standardContextual"/>
            </w:rPr>
          </w:pPr>
          <w:hyperlink w:anchor="_Toc166445106" w:history="1">
            <w:r w:rsidRPr="0058641E">
              <w:rPr>
                <w:rStyle w:val="Hipercze"/>
                <w:rFonts w:cstheme="minorHAnsi"/>
                <w:b/>
                <w:bCs/>
                <w:iCs/>
                <w:noProof/>
              </w:rPr>
              <w:t>31.</w:t>
            </w:r>
            <w:r>
              <w:rPr>
                <w:rFonts w:eastAsiaTheme="minorEastAsia"/>
                <w:noProof/>
                <w:kern w:val="2"/>
                <w:lang w:eastAsia="pl-PL"/>
                <w14:ligatures w14:val="standardContextual"/>
              </w:rPr>
              <w:tab/>
            </w:r>
            <w:r w:rsidRPr="0058641E">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_Toc166445106 \h </w:instrText>
            </w:r>
            <w:r>
              <w:rPr>
                <w:noProof/>
                <w:webHidden/>
              </w:rPr>
            </w:r>
            <w:r>
              <w:rPr>
                <w:noProof/>
                <w:webHidden/>
              </w:rPr>
              <w:fldChar w:fldCharType="separate"/>
            </w:r>
            <w:r w:rsidR="00FA3414">
              <w:rPr>
                <w:noProof/>
                <w:webHidden/>
              </w:rPr>
              <w:t>31</w:t>
            </w:r>
            <w:r>
              <w:rPr>
                <w:noProof/>
                <w:webHidden/>
              </w:rPr>
              <w:fldChar w:fldCharType="end"/>
            </w:r>
          </w:hyperlink>
        </w:p>
        <w:p w14:paraId="7C04AC04" w14:textId="7A096248" w:rsidR="0017592D" w:rsidRDefault="0017592D">
          <w:pPr>
            <w:pStyle w:val="Spistreci1"/>
            <w:rPr>
              <w:rFonts w:eastAsiaTheme="minorEastAsia"/>
              <w:noProof/>
              <w:kern w:val="2"/>
              <w:lang w:eastAsia="pl-PL"/>
              <w14:ligatures w14:val="standardContextual"/>
            </w:rPr>
          </w:pPr>
          <w:hyperlink w:anchor="_Toc166445107" w:history="1">
            <w:r w:rsidRPr="0058641E">
              <w:rPr>
                <w:rStyle w:val="Hipercze"/>
                <w:rFonts w:cstheme="minorHAnsi"/>
                <w:b/>
                <w:bCs/>
                <w:iCs/>
                <w:noProof/>
              </w:rPr>
              <w:t>32.</w:t>
            </w:r>
            <w:r>
              <w:rPr>
                <w:rFonts w:eastAsiaTheme="minorEastAsia"/>
                <w:noProof/>
                <w:kern w:val="2"/>
                <w:lang w:eastAsia="pl-PL"/>
                <w14:ligatures w14:val="standardContextual"/>
              </w:rPr>
              <w:tab/>
            </w:r>
            <w:r w:rsidRPr="0058641E">
              <w:rPr>
                <w:rStyle w:val="Hipercze"/>
                <w:rFonts w:cstheme="minorHAnsi"/>
                <w:b/>
                <w:noProof/>
              </w:rPr>
              <w:t>Unieważnienie postępowania/naboru w zakresie wyboru projektów</w:t>
            </w:r>
            <w:r>
              <w:rPr>
                <w:noProof/>
                <w:webHidden/>
              </w:rPr>
              <w:tab/>
            </w:r>
            <w:r>
              <w:rPr>
                <w:noProof/>
                <w:webHidden/>
              </w:rPr>
              <w:fldChar w:fldCharType="begin"/>
            </w:r>
            <w:r>
              <w:rPr>
                <w:noProof/>
                <w:webHidden/>
              </w:rPr>
              <w:instrText xml:space="preserve"> PAGEREF _Toc166445107 \h </w:instrText>
            </w:r>
            <w:r>
              <w:rPr>
                <w:noProof/>
                <w:webHidden/>
              </w:rPr>
            </w:r>
            <w:r>
              <w:rPr>
                <w:noProof/>
                <w:webHidden/>
              </w:rPr>
              <w:fldChar w:fldCharType="separate"/>
            </w:r>
            <w:r w:rsidR="00FA3414">
              <w:rPr>
                <w:noProof/>
                <w:webHidden/>
              </w:rPr>
              <w:t>31</w:t>
            </w:r>
            <w:r>
              <w:rPr>
                <w:noProof/>
                <w:webHidden/>
              </w:rPr>
              <w:fldChar w:fldCharType="end"/>
            </w:r>
          </w:hyperlink>
        </w:p>
        <w:p w14:paraId="5A47FF1A" w14:textId="68BB104D" w:rsidR="0017592D" w:rsidRDefault="0017592D">
          <w:pPr>
            <w:pStyle w:val="Spistreci1"/>
            <w:rPr>
              <w:rFonts w:eastAsiaTheme="minorEastAsia"/>
              <w:noProof/>
              <w:kern w:val="2"/>
              <w:lang w:eastAsia="pl-PL"/>
              <w14:ligatures w14:val="standardContextual"/>
            </w:rPr>
          </w:pPr>
          <w:hyperlink w:anchor="_Toc166445108" w:history="1">
            <w:r w:rsidRPr="0058641E">
              <w:rPr>
                <w:rStyle w:val="Hipercze"/>
                <w:rFonts w:cstheme="minorHAnsi"/>
                <w:b/>
                <w:bCs/>
                <w:iCs/>
                <w:noProof/>
              </w:rPr>
              <w:t>33.</w:t>
            </w:r>
            <w:r>
              <w:rPr>
                <w:rFonts w:eastAsiaTheme="minorEastAsia"/>
                <w:noProof/>
                <w:kern w:val="2"/>
                <w:lang w:eastAsia="pl-PL"/>
                <w14:ligatures w14:val="standardContextual"/>
              </w:rPr>
              <w:tab/>
            </w:r>
            <w:r w:rsidRPr="0058641E">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_Toc166445108 \h </w:instrText>
            </w:r>
            <w:r>
              <w:rPr>
                <w:noProof/>
                <w:webHidden/>
              </w:rPr>
            </w:r>
            <w:r>
              <w:rPr>
                <w:noProof/>
                <w:webHidden/>
              </w:rPr>
              <w:fldChar w:fldCharType="separate"/>
            </w:r>
            <w:r w:rsidR="00FA3414">
              <w:rPr>
                <w:noProof/>
                <w:webHidden/>
              </w:rPr>
              <w:t>32</w:t>
            </w:r>
            <w:r>
              <w:rPr>
                <w:noProof/>
                <w:webHidden/>
              </w:rPr>
              <w:fldChar w:fldCharType="end"/>
            </w:r>
          </w:hyperlink>
        </w:p>
        <w:p w14:paraId="17127DB6" w14:textId="63093947" w:rsidR="0017592D" w:rsidRDefault="0017592D">
          <w:pPr>
            <w:pStyle w:val="Spistreci1"/>
            <w:rPr>
              <w:rFonts w:eastAsiaTheme="minorEastAsia"/>
              <w:noProof/>
              <w:kern w:val="2"/>
              <w:lang w:eastAsia="pl-PL"/>
              <w14:ligatures w14:val="standardContextual"/>
            </w:rPr>
          </w:pPr>
          <w:hyperlink w:anchor="_Toc166445109" w:history="1">
            <w:r w:rsidRPr="0058641E">
              <w:rPr>
                <w:rStyle w:val="Hipercze"/>
                <w:rFonts w:cstheme="minorHAnsi"/>
                <w:b/>
                <w:bCs/>
                <w:iCs/>
                <w:noProof/>
              </w:rPr>
              <w:t>34.</w:t>
            </w:r>
            <w:r>
              <w:rPr>
                <w:rFonts w:eastAsiaTheme="minorEastAsia"/>
                <w:noProof/>
                <w:kern w:val="2"/>
                <w:lang w:eastAsia="pl-PL"/>
                <w14:ligatures w14:val="standardContextual"/>
              </w:rPr>
              <w:tab/>
            </w:r>
            <w:r w:rsidRPr="0058641E">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_Toc166445109 \h </w:instrText>
            </w:r>
            <w:r>
              <w:rPr>
                <w:noProof/>
                <w:webHidden/>
              </w:rPr>
            </w:r>
            <w:r>
              <w:rPr>
                <w:noProof/>
                <w:webHidden/>
              </w:rPr>
              <w:fldChar w:fldCharType="separate"/>
            </w:r>
            <w:r w:rsidR="00FA3414">
              <w:rPr>
                <w:noProof/>
                <w:webHidden/>
              </w:rPr>
              <w:t>32</w:t>
            </w:r>
            <w:r>
              <w:rPr>
                <w:noProof/>
                <w:webHidden/>
              </w:rPr>
              <w:fldChar w:fldCharType="end"/>
            </w:r>
          </w:hyperlink>
        </w:p>
        <w:p w14:paraId="3B6D6CDC" w14:textId="6787AD4C" w:rsidR="0017592D" w:rsidRDefault="0017592D">
          <w:pPr>
            <w:pStyle w:val="Spistreci1"/>
            <w:rPr>
              <w:rFonts w:eastAsiaTheme="minorEastAsia"/>
              <w:noProof/>
              <w:kern w:val="2"/>
              <w:lang w:eastAsia="pl-PL"/>
              <w14:ligatures w14:val="standardContextual"/>
            </w:rPr>
          </w:pPr>
          <w:hyperlink w:anchor="_Toc166445110" w:history="1">
            <w:r w:rsidRPr="0058641E">
              <w:rPr>
                <w:rStyle w:val="Hipercze"/>
                <w:rFonts w:cstheme="minorHAnsi"/>
                <w:b/>
                <w:bCs/>
                <w:iCs/>
                <w:noProof/>
              </w:rPr>
              <w:t>35.</w:t>
            </w:r>
            <w:r>
              <w:rPr>
                <w:rFonts w:eastAsiaTheme="minorEastAsia"/>
                <w:noProof/>
                <w:kern w:val="2"/>
                <w:lang w:eastAsia="pl-PL"/>
                <w14:ligatures w14:val="standardContextual"/>
              </w:rPr>
              <w:tab/>
            </w:r>
            <w:r w:rsidRPr="0058641E">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_Toc166445110 \h </w:instrText>
            </w:r>
            <w:r>
              <w:rPr>
                <w:noProof/>
                <w:webHidden/>
              </w:rPr>
            </w:r>
            <w:r>
              <w:rPr>
                <w:noProof/>
                <w:webHidden/>
              </w:rPr>
              <w:fldChar w:fldCharType="separate"/>
            </w:r>
            <w:r w:rsidR="00FA3414">
              <w:rPr>
                <w:noProof/>
                <w:webHidden/>
              </w:rPr>
              <w:t>32</w:t>
            </w:r>
            <w:r>
              <w:rPr>
                <w:noProof/>
                <w:webHidden/>
              </w:rPr>
              <w:fldChar w:fldCharType="end"/>
            </w:r>
          </w:hyperlink>
        </w:p>
        <w:p w14:paraId="6FF6012C" w14:textId="1239A2B5" w:rsidR="0017592D" w:rsidRDefault="0017592D">
          <w:pPr>
            <w:pStyle w:val="Spistreci1"/>
            <w:rPr>
              <w:rFonts w:eastAsiaTheme="minorEastAsia"/>
              <w:noProof/>
              <w:kern w:val="2"/>
              <w:lang w:eastAsia="pl-PL"/>
              <w14:ligatures w14:val="standardContextual"/>
            </w:rPr>
          </w:pPr>
          <w:hyperlink w:anchor="_Toc166445111" w:history="1">
            <w:r w:rsidRPr="0058641E">
              <w:rPr>
                <w:rStyle w:val="Hipercze"/>
                <w:rFonts w:cstheme="minorHAnsi"/>
                <w:b/>
                <w:bCs/>
                <w:iCs/>
                <w:noProof/>
              </w:rPr>
              <w:t>36.</w:t>
            </w:r>
            <w:r>
              <w:rPr>
                <w:rFonts w:eastAsiaTheme="minorEastAsia"/>
                <w:noProof/>
                <w:kern w:val="2"/>
                <w:lang w:eastAsia="pl-PL"/>
                <w14:ligatures w14:val="standardContextual"/>
              </w:rPr>
              <w:tab/>
            </w:r>
            <w:r w:rsidRPr="0058641E">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_Toc166445111 \h </w:instrText>
            </w:r>
            <w:r>
              <w:rPr>
                <w:noProof/>
                <w:webHidden/>
              </w:rPr>
            </w:r>
            <w:r>
              <w:rPr>
                <w:noProof/>
                <w:webHidden/>
              </w:rPr>
              <w:fldChar w:fldCharType="separate"/>
            </w:r>
            <w:r w:rsidR="00FA3414">
              <w:rPr>
                <w:noProof/>
                <w:webHidden/>
              </w:rPr>
              <w:t>34</w:t>
            </w:r>
            <w:r>
              <w:rPr>
                <w:noProof/>
                <w:webHidden/>
              </w:rPr>
              <w:fldChar w:fldCharType="end"/>
            </w:r>
          </w:hyperlink>
        </w:p>
        <w:p w14:paraId="4B97D93D" w14:textId="52AAE800" w:rsidR="0017592D" w:rsidRDefault="0017592D">
          <w:pPr>
            <w:pStyle w:val="Spistreci1"/>
            <w:rPr>
              <w:rFonts w:eastAsiaTheme="minorEastAsia"/>
              <w:noProof/>
              <w:kern w:val="2"/>
              <w:lang w:eastAsia="pl-PL"/>
              <w14:ligatures w14:val="standardContextual"/>
            </w:rPr>
          </w:pPr>
          <w:hyperlink w:anchor="_Toc166445112" w:history="1">
            <w:r w:rsidRPr="0058641E">
              <w:rPr>
                <w:rStyle w:val="Hipercze"/>
                <w:rFonts w:cstheme="minorHAnsi"/>
                <w:b/>
                <w:bCs/>
                <w:iCs/>
                <w:noProof/>
              </w:rPr>
              <w:t>37.</w:t>
            </w:r>
            <w:r>
              <w:rPr>
                <w:rFonts w:eastAsiaTheme="minorEastAsia"/>
                <w:noProof/>
                <w:kern w:val="2"/>
                <w:lang w:eastAsia="pl-PL"/>
                <w14:ligatures w14:val="standardContextual"/>
              </w:rPr>
              <w:tab/>
            </w:r>
            <w:r w:rsidRPr="0058641E">
              <w:rPr>
                <w:rStyle w:val="Hipercze"/>
                <w:rFonts w:cstheme="minorHAnsi"/>
                <w:b/>
                <w:noProof/>
              </w:rPr>
              <w:t>Załączniki</w:t>
            </w:r>
            <w:r>
              <w:rPr>
                <w:noProof/>
                <w:webHidden/>
              </w:rPr>
              <w:tab/>
            </w:r>
            <w:r>
              <w:rPr>
                <w:noProof/>
                <w:webHidden/>
              </w:rPr>
              <w:fldChar w:fldCharType="begin"/>
            </w:r>
            <w:r>
              <w:rPr>
                <w:noProof/>
                <w:webHidden/>
              </w:rPr>
              <w:instrText xml:space="preserve"> PAGEREF _Toc166445112 \h </w:instrText>
            </w:r>
            <w:r>
              <w:rPr>
                <w:noProof/>
                <w:webHidden/>
              </w:rPr>
            </w:r>
            <w:r>
              <w:rPr>
                <w:noProof/>
                <w:webHidden/>
              </w:rPr>
              <w:fldChar w:fldCharType="separate"/>
            </w:r>
            <w:r w:rsidR="00FA3414">
              <w:rPr>
                <w:noProof/>
                <w:webHidden/>
              </w:rPr>
              <w:t>34</w:t>
            </w:r>
            <w:r>
              <w:rPr>
                <w:noProof/>
                <w:webHidden/>
              </w:rPr>
              <w:fldChar w:fldCharType="end"/>
            </w:r>
          </w:hyperlink>
        </w:p>
        <w:p w14:paraId="1B75D480" w14:textId="41EE0F3B" w:rsidR="0017592D" w:rsidRDefault="0017592D">
          <w:pPr>
            <w:pStyle w:val="Spistreci1"/>
            <w:rPr>
              <w:rFonts w:eastAsiaTheme="minorEastAsia"/>
              <w:noProof/>
              <w:kern w:val="2"/>
              <w:lang w:eastAsia="pl-PL"/>
              <w14:ligatures w14:val="standardContextual"/>
            </w:rPr>
          </w:pPr>
          <w:hyperlink w:anchor="_Toc166445113" w:history="1">
            <w:r w:rsidRPr="0058641E">
              <w:rPr>
                <w:rStyle w:val="Hipercze"/>
                <w:rFonts w:cstheme="minorHAnsi"/>
                <w:b/>
                <w:bCs/>
                <w:iCs/>
                <w:noProof/>
              </w:rPr>
              <w:t>38.</w:t>
            </w:r>
            <w:r>
              <w:rPr>
                <w:rFonts w:eastAsiaTheme="minorEastAsia"/>
                <w:noProof/>
                <w:kern w:val="2"/>
                <w:lang w:eastAsia="pl-PL"/>
                <w14:ligatures w14:val="standardContextual"/>
              </w:rPr>
              <w:tab/>
            </w:r>
            <w:r w:rsidRPr="0058641E">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_Toc166445113 \h </w:instrText>
            </w:r>
            <w:r>
              <w:rPr>
                <w:noProof/>
                <w:webHidden/>
              </w:rPr>
            </w:r>
            <w:r>
              <w:rPr>
                <w:noProof/>
                <w:webHidden/>
              </w:rPr>
              <w:fldChar w:fldCharType="separate"/>
            </w:r>
            <w:r w:rsidR="00FA3414">
              <w:rPr>
                <w:noProof/>
                <w:webHidden/>
              </w:rPr>
              <w:t>35</w:t>
            </w:r>
            <w:r>
              <w:rPr>
                <w:noProof/>
                <w:webHidden/>
              </w:rPr>
              <w:fldChar w:fldCharType="end"/>
            </w:r>
          </w:hyperlink>
        </w:p>
        <w:p w14:paraId="1265F617" w14:textId="407FF951" w:rsidR="0017592D" w:rsidRDefault="0017592D">
          <w:pPr>
            <w:pStyle w:val="Spistreci1"/>
            <w:rPr>
              <w:rFonts w:eastAsiaTheme="minorEastAsia"/>
              <w:noProof/>
              <w:kern w:val="2"/>
              <w:lang w:eastAsia="pl-PL"/>
              <w14:ligatures w14:val="standardContextual"/>
            </w:rPr>
          </w:pPr>
          <w:hyperlink w:anchor="_Toc166445114" w:history="1">
            <w:r w:rsidRPr="0058641E">
              <w:rPr>
                <w:rStyle w:val="Hipercze"/>
                <w:rFonts w:cstheme="minorHAnsi"/>
                <w:b/>
                <w:bCs/>
                <w:iCs/>
                <w:noProof/>
              </w:rPr>
              <w:t>39.</w:t>
            </w:r>
            <w:r>
              <w:rPr>
                <w:rFonts w:eastAsiaTheme="minorEastAsia"/>
                <w:noProof/>
                <w:kern w:val="2"/>
                <w:lang w:eastAsia="pl-PL"/>
                <w14:ligatures w14:val="standardContextual"/>
              </w:rPr>
              <w:tab/>
            </w:r>
            <w:r w:rsidRPr="0058641E">
              <w:rPr>
                <w:rStyle w:val="Hipercze"/>
                <w:rFonts w:cstheme="minorHAnsi"/>
                <w:b/>
                <w:noProof/>
              </w:rPr>
              <w:t>Uwagi końcowe</w:t>
            </w:r>
            <w:r>
              <w:rPr>
                <w:noProof/>
                <w:webHidden/>
              </w:rPr>
              <w:tab/>
            </w:r>
            <w:r>
              <w:rPr>
                <w:noProof/>
                <w:webHidden/>
              </w:rPr>
              <w:fldChar w:fldCharType="begin"/>
            </w:r>
            <w:r>
              <w:rPr>
                <w:noProof/>
                <w:webHidden/>
              </w:rPr>
              <w:instrText xml:space="preserve"> PAGEREF _Toc166445114 \h </w:instrText>
            </w:r>
            <w:r>
              <w:rPr>
                <w:noProof/>
                <w:webHidden/>
              </w:rPr>
            </w:r>
            <w:r>
              <w:rPr>
                <w:noProof/>
                <w:webHidden/>
              </w:rPr>
              <w:fldChar w:fldCharType="separate"/>
            </w:r>
            <w:r w:rsidR="00FA3414">
              <w:rPr>
                <w:noProof/>
                <w:webHidden/>
              </w:rPr>
              <w:t>37</w:t>
            </w:r>
            <w:r>
              <w:rPr>
                <w:noProof/>
                <w:webHidden/>
              </w:rPr>
              <w:fldChar w:fldCharType="end"/>
            </w:r>
          </w:hyperlink>
        </w:p>
        <w:p w14:paraId="49545ABE" w14:textId="6C9E7DAF"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9A4137">
      <w:pPr>
        <w:pStyle w:val="Nagwek1"/>
        <w:numPr>
          <w:ilvl w:val="0"/>
          <w:numId w:val="1"/>
        </w:numPr>
        <w:spacing w:before="0" w:after="240"/>
        <w:ind w:left="426" w:hanging="426"/>
        <w:rPr>
          <w:rFonts w:asciiTheme="minorHAnsi" w:hAnsiTheme="minorHAnsi" w:cstheme="minorHAnsi"/>
          <w:b/>
          <w:color w:val="000000" w:themeColor="text1"/>
        </w:rPr>
      </w:pPr>
      <w:bookmarkStart w:id="4" w:name="_Toc166445076"/>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4CA67ECE"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D81388">
        <w:rPr>
          <w:rFonts w:cstheme="minorHAnsi"/>
          <w:sz w:val="24"/>
          <w:szCs w:val="24"/>
        </w:rPr>
        <w:t xml:space="preserve"> </w:t>
      </w:r>
      <w:r w:rsidR="00D81388" w:rsidRPr="00784B51">
        <w:rPr>
          <w:rFonts w:cstheme="minorHAnsi"/>
          <w:sz w:val="24"/>
          <w:szCs w:val="24"/>
        </w:rPr>
        <w:t>Urzędu Marszałkowskiego Województwa Opolskiego</w:t>
      </w:r>
    </w:p>
    <w:p w14:paraId="19DCEE9B" w14:textId="61FA7C2A" w:rsidR="00155636" w:rsidRDefault="00155636" w:rsidP="004157AE">
      <w:pPr>
        <w:spacing w:after="60" w:line="276" w:lineRule="auto"/>
        <w:rPr>
          <w:sz w:val="24"/>
          <w:szCs w:val="24"/>
        </w:rPr>
      </w:pPr>
      <w:bookmarkStart w:id="5" w:name="_Hlk163819298"/>
      <w:r w:rsidRPr="00155636">
        <w:rPr>
          <w:rFonts w:cstheme="minorHAnsi"/>
          <w:b/>
          <w:bCs/>
          <w:sz w:val="24"/>
          <w:szCs w:val="24"/>
        </w:rPr>
        <w:t>DNSH</w:t>
      </w:r>
      <w:r>
        <w:rPr>
          <w:rFonts w:cstheme="minorHAnsi"/>
          <w:b/>
          <w:bCs/>
          <w:sz w:val="24"/>
          <w:szCs w:val="24"/>
        </w:rPr>
        <w:t xml:space="preserve"> </w:t>
      </w:r>
      <w:bookmarkStart w:id="6" w:name="_Hlk163820925"/>
      <w:r w:rsidRPr="001F204D">
        <w:rPr>
          <w:rFonts w:cstheme="minorHAnsi"/>
          <w:sz w:val="28"/>
          <w:szCs w:val="28"/>
        </w:rPr>
        <w:t>–</w:t>
      </w:r>
      <w:bookmarkEnd w:id="6"/>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000E51FC">
        <w:rPr>
          <w:sz w:val="24"/>
          <w:szCs w:val="24"/>
        </w:rPr>
        <w:br/>
      </w:r>
      <w:r w:rsidRPr="001F204D">
        <w:rPr>
          <w:sz w:val="24"/>
          <w:szCs w:val="24"/>
        </w:rPr>
        <w:t xml:space="preserve">o obiegu zamkniętym, w tym zapobieganie powstawaniu odpadów i recykling, zapobieganie </w:t>
      </w:r>
      <w:r w:rsidR="000E51FC">
        <w:rPr>
          <w:sz w:val="24"/>
          <w:szCs w:val="24"/>
        </w:rPr>
        <w:br/>
      </w:r>
      <w:r w:rsidRPr="001F204D">
        <w:rPr>
          <w:sz w:val="24"/>
          <w:szCs w:val="24"/>
        </w:rPr>
        <w:t xml:space="preserve">i kontrola zanieczyszczeń powietrza, wody lub ziemi, ochrona i odbudowa bioróżnorodności </w:t>
      </w:r>
      <w:r w:rsidR="000E51FC">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5"/>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7" w:name="_Hlk163819241"/>
      <w:r w:rsidRPr="00784B51">
        <w:rPr>
          <w:rFonts w:cstheme="minorHAnsi"/>
          <w:sz w:val="24"/>
          <w:szCs w:val="24"/>
        </w:rPr>
        <w:t xml:space="preserve">– </w:t>
      </w:r>
      <w:bookmarkEnd w:id="7"/>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2122474E" w14:textId="77777777" w:rsidR="00D124E8" w:rsidRDefault="00D124E8" w:rsidP="00D124E8">
      <w:pPr>
        <w:spacing w:after="60" w:line="276" w:lineRule="auto"/>
        <w:rPr>
          <w:rFonts w:cstheme="minorHAnsi"/>
          <w:bCs/>
          <w:sz w:val="24"/>
          <w:szCs w:val="24"/>
        </w:rPr>
      </w:pPr>
      <w:r>
        <w:rPr>
          <w:rFonts w:cstheme="minorHAnsi"/>
          <w:b/>
          <w:sz w:val="24"/>
          <w:szCs w:val="24"/>
        </w:rPr>
        <w:t xml:space="preserve">GPR </w:t>
      </w:r>
      <w:r w:rsidRPr="00DB48AF">
        <w:rPr>
          <w:rFonts w:cstheme="minorHAnsi"/>
          <w:bCs/>
          <w:sz w:val="24"/>
          <w:szCs w:val="24"/>
        </w:rPr>
        <w:t>– Gminny Program Rewitalizacji</w:t>
      </w:r>
    </w:p>
    <w:p w14:paraId="29712EDF" w14:textId="75234AAF" w:rsidR="008203BE" w:rsidRPr="008203BE" w:rsidRDefault="008203BE" w:rsidP="00D124E8">
      <w:pPr>
        <w:spacing w:after="60" w:line="276" w:lineRule="auto"/>
        <w:rPr>
          <w:rFonts w:cstheme="minorHAnsi"/>
          <w:bCs/>
          <w:sz w:val="24"/>
          <w:szCs w:val="24"/>
        </w:rPr>
      </w:pPr>
      <w:r>
        <w:rPr>
          <w:rFonts w:cstheme="minorHAnsi"/>
          <w:b/>
          <w:sz w:val="24"/>
          <w:szCs w:val="24"/>
        </w:rPr>
        <w:lastRenderedPageBreak/>
        <w:t>IIT</w:t>
      </w:r>
      <w:r>
        <w:rPr>
          <w:rFonts w:cstheme="minorHAnsi"/>
          <w:bCs/>
          <w:sz w:val="24"/>
          <w:szCs w:val="24"/>
        </w:rPr>
        <w:t xml:space="preserve"> – inne inst</w:t>
      </w:r>
      <w:r w:rsidR="00D4380F">
        <w:rPr>
          <w:rFonts w:cstheme="minorHAnsi"/>
          <w:bCs/>
          <w:sz w:val="24"/>
          <w:szCs w:val="24"/>
        </w:rPr>
        <w:t>r</w:t>
      </w:r>
      <w:r>
        <w:rPr>
          <w:rFonts w:cstheme="minorHAnsi"/>
          <w:bCs/>
          <w:sz w:val="24"/>
          <w:szCs w:val="24"/>
        </w:rPr>
        <w:t>umenty terytorialne</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8" w:name="_Hlk163819416"/>
      <w:r w:rsidRPr="00784B51">
        <w:rPr>
          <w:rFonts w:cstheme="minorHAnsi"/>
          <w:sz w:val="24"/>
          <w:szCs w:val="24"/>
        </w:rPr>
        <w:t>–</w:t>
      </w:r>
      <w:bookmarkEnd w:id="8"/>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9" w:name="_Hlk163819671"/>
      <w:r w:rsidRPr="00784B51">
        <w:rPr>
          <w:rFonts w:cstheme="minorHAnsi"/>
          <w:sz w:val="24"/>
          <w:szCs w:val="24"/>
        </w:rPr>
        <w:t>–</w:t>
      </w:r>
      <w:bookmarkEnd w:id="9"/>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0BCC611E"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3F533F">
        <w:rPr>
          <w:rFonts w:cstheme="minorHAnsi"/>
          <w:sz w:val="24"/>
          <w:szCs w:val="24"/>
        </w:rPr>
        <w:t>4</w:t>
      </w:r>
      <w:r w:rsidRPr="00784B51">
        <w:rPr>
          <w:rFonts w:cstheme="minorHAnsi"/>
          <w:sz w:val="24"/>
          <w:szCs w:val="24"/>
        </w:rPr>
        <w:t xml:space="preserve"> r., poz. </w:t>
      </w:r>
      <w:r w:rsidR="003F533F">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6F628114" w14:textId="77777777" w:rsidR="00830F27"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112B332F" w14:textId="35500436"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w:t>
      </w:r>
      <w:r w:rsidR="000B62F7">
        <w:rPr>
          <w:rFonts w:cstheme="minorHAnsi"/>
          <w:sz w:val="24"/>
          <w:szCs w:val="24"/>
        </w:rPr>
        <w:t>p</w:t>
      </w:r>
      <w:r w:rsidRPr="007B3C63">
        <w:rPr>
          <w:rFonts w:cstheme="minorHAnsi"/>
          <w:sz w:val="24"/>
          <w:szCs w:val="24"/>
        </w:rPr>
        <w:t xml:space="preserve">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32452297" w14:textId="287E59B3" w:rsidR="00987FCC" w:rsidRDefault="00987FCC" w:rsidP="00503811">
      <w:pPr>
        <w:spacing w:after="60" w:line="276" w:lineRule="auto"/>
        <w:rPr>
          <w:sz w:val="24"/>
          <w:szCs w:val="24"/>
        </w:rPr>
      </w:pPr>
      <w:r w:rsidRPr="004B29C1">
        <w:rPr>
          <w:rFonts w:cstheme="minorHAnsi"/>
          <w:b/>
          <w:bCs/>
          <w:sz w:val="24"/>
          <w:szCs w:val="24"/>
        </w:rPr>
        <w:lastRenderedPageBreak/>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 </w:t>
      </w:r>
      <w:r w:rsidR="000B62F7">
        <w:rPr>
          <w:sz w:val="24"/>
          <w:szCs w:val="24"/>
        </w:rPr>
        <w:t>p</w:t>
      </w:r>
      <w:r w:rsidRPr="004B29C1">
        <w:rPr>
          <w:sz w:val="24"/>
          <w:szCs w:val="24"/>
        </w:rPr>
        <w:t xml:space="preserve">omoc zgodna z przepisami Rozporządzenia </w:t>
      </w:r>
      <w:r w:rsidR="000B62F7" w:rsidRPr="000B62F7">
        <w:rPr>
          <w:sz w:val="24"/>
          <w:szCs w:val="24"/>
        </w:rPr>
        <w:t xml:space="preserve">Komisji (UE) 2023/2831 z dnia 13 grudnia 2023 r. w sprawie stosowania art. 107 i 108 Traktatu o funkcjonowaniu Unii Europejskiej do pomocy de </w:t>
      </w:r>
      <w:proofErr w:type="spellStart"/>
      <w:r w:rsidR="000B62F7" w:rsidRPr="000B62F7">
        <w:rPr>
          <w:sz w:val="24"/>
          <w:szCs w:val="24"/>
        </w:rPr>
        <w:t>minimis</w:t>
      </w:r>
      <w:proofErr w:type="spellEnd"/>
      <w:r w:rsidR="000B62F7" w:rsidRPr="000B62F7">
        <w:rPr>
          <w:sz w:val="24"/>
          <w:szCs w:val="24"/>
        </w:rPr>
        <w:t xml:space="preserve"> (Dz. Urz. UE L z 15.12.2023)</w:t>
      </w:r>
      <w:r w:rsidR="000B62F7">
        <w:rPr>
          <w:sz w:val="24"/>
          <w:szCs w:val="24"/>
        </w:rPr>
        <w:t xml:space="preserve"> oraz </w:t>
      </w:r>
      <w:r w:rsidR="000B62F7" w:rsidRPr="000B62F7">
        <w:rPr>
          <w:sz w:val="24"/>
          <w:szCs w:val="24"/>
        </w:rPr>
        <w:t>Rozporządzeni</w:t>
      </w:r>
      <w:r w:rsidR="000B62F7">
        <w:rPr>
          <w:sz w:val="24"/>
          <w:szCs w:val="24"/>
        </w:rPr>
        <w:t>a</w:t>
      </w:r>
      <w:r w:rsidR="000B62F7" w:rsidRPr="000B62F7">
        <w:rPr>
          <w:sz w:val="24"/>
          <w:szCs w:val="24"/>
        </w:rPr>
        <w:t xml:space="preserve"> Ministra Funduszy i Polityki Regionalnej z dnia 17 kwietnia 2024 r. </w:t>
      </w:r>
      <w:r w:rsidR="000B62F7" w:rsidRPr="000B62F7">
        <w:rPr>
          <w:bCs/>
          <w:sz w:val="24"/>
          <w:szCs w:val="24"/>
        </w:rPr>
        <w:t>w sprawie udzielania pomocy </w:t>
      </w:r>
      <w:r w:rsidR="000B62F7" w:rsidRPr="000B62F7">
        <w:rPr>
          <w:sz w:val="24"/>
          <w:szCs w:val="24"/>
        </w:rPr>
        <w:t xml:space="preserve">de </w:t>
      </w:r>
      <w:proofErr w:type="spellStart"/>
      <w:r w:rsidR="000B62F7" w:rsidRPr="000B62F7">
        <w:rPr>
          <w:sz w:val="24"/>
          <w:szCs w:val="24"/>
        </w:rPr>
        <w:t>minimis</w:t>
      </w:r>
      <w:proofErr w:type="spellEnd"/>
      <w:r w:rsidR="000B62F7" w:rsidRPr="000B62F7">
        <w:rPr>
          <w:bCs/>
          <w:sz w:val="24"/>
          <w:szCs w:val="24"/>
        </w:rPr>
        <w:t> w ramach regionalnych programów na lata 2021-2027</w:t>
      </w:r>
    </w:p>
    <w:p w14:paraId="3C2DE2E8" w14:textId="51D3F7BF"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000B62F7">
        <w:rPr>
          <w:sz w:val="24"/>
          <w:szCs w:val="24"/>
        </w:rPr>
        <w:t>w</w:t>
      </w:r>
      <w:r w:rsidRPr="001F204D">
        <w:rPr>
          <w:sz w:val="24"/>
          <w:szCs w:val="24"/>
        </w:rPr>
        <w:t xml:space="preserve">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0" w:name="_Hlk163821483"/>
      <w:r>
        <w:rPr>
          <w:rFonts w:cstheme="minorHAnsi"/>
          <w:sz w:val="24"/>
          <w:szCs w:val="24"/>
        </w:rPr>
        <w:t>–</w:t>
      </w:r>
      <w:bookmarkEnd w:id="10"/>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Pr="001F204D">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lastRenderedPageBreak/>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1" w:name="_Hlk163820364"/>
      <w:r w:rsidRPr="00784B51">
        <w:rPr>
          <w:rFonts w:cstheme="minorHAnsi"/>
          <w:sz w:val="24"/>
          <w:szCs w:val="24"/>
        </w:rPr>
        <w:t xml:space="preserve">– </w:t>
      </w:r>
      <w:bookmarkEnd w:id="11"/>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2E7EF819" w14:textId="77777777" w:rsidR="008203BE" w:rsidRDefault="008203BE"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4196C15" w14:textId="77777777" w:rsidR="001F204D" w:rsidRPr="00784B51" w:rsidRDefault="001F204D" w:rsidP="004157AE">
      <w:pPr>
        <w:spacing w:after="60" w:line="276" w:lineRule="auto"/>
        <w:rPr>
          <w:rFonts w:cstheme="minorHAnsi"/>
          <w:sz w:val="24"/>
          <w:szCs w:val="24"/>
        </w:rPr>
      </w:pPr>
    </w:p>
    <w:p w14:paraId="18308C5E" w14:textId="77777777" w:rsidR="00E7098D" w:rsidRPr="008B7C53" w:rsidRDefault="00E7098D" w:rsidP="005E1DF6">
      <w:pPr>
        <w:pStyle w:val="Nagwek1"/>
        <w:numPr>
          <w:ilvl w:val="0"/>
          <w:numId w:val="1"/>
        </w:numPr>
        <w:spacing w:before="120" w:after="120"/>
        <w:ind w:left="425" w:hanging="425"/>
        <w:rPr>
          <w:rFonts w:asciiTheme="minorHAnsi" w:hAnsiTheme="minorHAnsi" w:cstheme="minorHAnsi"/>
          <w:b/>
          <w:color w:val="auto"/>
        </w:rPr>
      </w:pPr>
      <w:bookmarkStart w:id="12" w:name="_Toc166445077"/>
      <w:r w:rsidRPr="008B7C53">
        <w:rPr>
          <w:rFonts w:asciiTheme="minorHAnsi" w:hAnsiTheme="minorHAnsi" w:cstheme="minorHAnsi"/>
          <w:b/>
          <w:color w:val="auto"/>
        </w:rPr>
        <w:lastRenderedPageBreak/>
        <w:t>Wstęp</w:t>
      </w:r>
      <w:bookmarkEnd w:id="12"/>
    </w:p>
    <w:p w14:paraId="1985AC5F" w14:textId="37FBF983"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1E0D8DCD" w14:textId="77777777" w:rsidR="00C712B4" w:rsidRPr="00025ABC" w:rsidRDefault="00C712B4" w:rsidP="00C712B4">
      <w:pPr>
        <w:pStyle w:val="Akapitzlist"/>
        <w:spacing w:line="276" w:lineRule="auto"/>
        <w:ind w:left="426"/>
        <w:contextualSpacing w:val="0"/>
        <w:rPr>
          <w:rFonts w:cstheme="minorHAnsi"/>
          <w:sz w:val="24"/>
          <w:szCs w:val="24"/>
        </w:rPr>
      </w:pPr>
    </w:p>
    <w:p w14:paraId="41F6EB0B" w14:textId="710CF73C" w:rsidR="006158F7" w:rsidRPr="008B7C53" w:rsidRDefault="006158F7" w:rsidP="005E1DF6">
      <w:pPr>
        <w:pStyle w:val="Nagwek1"/>
        <w:numPr>
          <w:ilvl w:val="0"/>
          <w:numId w:val="1"/>
        </w:numPr>
        <w:spacing w:before="120" w:after="120"/>
        <w:ind w:left="425" w:hanging="425"/>
        <w:rPr>
          <w:rFonts w:asciiTheme="minorHAnsi" w:hAnsiTheme="minorHAnsi" w:cstheme="minorHAnsi"/>
          <w:b/>
          <w:i/>
        </w:rPr>
      </w:pPr>
      <w:bookmarkStart w:id="13" w:name="_Toc166445078"/>
      <w:r w:rsidRPr="008B7C53">
        <w:rPr>
          <w:rFonts w:asciiTheme="minorHAnsi" w:hAnsiTheme="minorHAnsi" w:cstheme="minorHAnsi"/>
          <w:b/>
          <w:color w:val="auto"/>
        </w:rPr>
        <w:t>Pełna nazwa i adres właściwej instytucji</w:t>
      </w:r>
      <w:bookmarkEnd w:id="13"/>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lastRenderedPageBreak/>
        <w:t>które mieszczą się w Opolu przy ulicy Krakowskiej 38,</w:t>
      </w:r>
    </w:p>
    <w:p w14:paraId="4E05A14E" w14:textId="77777777" w:rsidR="00C3491C" w:rsidRDefault="00C3491C" w:rsidP="009A4137">
      <w:pPr>
        <w:pStyle w:val="Akapitzlist"/>
        <w:numPr>
          <w:ilvl w:val="0"/>
          <w:numId w:val="2"/>
        </w:numPr>
        <w:ind w:left="426" w:hanging="426"/>
        <w:rPr>
          <w:rFonts w:cstheme="minorHAnsi"/>
          <w:sz w:val="24"/>
          <w:szCs w:val="24"/>
        </w:rPr>
      </w:pPr>
      <w:r w:rsidRPr="00C3491C">
        <w:rPr>
          <w:rFonts w:cstheme="minorHAnsi"/>
          <w:sz w:val="24"/>
          <w:szCs w:val="24"/>
        </w:rPr>
        <w:t>Departament Finansów;</w:t>
      </w:r>
      <w:bookmarkStart w:id="14" w:name="_Hlk156294877"/>
    </w:p>
    <w:p w14:paraId="1AAE84FC" w14:textId="4AA24388" w:rsidR="009B0D9F" w:rsidRDefault="009B0D9F" w:rsidP="00C3491C">
      <w:pPr>
        <w:rPr>
          <w:rFonts w:cstheme="minorHAnsi"/>
          <w:sz w:val="24"/>
          <w:szCs w:val="24"/>
        </w:rPr>
      </w:pPr>
      <w:r>
        <w:rPr>
          <w:rFonts w:cstheme="minorHAnsi"/>
          <w:sz w:val="24"/>
          <w:szCs w:val="24"/>
        </w:rPr>
        <w:t>który mieści się w Opolu przy ul. Ozimskiej 19.</w:t>
      </w:r>
    </w:p>
    <w:bookmarkEnd w:id="14"/>
    <w:p w14:paraId="2861FD15" w14:textId="77777777" w:rsidR="009B0D9F" w:rsidRPr="00C3491C" w:rsidRDefault="009B0D9F" w:rsidP="00C3491C">
      <w:pPr>
        <w:pStyle w:val="Akapitzlist"/>
        <w:ind w:left="426"/>
        <w:rPr>
          <w:rFonts w:cstheme="minorHAnsi"/>
          <w:sz w:val="24"/>
          <w:szCs w:val="24"/>
        </w:rPr>
      </w:pPr>
    </w:p>
    <w:p w14:paraId="7F49687F" w14:textId="2F2172DC" w:rsidR="00634629" w:rsidRPr="008B7C53"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15" w:name="_Toc166445079"/>
      <w:r w:rsidRPr="008B7C53">
        <w:rPr>
          <w:rFonts w:asciiTheme="minorHAnsi" w:hAnsiTheme="minorHAnsi" w:cstheme="minorHAnsi"/>
          <w:b/>
          <w:color w:val="auto"/>
        </w:rPr>
        <w:t>Projekty podlegające dofinansowaniu</w:t>
      </w:r>
      <w:bookmarkEnd w:id="15"/>
    </w:p>
    <w:p w14:paraId="6EC808D6" w14:textId="69F14E34" w:rsidR="00634629" w:rsidRDefault="00634629" w:rsidP="004157AE">
      <w:pPr>
        <w:rPr>
          <w:rFonts w:eastAsia="MS UI Gothic"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6B67BB">
        <w:rPr>
          <w:rFonts w:cstheme="minorHAnsi"/>
          <w:sz w:val="24"/>
          <w:szCs w:val="24"/>
        </w:rPr>
        <w:t xml:space="preserve">Rewitalizacji na obszarach </w:t>
      </w:r>
      <w:r w:rsidR="00BB2028">
        <w:rPr>
          <w:rFonts w:cstheme="minorHAnsi"/>
          <w:sz w:val="24"/>
          <w:szCs w:val="24"/>
        </w:rPr>
        <w:t>innych niż miejskie</w:t>
      </w:r>
      <w:r w:rsidR="001472BF" w:rsidRPr="001472BF">
        <w:rPr>
          <w:rFonts w:eastAsia="MS UI Gothic" w:cstheme="minorHAnsi"/>
          <w:sz w:val="24"/>
          <w:szCs w:val="24"/>
        </w:rPr>
        <w:t>.</w:t>
      </w:r>
    </w:p>
    <w:p w14:paraId="3D38D19A" w14:textId="77777777" w:rsidR="006B67BB" w:rsidRPr="00BF1A41" w:rsidRDefault="006B67BB" w:rsidP="004157AE">
      <w:pPr>
        <w:rPr>
          <w:rFonts w:cstheme="minorHAnsi"/>
          <w:sz w:val="24"/>
          <w:szCs w:val="24"/>
        </w:rPr>
      </w:pPr>
    </w:p>
    <w:p w14:paraId="6B6D3470" w14:textId="702797BA" w:rsidR="00634629" w:rsidRPr="00571001" w:rsidRDefault="00634629" w:rsidP="005D6447">
      <w:pPr>
        <w:pStyle w:val="Nagwek1"/>
        <w:numPr>
          <w:ilvl w:val="0"/>
          <w:numId w:val="1"/>
        </w:numPr>
        <w:spacing w:before="120" w:after="120" w:line="240" w:lineRule="auto"/>
        <w:ind w:left="425" w:hanging="425"/>
        <w:rPr>
          <w:rFonts w:asciiTheme="minorHAnsi" w:hAnsiTheme="minorHAnsi" w:cstheme="minorHAnsi"/>
          <w:b/>
          <w:color w:val="auto"/>
        </w:rPr>
      </w:pPr>
      <w:bookmarkStart w:id="16" w:name="_Toc146018525"/>
      <w:bookmarkStart w:id="17" w:name="_Toc139632808"/>
      <w:bookmarkStart w:id="18" w:name="_Toc139635191"/>
      <w:bookmarkStart w:id="19" w:name="_Toc139872300"/>
      <w:bookmarkStart w:id="20" w:name="_Toc139872349"/>
      <w:bookmarkStart w:id="21" w:name="_Toc139632809"/>
      <w:bookmarkStart w:id="22" w:name="_Toc139635192"/>
      <w:bookmarkStart w:id="23" w:name="_Toc139872301"/>
      <w:bookmarkStart w:id="24" w:name="_Toc139872350"/>
      <w:bookmarkStart w:id="25" w:name="_Toc139632810"/>
      <w:bookmarkStart w:id="26" w:name="_Toc139635193"/>
      <w:bookmarkStart w:id="27" w:name="_Toc139872302"/>
      <w:bookmarkStart w:id="28" w:name="_Toc139872351"/>
      <w:bookmarkStart w:id="29" w:name="_Toc139632811"/>
      <w:bookmarkStart w:id="30" w:name="_Toc139635194"/>
      <w:bookmarkStart w:id="31" w:name="_Toc139872303"/>
      <w:bookmarkStart w:id="32" w:name="_Toc139872352"/>
      <w:bookmarkStart w:id="33" w:name="_Toc139632812"/>
      <w:bookmarkStart w:id="34" w:name="_Toc139635195"/>
      <w:bookmarkStart w:id="35" w:name="_Toc139872304"/>
      <w:bookmarkStart w:id="36" w:name="_Toc139872353"/>
      <w:bookmarkStart w:id="37" w:name="_Toc139632813"/>
      <w:bookmarkStart w:id="38" w:name="_Toc139635196"/>
      <w:bookmarkStart w:id="39" w:name="_Toc139872305"/>
      <w:bookmarkStart w:id="40" w:name="_Toc139872354"/>
      <w:bookmarkStart w:id="41" w:name="_Toc16644508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71001">
        <w:rPr>
          <w:rFonts w:asciiTheme="minorHAnsi" w:hAnsiTheme="minorHAnsi" w:cstheme="minorHAnsi"/>
          <w:b/>
          <w:color w:val="auto"/>
        </w:rPr>
        <w:t>Typ beneficjenta ogólny</w:t>
      </w:r>
      <w:bookmarkEnd w:id="41"/>
    </w:p>
    <w:p w14:paraId="5781AD30" w14:textId="6051EDF3" w:rsidR="00634629" w:rsidRDefault="00634629" w:rsidP="009A4137">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53AF0F57" w14:textId="17574A4E"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nauki i edukacji</w:t>
      </w:r>
    </w:p>
    <w:p w14:paraId="0DA88572" w14:textId="10B6C70F"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ochrony zdrowia</w:t>
      </w:r>
    </w:p>
    <w:p w14:paraId="30F77EC5" w14:textId="2AE71889"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Organizacje społeczne i związki wyznaniowe</w:t>
      </w:r>
    </w:p>
    <w:p w14:paraId="41E0C784" w14:textId="2D9364FF" w:rsidR="00F1519D" w:rsidRDefault="00F1519D"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1A003EF5" w14:textId="2F9F3511" w:rsidR="00401F80" w:rsidRPr="00571001"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Partnerzy społeczni</w:t>
      </w:r>
    </w:p>
    <w:p w14:paraId="24DDF80F" w14:textId="30F53F18" w:rsidR="00634629" w:rsidRDefault="00D91227" w:rsidP="009A413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57572D" w:rsidRDefault="00D91227" w:rsidP="009A413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5A0A1925" w14:textId="77777777" w:rsidR="0057572D" w:rsidRPr="00D91227" w:rsidRDefault="0057572D" w:rsidP="0057572D">
      <w:pPr>
        <w:pStyle w:val="Akapitzlist"/>
        <w:spacing w:line="276" w:lineRule="auto"/>
        <w:ind w:left="426"/>
        <w:jc w:val="both"/>
        <w:rPr>
          <w:rFonts w:cstheme="minorHAnsi"/>
          <w:sz w:val="28"/>
          <w:szCs w:val="28"/>
        </w:rPr>
      </w:pPr>
    </w:p>
    <w:p w14:paraId="062B66C2" w14:textId="2799A4EE" w:rsidR="00634629" w:rsidRPr="00571001"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42" w:name="_Toc166445081"/>
      <w:r w:rsidRPr="00571001">
        <w:rPr>
          <w:rFonts w:asciiTheme="minorHAnsi" w:hAnsiTheme="minorHAnsi" w:cstheme="minorHAnsi"/>
          <w:b/>
          <w:color w:val="auto"/>
        </w:rPr>
        <w:t>Typ beneficjenta szczegółowy</w:t>
      </w:r>
      <w:bookmarkEnd w:id="42"/>
    </w:p>
    <w:p w14:paraId="5BE14ED0" w14:textId="7777777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aktywności lokalnej</w:t>
      </w:r>
    </w:p>
    <w:p w14:paraId="2FBEAB4E" w14:textId="7177A31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integracji i pomocy społecznej</w:t>
      </w:r>
    </w:p>
    <w:p w14:paraId="7E7AC559" w14:textId="4522375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kultury</w:t>
      </w:r>
    </w:p>
    <w:p w14:paraId="55AB54EF" w14:textId="06110A9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sportu</w:t>
      </w:r>
    </w:p>
    <w:p w14:paraId="78B2E514" w14:textId="00964046"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Jednostki organizacyjne działające w imieniu jednostek samorządu terytorialnego</w:t>
      </w:r>
    </w:p>
    <w:p w14:paraId="4A11DE98" w14:textId="6D995E2C" w:rsidR="00634629" w:rsidRDefault="00EF7953" w:rsidP="009A4137">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072AE380" w14:textId="2B1D494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Kluby sportowe</w:t>
      </w:r>
    </w:p>
    <w:p w14:paraId="7742FC78" w14:textId="1FEC38BD"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sportu</w:t>
      </w:r>
    </w:p>
    <w:p w14:paraId="4F25C572" w14:textId="031D30A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Kościoły i związki wyznaniowe</w:t>
      </w:r>
    </w:p>
    <w:p w14:paraId="7D93277E" w14:textId="6B2FF582"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Lasy Państwowe</w:t>
      </w:r>
    </w:p>
    <w:p w14:paraId="2363DD55" w14:textId="0652B63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Parki narodowe i krajobrazowe</w:t>
      </w:r>
    </w:p>
    <w:p w14:paraId="0E64E919" w14:textId="2E8E3790"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kultury</w:t>
      </w:r>
    </w:p>
    <w:p w14:paraId="244D1B76" w14:textId="5AA51FEA"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sportu</w:t>
      </w:r>
    </w:p>
    <w:p w14:paraId="502C8939" w14:textId="271B758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zakłady opieki zdrowotnej</w:t>
      </w:r>
    </w:p>
    <w:p w14:paraId="0F99FCED" w14:textId="0D8B67C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Organizacje pozarządowe</w:t>
      </w:r>
    </w:p>
    <w:p w14:paraId="266AF3E0" w14:textId="183323D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Ośrodki kształcenia dorosłych</w:t>
      </w:r>
    </w:p>
    <w:p w14:paraId="35B2FBA5" w14:textId="0ED8EB6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lastRenderedPageBreak/>
        <w:t>Podmioty świadczące usługi publiczne w ramach realizacji obowiązków własnych jednostek samorządy terytorialnego</w:t>
      </w:r>
    </w:p>
    <w:p w14:paraId="42B651B6" w14:textId="143B7ED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Policja, straż pożarna i służby ratownicze</w:t>
      </w:r>
    </w:p>
    <w:p w14:paraId="648E3C8C" w14:textId="6CF5E00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Pozarządowe organizacje turystyczne</w:t>
      </w:r>
    </w:p>
    <w:p w14:paraId="387E6CE0" w14:textId="61E8FCEE"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Przedszkola i inne formy wychowania przedszkolnego</w:t>
      </w:r>
    </w:p>
    <w:p w14:paraId="19213F6B" w14:textId="5310222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Publiczne zakłady opieki zdrowotnej</w:t>
      </w:r>
    </w:p>
    <w:p w14:paraId="55033596" w14:textId="0EC5629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Szkoły i inne placówki systemu oświaty</w:t>
      </w:r>
    </w:p>
    <w:p w14:paraId="53ECB081" w14:textId="120F2819"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Uczelnie</w:t>
      </w:r>
    </w:p>
    <w:p w14:paraId="16C0F9C5" w14:textId="2A39AF4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dworcowej</w:t>
      </w:r>
    </w:p>
    <w:p w14:paraId="54676349" w14:textId="61E0810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kolejowej</w:t>
      </w:r>
    </w:p>
    <w:p w14:paraId="06923865" w14:textId="77777777" w:rsidR="0057572D" w:rsidRDefault="0057572D" w:rsidP="0057572D">
      <w:pPr>
        <w:pStyle w:val="Akapitzlist"/>
        <w:spacing w:line="276" w:lineRule="auto"/>
        <w:ind w:left="426"/>
        <w:rPr>
          <w:rFonts w:cstheme="minorHAnsi"/>
          <w:sz w:val="24"/>
          <w:szCs w:val="24"/>
        </w:rPr>
      </w:pPr>
    </w:p>
    <w:p w14:paraId="4AE0FB4C" w14:textId="142F5789" w:rsidR="00634629"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43" w:name="_Toc166445082"/>
      <w:r w:rsidRPr="00571001">
        <w:rPr>
          <w:rFonts w:asciiTheme="minorHAnsi" w:hAnsiTheme="minorHAnsi" w:cstheme="minorHAnsi"/>
          <w:b/>
          <w:color w:val="auto"/>
        </w:rPr>
        <w:t>Typy przedsięwzięć</w:t>
      </w:r>
      <w:bookmarkEnd w:id="43"/>
    </w:p>
    <w:p w14:paraId="4D66667E" w14:textId="77777777" w:rsidR="00814BD6" w:rsidRDefault="00814BD6" w:rsidP="009A4137">
      <w:pPr>
        <w:pStyle w:val="Akapitzlist"/>
        <w:numPr>
          <w:ilvl w:val="0"/>
          <w:numId w:val="3"/>
        </w:numPr>
        <w:rPr>
          <w:sz w:val="24"/>
          <w:szCs w:val="24"/>
        </w:rPr>
      </w:pPr>
      <w:r>
        <w:rPr>
          <w:sz w:val="24"/>
          <w:szCs w:val="24"/>
        </w:rPr>
        <w:t>Fizyczna regeneracja i bezpieczeństwo 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06C48F26" w14:textId="77777777" w:rsidR="001F0CF6" w:rsidRDefault="001F0CF6" w:rsidP="00BA2233">
      <w:pPr>
        <w:pStyle w:val="Akapitzlist"/>
        <w:spacing w:line="276" w:lineRule="auto"/>
        <w:ind w:left="360"/>
        <w:rPr>
          <w:sz w:val="24"/>
          <w:szCs w:val="24"/>
        </w:rPr>
      </w:pPr>
      <w:bookmarkStart w:id="44" w:name="_Hlk150506851"/>
    </w:p>
    <w:p w14:paraId="5380ADB1" w14:textId="41A5A302" w:rsidR="00126CAB" w:rsidRDefault="00126CAB" w:rsidP="005D6447">
      <w:pPr>
        <w:pStyle w:val="Nagwek1"/>
        <w:numPr>
          <w:ilvl w:val="0"/>
          <w:numId w:val="1"/>
        </w:numPr>
        <w:spacing w:before="120" w:after="120"/>
        <w:ind w:left="425" w:hanging="425"/>
        <w:rPr>
          <w:rFonts w:asciiTheme="minorHAnsi" w:hAnsiTheme="minorHAnsi" w:cstheme="minorHAnsi"/>
          <w:b/>
          <w:color w:val="auto"/>
        </w:rPr>
      </w:pPr>
      <w:bookmarkStart w:id="45" w:name="_Toc166445083"/>
      <w:bookmarkEnd w:id="44"/>
      <w:r w:rsidRPr="00571001">
        <w:rPr>
          <w:rFonts w:asciiTheme="minorHAnsi" w:hAnsiTheme="minorHAnsi" w:cstheme="minorHAnsi"/>
          <w:b/>
          <w:color w:val="auto"/>
        </w:rPr>
        <w:t>Szczegółowe warunki realizacji projektów</w:t>
      </w:r>
      <w:bookmarkEnd w:id="45"/>
    </w:p>
    <w:p w14:paraId="53B9E7C8" w14:textId="729380AC" w:rsidR="00D91227" w:rsidRPr="001C45AE" w:rsidRDefault="008105BA" w:rsidP="00291EB3">
      <w:pPr>
        <w:pStyle w:val="Akapitzlist"/>
        <w:numPr>
          <w:ilvl w:val="0"/>
          <w:numId w:val="17"/>
        </w:numPr>
        <w:rPr>
          <w:sz w:val="24"/>
          <w:szCs w:val="24"/>
        </w:rPr>
      </w:pPr>
      <w:r w:rsidRPr="00DE2C1E">
        <w:rPr>
          <w:sz w:val="24"/>
          <w:szCs w:val="24"/>
        </w:rPr>
        <w:t xml:space="preserve">W ramach niniejszego postępowania </w:t>
      </w:r>
      <w:r w:rsidR="004C013B" w:rsidRPr="00DE2C1E">
        <w:rPr>
          <w:sz w:val="24"/>
          <w:szCs w:val="24"/>
        </w:rPr>
        <w:t>przeprowadzon</w:t>
      </w:r>
      <w:r w:rsidR="00814BD6">
        <w:rPr>
          <w:sz w:val="24"/>
          <w:szCs w:val="24"/>
        </w:rPr>
        <w:t>y</w:t>
      </w:r>
      <w:r w:rsidR="004C013B" w:rsidRPr="00DE2C1E">
        <w:rPr>
          <w:sz w:val="24"/>
          <w:szCs w:val="24"/>
        </w:rPr>
        <w:t xml:space="preserve"> </w:t>
      </w:r>
      <w:r w:rsidR="00814BD6">
        <w:rPr>
          <w:sz w:val="24"/>
          <w:szCs w:val="24"/>
        </w:rPr>
        <w:t xml:space="preserve">zostanie </w:t>
      </w:r>
      <w:r w:rsidR="004C013B" w:rsidRPr="00DE2C1E">
        <w:rPr>
          <w:sz w:val="24"/>
          <w:szCs w:val="24"/>
        </w:rPr>
        <w:t>nab</w:t>
      </w:r>
      <w:r w:rsidR="00291EB3">
        <w:rPr>
          <w:sz w:val="24"/>
          <w:szCs w:val="24"/>
        </w:rPr>
        <w:t>ó</w:t>
      </w:r>
      <w:r w:rsidR="004C013B" w:rsidRPr="00DE2C1E">
        <w:rPr>
          <w:sz w:val="24"/>
          <w:szCs w:val="24"/>
        </w:rPr>
        <w:t>r</w:t>
      </w:r>
      <w:r w:rsidR="00291EB3">
        <w:rPr>
          <w:sz w:val="24"/>
          <w:szCs w:val="24"/>
        </w:rPr>
        <w:t xml:space="preserve"> nr </w:t>
      </w:r>
      <w:r w:rsidR="00814BD6" w:rsidRPr="00291EB3">
        <w:rPr>
          <w:b/>
          <w:sz w:val="24"/>
          <w:szCs w:val="24"/>
        </w:rPr>
        <w:t>FEOP.10.0</w:t>
      </w:r>
      <w:r w:rsidR="00291EB3">
        <w:rPr>
          <w:b/>
          <w:sz w:val="24"/>
          <w:szCs w:val="24"/>
        </w:rPr>
        <w:t>5</w:t>
      </w:r>
      <w:r w:rsidR="00814BD6" w:rsidRPr="00291EB3">
        <w:rPr>
          <w:b/>
          <w:sz w:val="24"/>
          <w:szCs w:val="24"/>
        </w:rPr>
        <w:t>-IZ.00-001/24</w:t>
      </w:r>
      <w:r w:rsidR="00291EB3">
        <w:rPr>
          <w:b/>
          <w:sz w:val="24"/>
          <w:szCs w:val="24"/>
        </w:rPr>
        <w:t xml:space="preserve"> </w:t>
      </w:r>
      <w:r w:rsidR="00291EB3" w:rsidRPr="00291EB3">
        <w:rPr>
          <w:bCs/>
          <w:sz w:val="24"/>
          <w:szCs w:val="24"/>
        </w:rPr>
        <w:t xml:space="preserve">dla gmin </w:t>
      </w:r>
      <w:r w:rsidR="00291EB3">
        <w:rPr>
          <w:bCs/>
          <w:sz w:val="24"/>
          <w:szCs w:val="24"/>
        </w:rPr>
        <w:t>innych niż miejskie</w:t>
      </w:r>
      <w:r w:rsidR="00C9162B">
        <w:rPr>
          <w:bCs/>
          <w:sz w:val="24"/>
          <w:szCs w:val="24"/>
        </w:rPr>
        <w:t xml:space="preserve">, tj. Bierawa, Branice, </w:t>
      </w:r>
      <w:r w:rsidR="001C45AE">
        <w:rPr>
          <w:bCs/>
          <w:sz w:val="24"/>
          <w:szCs w:val="24"/>
        </w:rPr>
        <w:t xml:space="preserve">Chrząstowice, </w:t>
      </w:r>
      <w:r w:rsidR="0041459A">
        <w:rPr>
          <w:bCs/>
          <w:sz w:val="24"/>
          <w:szCs w:val="24"/>
        </w:rPr>
        <w:t xml:space="preserve">Cisek, </w:t>
      </w:r>
      <w:r w:rsidR="001C45AE">
        <w:rPr>
          <w:bCs/>
          <w:sz w:val="24"/>
          <w:szCs w:val="24"/>
        </w:rPr>
        <w:t xml:space="preserve">Dąbrowa, Dobrzeń Wielki, </w:t>
      </w:r>
      <w:r w:rsidR="00C9162B">
        <w:rPr>
          <w:bCs/>
          <w:sz w:val="24"/>
          <w:szCs w:val="24"/>
        </w:rPr>
        <w:t xml:space="preserve">Domaszowice, </w:t>
      </w:r>
      <w:r w:rsidR="001C45AE">
        <w:rPr>
          <w:bCs/>
          <w:sz w:val="24"/>
          <w:szCs w:val="24"/>
        </w:rPr>
        <w:t xml:space="preserve">Izbicko, Jemielnica, </w:t>
      </w:r>
      <w:r w:rsidR="000563B4">
        <w:rPr>
          <w:bCs/>
          <w:sz w:val="24"/>
          <w:szCs w:val="24"/>
        </w:rPr>
        <w:t xml:space="preserve">Kamiennik, </w:t>
      </w:r>
      <w:r w:rsidR="001C45AE">
        <w:rPr>
          <w:bCs/>
          <w:sz w:val="24"/>
          <w:szCs w:val="24"/>
        </w:rPr>
        <w:t xml:space="preserve">Komprachcice, </w:t>
      </w:r>
      <w:r w:rsidR="00C9162B">
        <w:rPr>
          <w:bCs/>
          <w:sz w:val="24"/>
          <w:szCs w:val="24"/>
        </w:rPr>
        <w:t xml:space="preserve">Lasowice Wielskie, </w:t>
      </w:r>
      <w:r w:rsidR="0041459A">
        <w:rPr>
          <w:bCs/>
          <w:sz w:val="24"/>
          <w:szCs w:val="24"/>
        </w:rPr>
        <w:t xml:space="preserve">Lubrza, </w:t>
      </w:r>
      <w:r w:rsidR="00C9162B">
        <w:rPr>
          <w:bCs/>
          <w:sz w:val="24"/>
          <w:szCs w:val="24"/>
        </w:rPr>
        <w:t xml:space="preserve">Lubsza, </w:t>
      </w:r>
      <w:r w:rsidR="000563B4">
        <w:rPr>
          <w:bCs/>
          <w:sz w:val="24"/>
          <w:szCs w:val="24"/>
        </w:rPr>
        <w:t xml:space="preserve">Łambinowice, </w:t>
      </w:r>
      <w:r w:rsidR="001C45AE">
        <w:rPr>
          <w:bCs/>
          <w:sz w:val="24"/>
          <w:szCs w:val="24"/>
        </w:rPr>
        <w:t xml:space="preserve">Łubniany, Murów, </w:t>
      </w:r>
      <w:r w:rsidR="00C9162B">
        <w:rPr>
          <w:bCs/>
          <w:sz w:val="24"/>
          <w:szCs w:val="24"/>
        </w:rPr>
        <w:t xml:space="preserve">Olszanka, </w:t>
      </w:r>
      <w:r w:rsidR="000563B4">
        <w:rPr>
          <w:bCs/>
          <w:sz w:val="24"/>
          <w:szCs w:val="24"/>
        </w:rPr>
        <w:t xml:space="preserve">Pakosławice, </w:t>
      </w:r>
      <w:r w:rsidR="00C9162B">
        <w:rPr>
          <w:bCs/>
          <w:sz w:val="24"/>
          <w:szCs w:val="24"/>
        </w:rPr>
        <w:t xml:space="preserve">Pawłowiczki, Pokój, Polska Cerekiew, </w:t>
      </w:r>
      <w:r w:rsidR="001C45AE">
        <w:rPr>
          <w:bCs/>
          <w:sz w:val="24"/>
          <w:szCs w:val="24"/>
        </w:rPr>
        <w:t xml:space="preserve">Popielów, </w:t>
      </w:r>
      <w:r w:rsidR="000563B4">
        <w:rPr>
          <w:bCs/>
          <w:sz w:val="24"/>
          <w:szCs w:val="24"/>
        </w:rPr>
        <w:t xml:space="preserve">Radłów, </w:t>
      </w:r>
      <w:r w:rsidR="00C9162B">
        <w:rPr>
          <w:bCs/>
          <w:sz w:val="24"/>
          <w:szCs w:val="24"/>
        </w:rPr>
        <w:t xml:space="preserve">Reńska Wieś, </w:t>
      </w:r>
      <w:r w:rsidR="001C45AE">
        <w:rPr>
          <w:bCs/>
          <w:sz w:val="24"/>
          <w:szCs w:val="24"/>
        </w:rPr>
        <w:t xml:space="preserve">Rudniki, </w:t>
      </w:r>
      <w:r w:rsidR="00C9162B">
        <w:rPr>
          <w:bCs/>
          <w:sz w:val="24"/>
          <w:szCs w:val="24"/>
        </w:rPr>
        <w:t xml:space="preserve">Skarbimierz, </w:t>
      </w:r>
      <w:r w:rsidR="000563B4">
        <w:rPr>
          <w:bCs/>
          <w:sz w:val="24"/>
          <w:szCs w:val="24"/>
        </w:rPr>
        <w:t xml:space="preserve">Skoroszyce, </w:t>
      </w:r>
      <w:r w:rsidR="00C9162B">
        <w:rPr>
          <w:bCs/>
          <w:sz w:val="24"/>
          <w:szCs w:val="24"/>
        </w:rPr>
        <w:t>Świerczów,</w:t>
      </w:r>
      <w:r w:rsidR="001C45AE">
        <w:rPr>
          <w:bCs/>
          <w:sz w:val="24"/>
          <w:szCs w:val="24"/>
        </w:rPr>
        <w:t xml:space="preserve"> Tarnów Opolski, Turawa, </w:t>
      </w:r>
      <w:r w:rsidR="00C9162B">
        <w:rPr>
          <w:bCs/>
          <w:sz w:val="24"/>
          <w:szCs w:val="24"/>
        </w:rPr>
        <w:t>Walce, Wilków</w:t>
      </w:r>
      <w:r w:rsidR="001C45AE">
        <w:rPr>
          <w:bCs/>
          <w:sz w:val="24"/>
          <w:szCs w:val="24"/>
        </w:rPr>
        <w:t>, Zębowice</w:t>
      </w:r>
      <w:r w:rsidR="00291EB3" w:rsidRPr="00291EB3">
        <w:rPr>
          <w:bCs/>
          <w:sz w:val="24"/>
          <w:szCs w:val="24"/>
        </w:rPr>
        <w:t>.</w:t>
      </w:r>
    </w:p>
    <w:p w14:paraId="77085157" w14:textId="77777777" w:rsidR="001C45AE" w:rsidRDefault="001C45AE" w:rsidP="006A748F">
      <w:pPr>
        <w:pStyle w:val="Akapitzlist"/>
        <w:spacing w:line="276" w:lineRule="auto"/>
        <w:ind w:left="426"/>
        <w:rPr>
          <w:sz w:val="24"/>
          <w:szCs w:val="24"/>
        </w:rPr>
      </w:pPr>
    </w:p>
    <w:p w14:paraId="3DA294D3" w14:textId="58555F75" w:rsidR="006A748F" w:rsidRDefault="00291EB3" w:rsidP="006A748F">
      <w:pPr>
        <w:pStyle w:val="Akapitzlist"/>
        <w:spacing w:line="276" w:lineRule="auto"/>
        <w:ind w:left="426"/>
        <w:rPr>
          <w:rFonts w:cstheme="minorHAnsi"/>
          <w:b/>
          <w:bCs/>
          <w:sz w:val="24"/>
          <w:szCs w:val="24"/>
        </w:rPr>
      </w:pPr>
      <w:r w:rsidRPr="00291EB3">
        <w:rPr>
          <w:sz w:val="24"/>
          <w:szCs w:val="24"/>
        </w:rPr>
        <w:t>O</w:t>
      </w:r>
      <w:r w:rsidR="006A748F" w:rsidRPr="00291EB3">
        <w:rPr>
          <w:sz w:val="24"/>
          <w:szCs w:val="24"/>
        </w:rPr>
        <w:t>znacza</w:t>
      </w:r>
      <w:r w:rsidRPr="00291EB3">
        <w:rPr>
          <w:sz w:val="24"/>
          <w:szCs w:val="24"/>
        </w:rPr>
        <w:t xml:space="preserve"> to</w:t>
      </w:r>
      <w:r w:rsidR="006A748F" w:rsidRPr="00291EB3">
        <w:rPr>
          <w:sz w:val="24"/>
          <w:szCs w:val="24"/>
        </w:rPr>
        <w:t xml:space="preserve">, </w:t>
      </w:r>
      <w:r w:rsidR="006A748F" w:rsidRPr="00291EB3">
        <w:rPr>
          <w:rFonts w:cstheme="minorHAnsi"/>
          <w:sz w:val="24"/>
          <w:szCs w:val="24"/>
        </w:rPr>
        <w:t>że</w:t>
      </w:r>
      <w:r w:rsidR="006A748F" w:rsidRPr="00291EB3">
        <w:rPr>
          <w:rFonts w:cstheme="minorHAnsi"/>
          <w:b/>
          <w:bCs/>
          <w:sz w:val="24"/>
          <w:szCs w:val="24"/>
        </w:rPr>
        <w:t xml:space="preserve"> wniosek o dofinansowanie projektu złożony </w:t>
      </w:r>
      <w:r w:rsidR="006A748F" w:rsidRPr="00291EB3">
        <w:rPr>
          <w:rFonts w:cstheme="minorHAnsi"/>
          <w:sz w:val="24"/>
          <w:szCs w:val="24"/>
        </w:rPr>
        <w:t xml:space="preserve">w ramach </w:t>
      </w:r>
      <w:r w:rsidRPr="00291EB3">
        <w:rPr>
          <w:rFonts w:cstheme="minorHAnsi"/>
          <w:sz w:val="24"/>
          <w:szCs w:val="24"/>
        </w:rPr>
        <w:t xml:space="preserve">przedmiotowego </w:t>
      </w:r>
      <w:r w:rsidR="006A748F" w:rsidRPr="00291EB3">
        <w:rPr>
          <w:rFonts w:cstheme="minorHAnsi"/>
          <w:sz w:val="24"/>
          <w:szCs w:val="24"/>
        </w:rPr>
        <w:t>naboru</w:t>
      </w:r>
      <w:r w:rsidR="006A748F" w:rsidRPr="00291EB3">
        <w:rPr>
          <w:rFonts w:cstheme="minorHAnsi"/>
          <w:b/>
          <w:bCs/>
          <w:sz w:val="24"/>
          <w:szCs w:val="24"/>
        </w:rPr>
        <w:t xml:space="preserve"> </w:t>
      </w:r>
      <w:r>
        <w:rPr>
          <w:rFonts w:cstheme="minorHAnsi"/>
          <w:b/>
          <w:bCs/>
          <w:sz w:val="24"/>
          <w:szCs w:val="24"/>
        </w:rPr>
        <w:t xml:space="preserve">może być </w:t>
      </w:r>
      <w:r w:rsidR="005703E8">
        <w:rPr>
          <w:rFonts w:cstheme="minorHAnsi"/>
          <w:b/>
          <w:bCs/>
          <w:sz w:val="24"/>
          <w:szCs w:val="24"/>
        </w:rPr>
        <w:t xml:space="preserve">realizowany wyłącznie na obszarze ww. gminy wiejskiej. </w:t>
      </w:r>
      <w:r w:rsidR="006A748F" w:rsidRPr="00291EB3">
        <w:rPr>
          <w:rFonts w:cstheme="minorHAnsi"/>
          <w:b/>
          <w:bCs/>
          <w:sz w:val="24"/>
          <w:szCs w:val="24"/>
        </w:rPr>
        <w:t xml:space="preserve"> </w:t>
      </w:r>
    </w:p>
    <w:p w14:paraId="023C5202" w14:textId="7BBFCFE6" w:rsidR="00A636B5" w:rsidRPr="00A636B5" w:rsidRDefault="00A636B5" w:rsidP="00A636B5">
      <w:pPr>
        <w:pStyle w:val="Akapitzlist"/>
        <w:numPr>
          <w:ilvl w:val="0"/>
          <w:numId w:val="17"/>
        </w:numPr>
        <w:ind w:left="426"/>
        <w:rPr>
          <w:sz w:val="24"/>
          <w:szCs w:val="24"/>
        </w:rPr>
      </w:pPr>
      <w:r w:rsidRPr="0013583B">
        <w:rPr>
          <w:sz w:val="24"/>
          <w:szCs w:val="24"/>
        </w:rPr>
        <w:t xml:space="preserve">Wnioskodawca może złożyć w ramach </w:t>
      </w:r>
      <w:r>
        <w:rPr>
          <w:sz w:val="24"/>
          <w:szCs w:val="24"/>
        </w:rPr>
        <w:t xml:space="preserve">naboru </w:t>
      </w:r>
      <w:r w:rsidRPr="000D0DD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p>
    <w:p w14:paraId="4C669D4E" w14:textId="68CBB34D" w:rsidR="00EC5A5B" w:rsidRPr="00EC5A5B" w:rsidRDefault="00EC5A5B" w:rsidP="00CF303C">
      <w:pPr>
        <w:pStyle w:val="Akapitzlist"/>
        <w:numPr>
          <w:ilvl w:val="0"/>
          <w:numId w:val="17"/>
        </w:numPr>
        <w:spacing w:line="276" w:lineRule="auto"/>
        <w:rPr>
          <w:rFonts w:cstheme="minorHAnsi"/>
          <w:sz w:val="24"/>
          <w:szCs w:val="24"/>
        </w:rPr>
      </w:pPr>
      <w:r w:rsidRPr="000D0DDE">
        <w:rPr>
          <w:rFonts w:cstheme="minorHAnsi"/>
          <w:sz w:val="24"/>
          <w:szCs w:val="24"/>
          <w:u w:val="single"/>
        </w:rPr>
        <w:t>Maksymalna kwota dofinansowania</w:t>
      </w:r>
      <w:r>
        <w:rPr>
          <w:rFonts w:cstheme="minorHAnsi"/>
          <w:sz w:val="24"/>
          <w:szCs w:val="24"/>
        </w:rPr>
        <w:t xml:space="preserve"> jaką wnioskodawca może otrzymać na jeden projekt to </w:t>
      </w:r>
      <w:r w:rsidRPr="000D0DDE">
        <w:rPr>
          <w:rFonts w:cstheme="minorHAnsi"/>
          <w:sz w:val="24"/>
          <w:szCs w:val="24"/>
          <w:u w:val="single"/>
        </w:rPr>
        <w:t>5 mln PLN</w:t>
      </w:r>
      <w:r>
        <w:rPr>
          <w:rFonts w:cstheme="minorHAnsi"/>
          <w:sz w:val="24"/>
          <w:szCs w:val="24"/>
        </w:rPr>
        <w:t>.</w:t>
      </w:r>
    </w:p>
    <w:p w14:paraId="18CA7A1C" w14:textId="65C992C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Podstawą realizacji projektów rewitalizacyjnych będą gminne programy rewitalizacji [GPR], które pełnić będą funkcje strategii IIT[1].</w:t>
      </w:r>
    </w:p>
    <w:p w14:paraId="0F25D870" w14:textId="5FE664A5" w:rsidR="00A049E4" w:rsidRPr="00A049E4" w:rsidRDefault="00CF303C" w:rsidP="002E5665">
      <w:pPr>
        <w:pStyle w:val="Akapitzlist"/>
        <w:numPr>
          <w:ilvl w:val="0"/>
          <w:numId w:val="17"/>
        </w:numPr>
        <w:spacing w:after="120" w:line="276" w:lineRule="auto"/>
        <w:rPr>
          <w:rFonts w:cstheme="minorHAnsi"/>
          <w:sz w:val="24"/>
          <w:szCs w:val="24"/>
        </w:rPr>
      </w:pPr>
      <w:r w:rsidRPr="00A049E4">
        <w:rPr>
          <w:sz w:val="24"/>
          <w:szCs w:val="24"/>
        </w:rPr>
        <w:t>Wsparciem mogą być objęte wyłącznie projekty wynikające z GPR, który uzyskał pozytywną opinię IZ FEO 2021-2027 i został wpisany do wykazu GPR prowadzonego przez IZ FEO 2021-2027.</w:t>
      </w:r>
      <w:r w:rsidR="00A049E4" w:rsidRPr="00A049E4">
        <w:rPr>
          <w:sz w:val="24"/>
          <w:szCs w:val="24"/>
        </w:rPr>
        <w:t xml:space="preserve"> </w:t>
      </w:r>
      <w:r w:rsidR="00A049E4" w:rsidRPr="00A049E4">
        <w:rPr>
          <w:rFonts w:cstheme="minorHAnsi"/>
          <w:sz w:val="24"/>
          <w:szCs w:val="24"/>
        </w:rPr>
        <w:t xml:space="preserve">IZ FEO 2021-2027 zastrzega, że tylko skuteczne doręczenie </w:t>
      </w:r>
      <w:r w:rsidR="00A049E4" w:rsidRPr="00A049E4">
        <w:rPr>
          <w:rFonts w:cstheme="minorHAnsi"/>
          <w:b/>
          <w:bCs/>
          <w:sz w:val="24"/>
          <w:szCs w:val="24"/>
        </w:rPr>
        <w:t xml:space="preserve">do końca </w:t>
      </w:r>
      <w:r w:rsidR="00A049E4" w:rsidRPr="00A049E4">
        <w:rPr>
          <w:rFonts w:cstheme="minorHAnsi"/>
          <w:b/>
          <w:bCs/>
          <w:sz w:val="24"/>
          <w:szCs w:val="24"/>
        </w:rPr>
        <w:lastRenderedPageBreak/>
        <w:t>października 2024 r.</w:t>
      </w:r>
      <w:r w:rsidR="00A049E4" w:rsidRPr="00A049E4">
        <w:rPr>
          <w:rFonts w:cstheme="minorHAnsi"/>
          <w:sz w:val="24"/>
          <w:szCs w:val="24"/>
        </w:rPr>
        <w:t xml:space="preserve"> GPR wraz ze wszystkimi wymaganymi dokumentami [1] daje możliwość uzyskania pozytywnej opinii IZ FEO 2021-2027 i wpisania do wykazu GPR prowadzonego przez IZ FEO 2021-2027. Wywiązanie się z powyższego, umożliwi wnioskodawcy ubieganie się o dofinansowanie w obowiązującym naborze.</w:t>
      </w:r>
    </w:p>
    <w:p w14:paraId="0F55D711"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Celem projektów rewitalizacyjnych winno być zmniejszanie zróżnicowań oraz wzmocnienie powiązań między obszarami wiejskimi i miejskimi, a także poprawa warunków i jakości życia na obszarach zdegradowanych. Proces ten będzie kompleksowy, poprzez zintegrowane działania na rzecz lokalnej społeczności, przestrzeni i gospodarki, skoncentrowany terytorialnie, prowadzony przez interesariuszy rewitalizacji.</w:t>
      </w:r>
    </w:p>
    <w:p w14:paraId="0C5DAAC0"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mieć na celu dbanie o zachowanie i rozwój zielonej infrastruktury, zwłaszcza ochronę drzew w całym cyklu projektowym, w tym poprzez stosowanie standardów ochrony zieleni.</w:t>
      </w:r>
    </w:p>
    <w:p w14:paraId="26F2D97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dążyć do zwiększania powierzchni biologicznie czynnych i unikania tworzenia powierzchni uszczelnionych, zgodnie z potrzebą adaptacji do zmian klimatu.</w:t>
      </w:r>
    </w:p>
    <w:p w14:paraId="6CA0FA5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Działania rewitalizacyjne powinny w sposób zintegrowany uwzględniać potrzeby </w:t>
      </w:r>
      <w:r w:rsidR="00075A7D">
        <w:rPr>
          <w:sz w:val="24"/>
          <w:szCs w:val="24"/>
        </w:rPr>
        <w:br/>
      </w:r>
      <w:r w:rsidRPr="00CF303C">
        <w:rPr>
          <w:sz w:val="24"/>
          <w:szCs w:val="24"/>
        </w:rPr>
        <w:t>i potencjały wskazane w GPR dla obszarów poddawanych rewitalizacji, uwzględniając głównie cele włączenia społecznego, ubóstwa energetycznego i czystego powietrza, w tym zapewnienie m.in. standardów efektywności energetycznej budynków.</w:t>
      </w:r>
    </w:p>
    <w:p w14:paraId="3819A105"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będzie wsparcie istniejącej infrastruktury, natomiast nowe inwestycje będą dopuszczalne tylko w wyjątkowych, uzasadnionych okolicznościach.  </w:t>
      </w:r>
    </w:p>
    <w:p w14:paraId="2E493A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Wsparcie infrastruktury, tam gdzie to możliwe, powinno być dostosowane do: Europejskiego Zielonego Ładu, GOZ, celów zrównoważonego rozwoju ONZ. </w:t>
      </w:r>
    </w:p>
    <w:p w14:paraId="135B543D" w14:textId="2C71DEA9"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parkingów oraz w odniesieniu do istniejących - zwiększenia ich pojemności lub przepustowości, ani nie mogą w żaden inny sposób przyczyniać się do zwiększenia natężenia ruchu samochodowego. Możliwe będzie wsparcie budowy nowych dróg rowerowych, ciągów pieszych lub pieszo-rowerowych.</w:t>
      </w:r>
    </w:p>
    <w:p w14:paraId="09F5CD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Realizowane przedsięwzięcia muszą być zgodne z zasadą DNSH. </w:t>
      </w:r>
    </w:p>
    <w:p w14:paraId="35778D8D" w14:textId="403499B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Działania wchodzące w zakres innych celów polityki</w:t>
      </w:r>
      <w:r w:rsidR="00075A7D">
        <w:rPr>
          <w:sz w:val="24"/>
          <w:szCs w:val="24"/>
        </w:rPr>
        <w:t>,</w:t>
      </w:r>
      <w:r w:rsidRPr="00CF303C">
        <w:rPr>
          <w:sz w:val="24"/>
          <w:szCs w:val="24"/>
        </w:rPr>
        <w:t xml:space="preserve"> tj. CP 1-4, które będą wdrażane </w:t>
      </w:r>
      <w:r w:rsidR="00075A7D">
        <w:rPr>
          <w:sz w:val="24"/>
          <w:szCs w:val="24"/>
        </w:rPr>
        <w:br/>
      </w:r>
      <w:r w:rsidRPr="00CF303C">
        <w:rPr>
          <w:sz w:val="24"/>
          <w:szCs w:val="24"/>
        </w:rPr>
        <w:t>w ramach działania 10.</w:t>
      </w:r>
      <w:r w:rsidR="0060192D">
        <w:rPr>
          <w:sz w:val="24"/>
          <w:szCs w:val="24"/>
        </w:rPr>
        <w:t>5</w:t>
      </w:r>
      <w:r w:rsidRPr="00CF303C">
        <w:rPr>
          <w:sz w:val="24"/>
          <w:szCs w:val="24"/>
        </w:rPr>
        <w:t xml:space="preserve"> muszą być zgodne z zasadami uzgodnionymi dla tych obszarów </w:t>
      </w:r>
      <w:r w:rsidR="00075A7D">
        <w:rPr>
          <w:sz w:val="24"/>
          <w:szCs w:val="24"/>
        </w:rPr>
        <w:br/>
      </w:r>
      <w:r w:rsidRPr="00CF303C">
        <w:rPr>
          <w:sz w:val="24"/>
          <w:szCs w:val="24"/>
        </w:rPr>
        <w:t>w ramach odpowiednich celów polityki.</w:t>
      </w:r>
    </w:p>
    <w:p w14:paraId="0E1F3C9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Istnieje również możliwość uzyskania wsparcia projektów realizowanych przez podmioty inne niż JST, istotnych dla szczebla lokalnego, ujętych w GPR.</w:t>
      </w:r>
    </w:p>
    <w:p w14:paraId="0AEED92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będą projekty komplementarne i uzupełniające do projektów wdrażanych </w:t>
      </w:r>
      <w:r w:rsidR="00075A7D">
        <w:rPr>
          <w:sz w:val="24"/>
          <w:szCs w:val="24"/>
        </w:rPr>
        <w:br/>
      </w:r>
      <w:r w:rsidRPr="00CF303C">
        <w:rPr>
          <w:sz w:val="24"/>
          <w:szCs w:val="24"/>
        </w:rPr>
        <w:t xml:space="preserve">w programie </w:t>
      </w:r>
      <w:proofErr w:type="spellStart"/>
      <w:r w:rsidRPr="00CF303C">
        <w:rPr>
          <w:sz w:val="24"/>
          <w:szCs w:val="24"/>
        </w:rPr>
        <w:t>Interreg</w:t>
      </w:r>
      <w:proofErr w:type="spellEnd"/>
      <w:r w:rsidRPr="00CF303C">
        <w:rPr>
          <w:sz w:val="24"/>
          <w:szCs w:val="24"/>
        </w:rPr>
        <w:t>.</w:t>
      </w:r>
    </w:p>
    <w:p w14:paraId="458E2A12" w14:textId="46FCB805" w:rsidR="00CF303C" w:rsidRPr="006F727D" w:rsidRDefault="00CF303C" w:rsidP="00CF303C">
      <w:pPr>
        <w:pStyle w:val="Akapitzlist"/>
        <w:numPr>
          <w:ilvl w:val="0"/>
          <w:numId w:val="17"/>
        </w:numPr>
        <w:spacing w:line="276" w:lineRule="auto"/>
        <w:rPr>
          <w:rFonts w:cstheme="minorHAnsi"/>
          <w:sz w:val="24"/>
          <w:szCs w:val="24"/>
        </w:rPr>
      </w:pPr>
      <w:r w:rsidRPr="00CF303C">
        <w:rPr>
          <w:sz w:val="24"/>
          <w:szCs w:val="24"/>
        </w:rPr>
        <w:t>Projekty będą uwzględniać standardy dostępności: architektonicznej, cyfrowej oraz informacyjno-promocyjnej.</w:t>
      </w:r>
    </w:p>
    <w:p w14:paraId="0C9756AD" w14:textId="77777777" w:rsidR="006F727D" w:rsidRDefault="006F727D" w:rsidP="006F727D">
      <w:pPr>
        <w:spacing w:line="276" w:lineRule="auto"/>
        <w:rPr>
          <w:rFonts w:cstheme="minorHAnsi"/>
          <w:sz w:val="24"/>
          <w:szCs w:val="24"/>
        </w:rPr>
      </w:pPr>
    </w:p>
    <w:p w14:paraId="32227651" w14:textId="2BA54565" w:rsidR="006F727D" w:rsidRPr="006F727D" w:rsidRDefault="006F727D" w:rsidP="006F727D">
      <w:pPr>
        <w:rPr>
          <w:b/>
          <w:sz w:val="24"/>
          <w:szCs w:val="24"/>
        </w:rPr>
      </w:pPr>
      <w:r w:rsidRPr="006F727D">
        <w:rPr>
          <w:sz w:val="24"/>
          <w:szCs w:val="24"/>
        </w:rPr>
        <w:lastRenderedPageBreak/>
        <w:t>Pozostałe warunki realizacji projektów niewskazane w SZOP 2021-2027 dla przedmiotowego działania określone są w pozostałych dokumentach IZ FEO 2021-2027 niezbędnych dla przeprowadzenia procedury konkurencyjnej, w tym w Regulaminie wyboru projektów / umowie o dofinansowanie / decyzji o dofinansowaniu.</w:t>
      </w:r>
      <w:r w:rsidRPr="006F727D">
        <w:rPr>
          <w:sz w:val="24"/>
          <w:szCs w:val="24"/>
        </w:rPr>
        <w:br/>
      </w:r>
      <w:r w:rsidRPr="006F727D">
        <w:rPr>
          <w:sz w:val="24"/>
          <w:szCs w:val="24"/>
        </w:rPr>
        <w:br/>
        <w:t>[1] GPR pełniący funkcję strategii IIT opracowany na podstawie ustawy o rewitalizacji z dnia 9 października 2015 r. pod warunkiem spełnienia wymogów art. 29 rozporządzenia ogólnego.</w:t>
      </w:r>
    </w:p>
    <w:p w14:paraId="3F6DFFED" w14:textId="40B05462" w:rsidR="00773A53" w:rsidRDefault="001574CC" w:rsidP="005D6447">
      <w:pPr>
        <w:pStyle w:val="Nagwek1"/>
        <w:numPr>
          <w:ilvl w:val="0"/>
          <w:numId w:val="1"/>
        </w:numPr>
        <w:spacing w:before="120" w:after="120"/>
        <w:ind w:left="425" w:hanging="425"/>
        <w:rPr>
          <w:rFonts w:asciiTheme="minorHAnsi" w:eastAsiaTheme="minorHAnsi" w:hAnsiTheme="minorHAnsi" w:cstheme="minorHAnsi"/>
          <w:b/>
          <w:bCs/>
          <w:color w:val="auto"/>
        </w:rPr>
      </w:pPr>
      <w:bookmarkStart w:id="46" w:name="_Toc166445084"/>
      <w:r w:rsidRPr="00AB79A0">
        <w:rPr>
          <w:rFonts w:asciiTheme="minorHAnsi" w:eastAsiaTheme="minorHAnsi" w:hAnsiTheme="minorHAnsi" w:cstheme="minorHAnsi"/>
          <w:b/>
          <w:bCs/>
          <w:color w:val="auto"/>
        </w:rPr>
        <w:t>Kwota przeznaczona na dofinansowanie projektów</w:t>
      </w:r>
      <w:bookmarkEnd w:id="46"/>
    </w:p>
    <w:p w14:paraId="06BACF1C" w14:textId="66852E1B" w:rsidR="00AF5E2B" w:rsidRDefault="001574CC" w:rsidP="006B6952">
      <w:pPr>
        <w:spacing w:line="276" w:lineRule="auto"/>
        <w:jc w:val="both"/>
        <w:rPr>
          <w:rFonts w:cstheme="minorHAnsi"/>
          <w:sz w:val="24"/>
          <w:szCs w:val="24"/>
        </w:rPr>
      </w:pPr>
      <w:r w:rsidRPr="00676940">
        <w:rPr>
          <w:rFonts w:cstheme="minorHAnsi"/>
          <w:sz w:val="24"/>
          <w:szCs w:val="24"/>
        </w:rPr>
        <w:t xml:space="preserve">Kwota alokacji dostępna w ramach działania </w:t>
      </w:r>
      <w:r w:rsidR="009F2C5C">
        <w:rPr>
          <w:rFonts w:cstheme="minorHAnsi"/>
          <w:sz w:val="24"/>
          <w:szCs w:val="24"/>
        </w:rPr>
        <w:t>10</w:t>
      </w:r>
      <w:r w:rsidRPr="00676940">
        <w:rPr>
          <w:rFonts w:cstheme="minorHAnsi"/>
          <w:sz w:val="24"/>
          <w:szCs w:val="24"/>
        </w:rPr>
        <w:t>.</w:t>
      </w:r>
      <w:r w:rsidR="008D7C27">
        <w:rPr>
          <w:rFonts w:cstheme="minorHAnsi"/>
          <w:sz w:val="24"/>
          <w:szCs w:val="24"/>
        </w:rPr>
        <w:t>5</w:t>
      </w:r>
      <w:r w:rsidRPr="00676940">
        <w:rPr>
          <w:rFonts w:cstheme="minorHAnsi"/>
          <w:sz w:val="24"/>
          <w:szCs w:val="24"/>
        </w:rPr>
        <w:t xml:space="preserve"> </w:t>
      </w:r>
      <w:r w:rsidR="009F2C5C">
        <w:rPr>
          <w:rFonts w:cstheme="minorHAnsi"/>
          <w:i/>
          <w:iCs/>
          <w:sz w:val="24"/>
          <w:szCs w:val="24"/>
        </w:rPr>
        <w:t xml:space="preserve">Rewitalizacja na obszarach </w:t>
      </w:r>
      <w:r w:rsidR="008D7C27">
        <w:rPr>
          <w:rFonts w:cstheme="minorHAnsi"/>
          <w:i/>
          <w:iCs/>
          <w:sz w:val="24"/>
          <w:szCs w:val="24"/>
        </w:rPr>
        <w:t xml:space="preserve">innych niż </w:t>
      </w:r>
      <w:r w:rsidR="009F2C5C">
        <w:rPr>
          <w:rFonts w:cstheme="minorHAnsi"/>
          <w:i/>
          <w:iCs/>
          <w:sz w:val="24"/>
          <w:szCs w:val="24"/>
        </w:rPr>
        <w:t>miejski</w:t>
      </w:r>
      <w:r w:rsidR="008D7C27">
        <w:rPr>
          <w:rFonts w:cstheme="minorHAnsi"/>
          <w:i/>
          <w:iCs/>
          <w:sz w:val="24"/>
          <w:szCs w:val="24"/>
        </w:rPr>
        <w:t>e</w:t>
      </w:r>
      <w:r w:rsidR="001472BF">
        <w:rPr>
          <w:rFonts w:cstheme="minorHAnsi"/>
          <w:sz w:val="24"/>
          <w:szCs w:val="24"/>
        </w:rPr>
        <w:t xml:space="preserve"> </w:t>
      </w:r>
      <w:r w:rsidRPr="00676940">
        <w:rPr>
          <w:rFonts w:cstheme="minorHAnsi"/>
          <w:sz w:val="24"/>
          <w:szCs w:val="24"/>
        </w:rPr>
        <w:t>FEO 2021-2027</w:t>
      </w:r>
      <w:r w:rsidR="0086648A">
        <w:rPr>
          <w:rFonts w:cstheme="minorHAnsi"/>
          <w:sz w:val="24"/>
          <w:szCs w:val="24"/>
        </w:rPr>
        <w:t xml:space="preserve"> </w:t>
      </w:r>
      <w:r w:rsidR="006B6952" w:rsidRPr="00676940">
        <w:rPr>
          <w:rFonts w:cstheme="minorHAnsi"/>
          <w:sz w:val="24"/>
          <w:szCs w:val="24"/>
        </w:rPr>
        <w:t>wynosi</w:t>
      </w:r>
      <w:r w:rsidR="006B6952" w:rsidRPr="00CC260F">
        <w:rPr>
          <w:rFonts w:cstheme="minorHAnsi"/>
          <w:sz w:val="24"/>
          <w:szCs w:val="24"/>
        </w:rPr>
        <w:t xml:space="preserve">: </w:t>
      </w:r>
      <w:r w:rsidR="008D7C27" w:rsidRPr="008827FD">
        <w:rPr>
          <w:rFonts w:ascii="Calibri" w:eastAsia="Times New Roman" w:hAnsi="Calibri" w:cs="Calibri"/>
          <w:b/>
          <w:bCs/>
          <w:sz w:val="24"/>
          <w:szCs w:val="24"/>
        </w:rPr>
        <w:t>86 505 882,35</w:t>
      </w:r>
      <w:r w:rsidR="008D7C27">
        <w:rPr>
          <w:rFonts w:ascii="Calibri" w:eastAsia="Times New Roman" w:hAnsi="Calibri" w:cs="Calibri"/>
          <w:b/>
          <w:bCs/>
          <w:sz w:val="24"/>
          <w:szCs w:val="24"/>
        </w:rPr>
        <w:t xml:space="preserve"> </w:t>
      </w:r>
      <w:r w:rsidR="0086648A" w:rsidRPr="0086648A">
        <w:rPr>
          <w:rFonts w:cstheme="minorHAnsi"/>
          <w:b/>
          <w:bCs/>
          <w:sz w:val="24"/>
          <w:szCs w:val="24"/>
        </w:rPr>
        <w:t>PLN</w:t>
      </w:r>
      <w:r w:rsidR="0086648A">
        <w:rPr>
          <w:rFonts w:cstheme="minorHAnsi"/>
          <w:sz w:val="24"/>
          <w:szCs w:val="24"/>
        </w:rPr>
        <w:t xml:space="preserve"> w tym: </w:t>
      </w:r>
    </w:p>
    <w:p w14:paraId="197296B3" w14:textId="23A1C541" w:rsidR="00AF5E2B" w:rsidRPr="0091015D" w:rsidRDefault="008D7C27" w:rsidP="0091015D">
      <w:pPr>
        <w:spacing w:after="0" w:line="276" w:lineRule="auto"/>
        <w:jc w:val="both"/>
        <w:rPr>
          <w:rFonts w:cstheme="minorHAnsi"/>
          <w:sz w:val="24"/>
          <w:szCs w:val="24"/>
        </w:rPr>
      </w:pPr>
      <w:r w:rsidRPr="008D7C27">
        <w:rPr>
          <w:rFonts w:ascii="Calibri" w:eastAsia="Times New Roman" w:hAnsi="Calibri" w:cs="Calibri"/>
          <w:sz w:val="24"/>
          <w:szCs w:val="24"/>
        </w:rPr>
        <w:t>77 400 000,00</w:t>
      </w:r>
      <w:r w:rsidRPr="008827FD">
        <w:rPr>
          <w:rFonts w:ascii="Calibri" w:eastAsia="Times New Roman" w:hAnsi="Calibri" w:cs="Calibri"/>
          <w:b/>
          <w:bCs/>
          <w:sz w:val="24"/>
          <w:szCs w:val="24"/>
        </w:rPr>
        <w:t> </w:t>
      </w:r>
      <w:r w:rsidR="00546C04" w:rsidRPr="0091015D">
        <w:rPr>
          <w:rFonts w:cstheme="minorHAnsi"/>
          <w:sz w:val="24"/>
          <w:szCs w:val="24"/>
        </w:rPr>
        <w:t xml:space="preserve">PLN </w:t>
      </w:r>
      <w:r w:rsidR="006B6952" w:rsidRPr="0091015D">
        <w:rPr>
          <w:rFonts w:cstheme="minorHAnsi"/>
          <w:sz w:val="24"/>
          <w:szCs w:val="24"/>
        </w:rPr>
        <w:t>pochodzące z Europejskiego Funduszu Rozwoju Regionalnego</w:t>
      </w:r>
      <w:r w:rsidR="0086648A" w:rsidRPr="0091015D">
        <w:rPr>
          <w:rFonts w:cstheme="minorHAnsi"/>
          <w:sz w:val="24"/>
          <w:szCs w:val="24"/>
        </w:rPr>
        <w:t xml:space="preserve"> </w:t>
      </w:r>
    </w:p>
    <w:p w14:paraId="74A646FA" w14:textId="25A51070" w:rsidR="00AF5E2B" w:rsidRDefault="008D7C27" w:rsidP="008D7C27">
      <w:pPr>
        <w:spacing w:line="276" w:lineRule="auto"/>
        <w:jc w:val="both"/>
        <w:rPr>
          <w:rFonts w:cstheme="minorHAnsi"/>
          <w:bCs/>
          <w:sz w:val="24"/>
          <w:szCs w:val="24"/>
        </w:rPr>
      </w:pPr>
      <w:r w:rsidRPr="008D7C27">
        <w:rPr>
          <w:rFonts w:ascii="Calibri" w:eastAsia="Times New Roman" w:hAnsi="Calibri" w:cs="Calibri"/>
          <w:sz w:val="24"/>
          <w:szCs w:val="24"/>
        </w:rPr>
        <w:t>9 105 882,35</w:t>
      </w:r>
      <w:r>
        <w:rPr>
          <w:rFonts w:ascii="Calibri" w:eastAsia="Times New Roman" w:hAnsi="Calibri" w:cs="Calibri"/>
          <w:b/>
          <w:bCs/>
          <w:sz w:val="24"/>
          <w:szCs w:val="24"/>
        </w:rPr>
        <w:t xml:space="preserve"> </w:t>
      </w:r>
      <w:r w:rsidR="0086648A" w:rsidRPr="0091015D">
        <w:rPr>
          <w:rFonts w:cstheme="minorHAnsi"/>
          <w:sz w:val="24"/>
          <w:szCs w:val="24"/>
        </w:rPr>
        <w:t>PLN</w:t>
      </w:r>
      <w:r w:rsidR="0086648A">
        <w:rPr>
          <w:rFonts w:cstheme="minorHAnsi"/>
          <w:b/>
          <w:sz w:val="24"/>
          <w:szCs w:val="24"/>
        </w:rPr>
        <w:t xml:space="preserve"> </w:t>
      </w:r>
      <w:r w:rsidR="0086648A" w:rsidRPr="00AF5E2B">
        <w:rPr>
          <w:rFonts w:cstheme="minorHAnsi"/>
          <w:bCs/>
          <w:sz w:val="24"/>
          <w:szCs w:val="24"/>
        </w:rPr>
        <w:t>z Budżetu Państwa</w:t>
      </w:r>
    </w:p>
    <w:p w14:paraId="12385006" w14:textId="77777777" w:rsidR="0091015D" w:rsidRDefault="0091015D" w:rsidP="0091015D">
      <w:pPr>
        <w:spacing w:after="0" w:line="276" w:lineRule="auto"/>
        <w:jc w:val="both"/>
        <w:rPr>
          <w:rFonts w:cstheme="minorHAnsi"/>
          <w:b/>
          <w:sz w:val="24"/>
          <w:szCs w:val="24"/>
        </w:rPr>
      </w:pPr>
    </w:p>
    <w:p w14:paraId="4A509F91" w14:textId="4C2AE26E" w:rsidR="007C188F" w:rsidRDefault="00FA4B54" w:rsidP="007C188F">
      <w:pPr>
        <w:spacing w:line="276" w:lineRule="auto"/>
        <w:jc w:val="both"/>
        <w:rPr>
          <w:sz w:val="24"/>
          <w:szCs w:val="24"/>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bookmarkStart w:id="47" w:name="_Toc148516162"/>
    </w:p>
    <w:p w14:paraId="597CC13B" w14:textId="52107577" w:rsidR="007C188F" w:rsidRPr="008047AE" w:rsidRDefault="007C188F" w:rsidP="007C188F">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bookmarkEnd w:id="47"/>
      <w:r w:rsidR="00E87AD0" w:rsidRPr="008047AE">
        <w:rPr>
          <w:b/>
          <w:bCs/>
          <w:sz w:val="24"/>
          <w:szCs w:val="24"/>
        </w:rPr>
        <w:t>.</w:t>
      </w:r>
    </w:p>
    <w:p w14:paraId="0A74F9A7" w14:textId="628CAD70" w:rsidR="007C188F" w:rsidRPr="008047AE"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69743718" w14:textId="69AD798B" w:rsidR="007C188F"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r w:rsidR="00041285">
        <w:rPr>
          <w:rFonts w:ascii="Calibri" w:eastAsia="Times New Roman" w:hAnsi="Calibri" w:cs="Times New Roman"/>
          <w:sz w:val="24"/>
          <w:szCs w:val="24"/>
          <w:lang w:eastAsia="pl-PL"/>
        </w:rPr>
        <w:t xml:space="preserve"> </w:t>
      </w: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w:t>
      </w:r>
      <w:r w:rsidR="00041285">
        <w:rPr>
          <w:rFonts w:ascii="Calibri" w:eastAsia="Times New Roman" w:hAnsi="Calibri" w:cs="Times New Roman"/>
          <w:sz w:val="24"/>
          <w:szCs w:val="24"/>
          <w:lang w:eastAsia="pl-PL"/>
        </w:rPr>
        <w:br/>
      </w:r>
      <w:r w:rsidRPr="008047AE">
        <w:rPr>
          <w:rFonts w:ascii="Calibri" w:eastAsia="Times New Roman" w:hAnsi="Calibri" w:cs="Times New Roman"/>
          <w:sz w:val="24"/>
          <w:szCs w:val="24"/>
          <w:lang w:eastAsia="pl-PL"/>
        </w:rPr>
        <w:t>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CD7F6DA" w14:textId="77777777" w:rsidR="007C188F" w:rsidRDefault="007C188F" w:rsidP="00676940">
      <w:pPr>
        <w:spacing w:line="276" w:lineRule="auto"/>
        <w:jc w:val="both"/>
        <w:rPr>
          <w:rFonts w:cstheme="minorHAnsi"/>
          <w:b/>
          <w:bCs/>
        </w:rPr>
      </w:pPr>
    </w:p>
    <w:p w14:paraId="33AD76FC" w14:textId="77777777" w:rsidR="001574CC" w:rsidRPr="001574CC" w:rsidRDefault="001574CC" w:rsidP="005D6447">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bookmarkStart w:id="48" w:name="_Toc166445085"/>
      <w:r w:rsidRPr="001574CC">
        <w:rPr>
          <w:rFonts w:asciiTheme="minorHAnsi" w:hAnsiTheme="minorHAnsi" w:cstheme="minorHAnsi"/>
          <w:b/>
          <w:bCs/>
          <w:color w:val="auto"/>
        </w:rPr>
        <w:lastRenderedPageBreak/>
        <w:t>Pomoc publiczna - unijna podstawa prawna</w:t>
      </w:r>
      <w:bookmarkEnd w:id="48"/>
    </w:p>
    <w:p w14:paraId="7C11F0B4" w14:textId="5C1B0B9A" w:rsidR="00A45F21" w:rsidRPr="00A45F21" w:rsidRDefault="00A45F21" w:rsidP="00A45F21">
      <w:pPr>
        <w:rPr>
          <w:b/>
          <w:sz w:val="24"/>
          <w:szCs w:val="24"/>
        </w:rPr>
      </w:pPr>
      <w:bookmarkStart w:id="49" w:name="_Toc166445086"/>
      <w:r w:rsidRPr="00A45F21">
        <w:rPr>
          <w:sz w:val="24"/>
          <w:szCs w:val="24"/>
        </w:rPr>
        <w:t xml:space="preserve">Bez pomocy, Rozporządzenie Komisji (UE) 2023/2831 z dnia 13 grudnia 2023 r. w sprawie stosowania art. 107 i 108 Traktatu o funkcjonowaniu Unii Europejskiej do pomocy de </w:t>
      </w:r>
      <w:proofErr w:type="spellStart"/>
      <w:r w:rsidRPr="00A45F21">
        <w:rPr>
          <w:sz w:val="24"/>
          <w:szCs w:val="24"/>
        </w:rPr>
        <w:t>minimis</w:t>
      </w:r>
      <w:proofErr w:type="spellEnd"/>
      <w:r w:rsidRPr="00A45F21">
        <w:rPr>
          <w:sz w:val="24"/>
          <w:szCs w:val="24"/>
        </w:rPr>
        <w:t xml:space="preserve"> (Dz. Urz. UE L z 15.12.2023), Rozporządzenie Komisji (UE) nr 651/2014 z dnia 17 czerwca 2014 r. uznające niektóre rodzaje pomocy za zgodne z rynkiem wewnętrznym w zastosowaniu art. 107 i 108 Traktatu.</w:t>
      </w:r>
    </w:p>
    <w:p w14:paraId="53C6AE7A" w14:textId="77777777" w:rsidR="001574CC" w:rsidRPr="00676940" w:rsidRDefault="001574CC" w:rsidP="005D6447">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r w:rsidRPr="001574CC">
        <w:rPr>
          <w:rFonts w:asciiTheme="minorHAnsi" w:hAnsiTheme="minorHAnsi" w:cstheme="minorHAnsi"/>
          <w:b/>
          <w:color w:val="auto"/>
        </w:rPr>
        <w:t>Pomoc publiczna - krajowa podstawa prawna</w:t>
      </w:r>
      <w:bookmarkEnd w:id="49"/>
    </w:p>
    <w:p w14:paraId="0F96AD82" w14:textId="1562AD7B" w:rsidR="008F60D8" w:rsidRDefault="00A45F21" w:rsidP="00A45F21">
      <w:pPr>
        <w:rPr>
          <w:sz w:val="24"/>
          <w:szCs w:val="24"/>
        </w:rPr>
      </w:pPr>
      <w:bookmarkStart w:id="50" w:name="_Toc166445087"/>
      <w:r w:rsidRPr="00A45F21">
        <w:rPr>
          <w:sz w:val="24"/>
          <w:szCs w:val="24"/>
        </w:rP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w:t>
      </w:r>
      <w:r>
        <w:rPr>
          <w:sz w:val="24"/>
          <w:szCs w:val="24"/>
        </w:rPr>
        <w:br/>
      </w:r>
      <w:r w:rsidRPr="00A45F21">
        <w:rPr>
          <w:sz w:val="24"/>
          <w:szCs w:val="24"/>
        </w:rPr>
        <w:t xml:space="preserve">i Polityki Regionalnej z dnia 11 października 2022 r. w sprawie udzielania regionalnej pomocy inwestycyjnej w ramach programów regionalnych na lata 2021–2027  ( Dz. U. z 2023 r.  poz. 2743), Rozporządzenie Ministra Funduszy i Polityki Regionalnej z dnia 17 kwietnia 2024 r. </w:t>
      </w:r>
      <w:r>
        <w:rPr>
          <w:sz w:val="24"/>
          <w:szCs w:val="24"/>
        </w:rPr>
        <w:br/>
      </w:r>
      <w:r w:rsidRPr="00A45F21">
        <w:rPr>
          <w:sz w:val="24"/>
          <w:szCs w:val="24"/>
        </w:rPr>
        <w:t xml:space="preserve">w sprawie udzielania pomocy de </w:t>
      </w:r>
      <w:proofErr w:type="spellStart"/>
      <w:r w:rsidRPr="00A45F21">
        <w:rPr>
          <w:sz w:val="24"/>
          <w:szCs w:val="24"/>
        </w:rPr>
        <w:t>minimis</w:t>
      </w:r>
      <w:proofErr w:type="spellEnd"/>
      <w:r w:rsidRPr="00A45F21">
        <w:rPr>
          <w:sz w:val="24"/>
          <w:szCs w:val="24"/>
        </w:rPr>
        <w:t xml:space="preserve"> w ramach regionalnych programów na lata </w:t>
      </w:r>
      <w:r>
        <w:rPr>
          <w:sz w:val="24"/>
          <w:szCs w:val="24"/>
        </w:rPr>
        <w:br/>
      </w:r>
      <w:r w:rsidRPr="00A45F21">
        <w:rPr>
          <w:sz w:val="24"/>
          <w:szCs w:val="24"/>
        </w:rPr>
        <w:t>2021–2027 (Dz. U. 2024 poz. 598)</w:t>
      </w:r>
      <w:r>
        <w:rPr>
          <w:sz w:val="24"/>
          <w:szCs w:val="24"/>
        </w:rPr>
        <w:t>.</w:t>
      </w:r>
    </w:p>
    <w:p w14:paraId="380E82A4" w14:textId="77777777" w:rsidR="005D6447" w:rsidRDefault="005D6447" w:rsidP="00A45F21">
      <w:pPr>
        <w:rPr>
          <w:sz w:val="24"/>
          <w:szCs w:val="24"/>
        </w:rPr>
      </w:pPr>
    </w:p>
    <w:p w14:paraId="1DE25D99" w14:textId="77777777" w:rsidR="001574CC" w:rsidRPr="00676940" w:rsidRDefault="001574CC" w:rsidP="005D6447">
      <w:pPr>
        <w:pStyle w:val="Nagwek1"/>
        <w:numPr>
          <w:ilvl w:val="0"/>
          <w:numId w:val="1"/>
        </w:numPr>
        <w:spacing w:before="120" w:after="120" w:line="276" w:lineRule="auto"/>
        <w:ind w:left="425" w:hanging="425"/>
        <w:rPr>
          <w:rStyle w:val="Nagwek1Znak"/>
          <w:rFonts w:asciiTheme="minorHAnsi" w:eastAsiaTheme="minorHAnsi" w:hAnsiTheme="minorHAnsi" w:cstheme="minorHAnsi"/>
          <w:b/>
          <w:bCs/>
          <w:color w:val="auto"/>
        </w:rPr>
      </w:pPr>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0"/>
    </w:p>
    <w:p w14:paraId="102D8303" w14:textId="40519664" w:rsidR="001574CC" w:rsidRDefault="004E4EA8" w:rsidP="00CE7B7D">
      <w:pPr>
        <w:spacing w:after="0"/>
        <w:rPr>
          <w:sz w:val="24"/>
          <w:szCs w:val="24"/>
        </w:rPr>
      </w:pPr>
      <w:r>
        <w:rPr>
          <w:sz w:val="24"/>
          <w:szCs w:val="24"/>
        </w:rPr>
        <w:t>15%</w:t>
      </w:r>
      <w:r w:rsidR="000473FB">
        <w:rPr>
          <w:sz w:val="24"/>
          <w:szCs w:val="24"/>
        </w:rPr>
        <w:t xml:space="preserve"> wydatków kwalifikowalnych projektu</w:t>
      </w:r>
    </w:p>
    <w:p w14:paraId="3E1EDB96" w14:textId="77777777" w:rsidR="005D6447" w:rsidRDefault="005D6447" w:rsidP="00CE7B7D">
      <w:pPr>
        <w:spacing w:after="0"/>
        <w:rPr>
          <w:sz w:val="24"/>
          <w:szCs w:val="24"/>
        </w:rPr>
      </w:pPr>
    </w:p>
    <w:p w14:paraId="522A380C" w14:textId="77777777" w:rsidR="001574CC" w:rsidRPr="00676940" w:rsidRDefault="001574CC" w:rsidP="005D6447">
      <w:pPr>
        <w:pStyle w:val="Nagwek1"/>
        <w:numPr>
          <w:ilvl w:val="0"/>
          <w:numId w:val="1"/>
        </w:numPr>
        <w:spacing w:before="120" w:after="120" w:line="276" w:lineRule="auto"/>
        <w:ind w:left="425" w:hanging="425"/>
        <w:rPr>
          <w:rFonts w:cstheme="minorHAnsi"/>
          <w:b/>
        </w:rPr>
      </w:pPr>
      <w:bookmarkStart w:id="51" w:name="_Toc166445088"/>
      <w:r w:rsidRPr="00676940">
        <w:rPr>
          <w:rFonts w:asciiTheme="minorHAnsi" w:hAnsiTheme="minorHAnsi" w:cstheme="minorHAnsi"/>
          <w:b/>
          <w:color w:val="auto"/>
        </w:rPr>
        <w:t>Uproszczone formy rozliczania wydatków</w:t>
      </w:r>
      <w:bookmarkEnd w:id="51"/>
    </w:p>
    <w:p w14:paraId="598921F0" w14:textId="4886F12A" w:rsidR="00AA6646" w:rsidRPr="00CD0F93" w:rsidRDefault="00AA6646" w:rsidP="00CE7B7D">
      <w:pPr>
        <w:rPr>
          <w:rFonts w:cstheme="minorHAnsi"/>
          <w:b/>
          <w:bCs/>
          <w:sz w:val="24"/>
          <w:szCs w:val="24"/>
        </w:rPr>
      </w:pPr>
      <w:r w:rsidRPr="00676940">
        <w:rPr>
          <w:rFonts w:cstheme="minorHAnsi"/>
          <w:sz w:val="24"/>
          <w:szCs w:val="24"/>
        </w:rPr>
        <w:t>W przypadku</w:t>
      </w:r>
      <w:r w:rsidR="00493CE1">
        <w:rPr>
          <w:rFonts w:cstheme="minorHAnsi"/>
          <w:sz w:val="24"/>
          <w:szCs w:val="24"/>
        </w:rPr>
        <w:t>,</w:t>
      </w:r>
      <w:r w:rsidRPr="00676940">
        <w:rPr>
          <w:rFonts w:cstheme="minorHAnsi"/>
          <w:sz w:val="24"/>
          <w:szCs w:val="24"/>
        </w:rPr>
        <w:t xml:space="preserve">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BDEB3F7"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493CE1">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lastRenderedPageBreak/>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0CF2AB1F" w14:textId="3D86EB6F"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2" w:name="_Toc166445089"/>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2"/>
    </w:p>
    <w:p w14:paraId="549B715E" w14:textId="77777777" w:rsidR="00F8319B" w:rsidRDefault="00F8319B" w:rsidP="009A4137">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964259D" w14:textId="77777777" w:rsidR="005D6447" w:rsidRPr="007E6F7D" w:rsidRDefault="005D6447" w:rsidP="005D6447">
      <w:pPr>
        <w:pStyle w:val="Akapitzlist"/>
        <w:spacing w:after="0" w:line="276" w:lineRule="auto"/>
        <w:ind w:left="426"/>
        <w:contextualSpacing w:val="0"/>
        <w:rPr>
          <w:sz w:val="24"/>
          <w:szCs w:val="24"/>
        </w:rPr>
      </w:pPr>
    </w:p>
    <w:p w14:paraId="4E8F9513"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3" w:name="_Toc166445090"/>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3"/>
    </w:p>
    <w:p w14:paraId="7556E75F" w14:textId="2E1BA880" w:rsidR="00F8319B" w:rsidRDefault="00671097" w:rsidP="009A4137">
      <w:pPr>
        <w:pStyle w:val="Akapitzlist"/>
        <w:numPr>
          <w:ilvl w:val="0"/>
          <w:numId w:val="16"/>
        </w:numPr>
        <w:spacing w:after="0" w:line="276" w:lineRule="auto"/>
        <w:ind w:left="426" w:hanging="426"/>
        <w:contextualSpacing w:val="0"/>
        <w:rPr>
          <w:sz w:val="24"/>
          <w:szCs w:val="24"/>
        </w:rPr>
      </w:pPr>
      <w:r>
        <w:rPr>
          <w:sz w:val="24"/>
          <w:szCs w:val="24"/>
        </w:rPr>
        <w:t>9</w:t>
      </w:r>
      <w:r w:rsidR="00F8319B" w:rsidRPr="007E6F7D">
        <w:rPr>
          <w:sz w:val="24"/>
          <w:szCs w:val="24"/>
        </w:rPr>
        <w:t>5%</w:t>
      </w:r>
      <w:r w:rsidR="002B18FB">
        <w:rPr>
          <w:sz w:val="24"/>
          <w:szCs w:val="24"/>
        </w:rPr>
        <w:t xml:space="preserve"> w tym 10% z BP</w:t>
      </w:r>
    </w:p>
    <w:p w14:paraId="30257851" w14:textId="77777777" w:rsidR="005D6447" w:rsidRPr="007E6F7D" w:rsidRDefault="005D6447" w:rsidP="005D6447">
      <w:pPr>
        <w:pStyle w:val="Akapitzlist"/>
        <w:spacing w:after="0" w:line="276" w:lineRule="auto"/>
        <w:ind w:left="426"/>
        <w:contextualSpacing w:val="0"/>
        <w:rPr>
          <w:sz w:val="24"/>
          <w:szCs w:val="24"/>
        </w:rPr>
      </w:pPr>
    </w:p>
    <w:p w14:paraId="3C0AB09F"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4" w:name="_Toc166445091"/>
      <w:r w:rsidRPr="00676940">
        <w:rPr>
          <w:rFonts w:asciiTheme="minorHAnsi" w:hAnsiTheme="minorHAnsi" w:cstheme="minorHAnsi"/>
          <w:b/>
          <w:bCs/>
          <w:color w:val="auto"/>
        </w:rPr>
        <w:t>Minimalny wkład własny beneficjenta</w:t>
      </w:r>
      <w:bookmarkEnd w:id="54"/>
    </w:p>
    <w:p w14:paraId="01269750" w14:textId="09360F40" w:rsidR="00F8319B" w:rsidRDefault="00F8319B" w:rsidP="009A4137">
      <w:pPr>
        <w:pStyle w:val="Akapitzlist"/>
        <w:numPr>
          <w:ilvl w:val="0"/>
          <w:numId w:val="16"/>
        </w:numPr>
        <w:spacing w:after="120" w:line="276" w:lineRule="auto"/>
        <w:ind w:left="426" w:hanging="426"/>
        <w:rPr>
          <w:sz w:val="24"/>
          <w:szCs w:val="24"/>
        </w:rPr>
      </w:pPr>
      <w:r w:rsidRPr="007E6F7D">
        <w:rPr>
          <w:sz w:val="24"/>
          <w:szCs w:val="24"/>
        </w:rPr>
        <w:t>5%</w:t>
      </w:r>
    </w:p>
    <w:p w14:paraId="126FE28D" w14:textId="77777777" w:rsidR="005D6447" w:rsidRDefault="005D6447" w:rsidP="005D6447">
      <w:pPr>
        <w:pStyle w:val="Akapitzlist"/>
        <w:spacing w:after="120" w:line="276" w:lineRule="auto"/>
        <w:ind w:left="426"/>
        <w:rPr>
          <w:sz w:val="24"/>
          <w:szCs w:val="24"/>
        </w:rPr>
      </w:pPr>
    </w:p>
    <w:p w14:paraId="649B3CE5"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5" w:name="_Toc166445092"/>
      <w:r w:rsidRPr="00676940">
        <w:rPr>
          <w:rFonts w:asciiTheme="minorHAnsi" w:hAnsiTheme="minorHAnsi" w:cstheme="minorHAnsi"/>
          <w:b/>
          <w:color w:val="000000" w:themeColor="text1"/>
        </w:rPr>
        <w:t>Termin składania wniosków o dofinansowanie projektu</w:t>
      </w:r>
      <w:bookmarkEnd w:id="55"/>
    </w:p>
    <w:p w14:paraId="595BF898" w14:textId="5C7CF1BB"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671097">
        <w:rPr>
          <w:b/>
          <w:bCs/>
          <w:sz w:val="24"/>
          <w:szCs w:val="24"/>
        </w:rPr>
        <w:t>8</w:t>
      </w:r>
      <w:r w:rsidR="006E5882" w:rsidRPr="00F20F56">
        <w:rPr>
          <w:b/>
          <w:bCs/>
          <w:sz w:val="24"/>
          <w:szCs w:val="24"/>
        </w:rPr>
        <w:t xml:space="preserve"> </w:t>
      </w:r>
      <w:r w:rsidR="00671097">
        <w:rPr>
          <w:b/>
          <w:bCs/>
          <w:sz w:val="24"/>
          <w:szCs w:val="24"/>
        </w:rPr>
        <w:t>czerwca</w:t>
      </w:r>
      <w:r w:rsidR="00901110" w:rsidRPr="00F20F56">
        <w:rPr>
          <w:b/>
          <w:bCs/>
          <w:sz w:val="24"/>
          <w:szCs w:val="24"/>
        </w:rPr>
        <w:t xml:space="preserve"> </w:t>
      </w:r>
      <w:r w:rsidR="00682B47">
        <w:rPr>
          <w:b/>
          <w:bCs/>
          <w:sz w:val="24"/>
          <w:szCs w:val="24"/>
        </w:rPr>
        <w:t xml:space="preserve">2024 r. </w:t>
      </w:r>
      <w:r w:rsidR="00901110" w:rsidRPr="00F20F56">
        <w:rPr>
          <w:b/>
          <w:bCs/>
          <w:sz w:val="24"/>
          <w:szCs w:val="24"/>
        </w:rPr>
        <w:t>do</w:t>
      </w:r>
      <w:r w:rsidR="00BE2992" w:rsidRPr="00F20F56">
        <w:rPr>
          <w:b/>
          <w:bCs/>
          <w:sz w:val="24"/>
          <w:szCs w:val="24"/>
        </w:rPr>
        <w:t xml:space="preserve"> </w:t>
      </w:r>
      <w:r w:rsidR="00682B47">
        <w:rPr>
          <w:b/>
          <w:bCs/>
          <w:sz w:val="24"/>
          <w:szCs w:val="24"/>
        </w:rPr>
        <w:br/>
        <w:t>9</w:t>
      </w:r>
      <w:r w:rsidR="00850C7A" w:rsidRPr="00F20F56">
        <w:rPr>
          <w:b/>
          <w:bCs/>
          <w:sz w:val="24"/>
          <w:szCs w:val="24"/>
        </w:rPr>
        <w:t xml:space="preserve"> </w:t>
      </w:r>
      <w:r w:rsidR="00682B47">
        <w:rPr>
          <w:b/>
          <w:bCs/>
          <w:sz w:val="24"/>
          <w:szCs w:val="24"/>
        </w:rPr>
        <w:t>stycznia</w:t>
      </w:r>
      <w:r w:rsidR="00D10FF7">
        <w:rPr>
          <w:b/>
          <w:bCs/>
          <w:sz w:val="24"/>
          <w:szCs w:val="24"/>
        </w:rPr>
        <w:t xml:space="preserve"> </w:t>
      </w:r>
      <w:r w:rsidRPr="00E56AAA">
        <w:rPr>
          <w:b/>
          <w:bCs/>
          <w:sz w:val="24"/>
          <w:szCs w:val="24"/>
        </w:rPr>
        <w:t>202</w:t>
      </w:r>
      <w:r w:rsidR="00682B47">
        <w:rPr>
          <w:b/>
          <w:bCs/>
          <w:sz w:val="24"/>
          <w:szCs w:val="24"/>
        </w:rPr>
        <w:t>5</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9A4137">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9A4137">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9A4137">
      <w:pPr>
        <w:pStyle w:val="Akapitzlist"/>
        <w:numPr>
          <w:ilvl w:val="0"/>
          <w:numId w:val="7"/>
        </w:numPr>
        <w:spacing w:line="276" w:lineRule="auto"/>
        <w:ind w:left="426" w:hanging="426"/>
        <w:rPr>
          <w:sz w:val="24"/>
          <w:szCs w:val="24"/>
        </w:rPr>
      </w:pPr>
      <w:r w:rsidRPr="007E6F7D">
        <w:rPr>
          <w:sz w:val="24"/>
          <w:szCs w:val="24"/>
        </w:rPr>
        <w:t>zmiana Regulaminu wyboru projektów.</w:t>
      </w:r>
    </w:p>
    <w:p w14:paraId="4D620E07" w14:textId="77777777" w:rsidR="005D6447" w:rsidRDefault="005D6447" w:rsidP="005D6447">
      <w:pPr>
        <w:pStyle w:val="Akapitzlist"/>
        <w:spacing w:line="276" w:lineRule="auto"/>
        <w:ind w:left="426"/>
        <w:rPr>
          <w:sz w:val="24"/>
          <w:szCs w:val="24"/>
        </w:rPr>
      </w:pPr>
    </w:p>
    <w:p w14:paraId="377310C1" w14:textId="77777777" w:rsidR="00FC2770" w:rsidRPr="00676940" w:rsidRDefault="00FC2770" w:rsidP="005D6447">
      <w:pPr>
        <w:pStyle w:val="Nagwek1"/>
        <w:numPr>
          <w:ilvl w:val="0"/>
          <w:numId w:val="1"/>
        </w:numPr>
        <w:spacing w:before="120" w:after="120" w:line="276" w:lineRule="auto"/>
        <w:ind w:left="425" w:hanging="425"/>
        <w:rPr>
          <w:rFonts w:cstheme="minorHAnsi"/>
          <w:b/>
          <w:bCs/>
        </w:rPr>
      </w:pPr>
      <w:bookmarkStart w:id="56" w:name="_Toc166445093"/>
      <w:r w:rsidRPr="00676940">
        <w:rPr>
          <w:rFonts w:asciiTheme="minorHAnsi" w:hAnsiTheme="minorHAnsi" w:cstheme="minorHAnsi"/>
          <w:b/>
          <w:color w:val="000000" w:themeColor="text1"/>
        </w:rPr>
        <w:lastRenderedPageBreak/>
        <w:t>Forma komunikacji</w:t>
      </w:r>
      <w:bookmarkEnd w:id="56"/>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57" w:name="_Hlk156295161"/>
      <w:r w:rsidR="00BB0F51">
        <w:rPr>
          <w:b/>
          <w:sz w:val="24"/>
          <w:szCs w:val="24"/>
        </w:rPr>
        <w:t>Pismo przewodnie nie jest wymagane na etapie składania pierwotnej wersji wniosku.</w:t>
      </w:r>
    </w:p>
    <w:bookmarkEnd w:id="57"/>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32059897" w14:textId="77777777" w:rsidR="00671097" w:rsidRDefault="00671097" w:rsidP="00FC2770">
      <w:pPr>
        <w:spacing w:line="276" w:lineRule="auto"/>
        <w:rPr>
          <w:sz w:val="24"/>
          <w:szCs w:val="24"/>
        </w:rPr>
      </w:pP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przekazanie wezwania do uzupełnienia lub poprawienia wniosku o dofinansowanie projektu na etapie oceny formalnej lub merytorycznej za pośrednictwem poczty </w:t>
      </w:r>
      <w:r w:rsidRPr="0051304D">
        <w:rPr>
          <w:color w:val="000000" w:themeColor="text1"/>
          <w:sz w:val="24"/>
          <w:szCs w:val="24"/>
        </w:rPr>
        <w:lastRenderedPageBreak/>
        <w:t>elektronicznej e-mail (termin określony w wezwaniu liczy się od dnia następującego po dniu przekazania wezwania);</w:t>
      </w:r>
    </w:p>
    <w:p w14:paraId="444005BC" w14:textId="09ABBB4F" w:rsidR="00FC2770" w:rsidRPr="004157AE"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w:t>
      </w:r>
      <w:r w:rsidR="00830F27">
        <w:rPr>
          <w:color w:val="000000" w:themeColor="text1"/>
          <w:sz w:val="24"/>
          <w:szCs w:val="24"/>
        </w:rPr>
        <w:t>KPA.</w:t>
      </w:r>
    </w:p>
    <w:p w14:paraId="6728DF3A" w14:textId="77777777" w:rsidR="00FC2770"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79801CFC" w14:textId="77777777" w:rsidR="005D6447" w:rsidRPr="004157AE" w:rsidRDefault="005D6447" w:rsidP="00FC2770">
      <w:pPr>
        <w:spacing w:after="0" w:line="276" w:lineRule="auto"/>
        <w:rPr>
          <w:color w:val="000000" w:themeColor="text1"/>
          <w:sz w:val="24"/>
          <w:szCs w:val="24"/>
        </w:rPr>
      </w:pPr>
    </w:p>
    <w:p w14:paraId="2987459D"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58" w:name="_Toc166445094"/>
      <w:r w:rsidRPr="00676940">
        <w:rPr>
          <w:rFonts w:asciiTheme="minorHAnsi" w:hAnsiTheme="minorHAnsi" w:cstheme="minorHAnsi"/>
          <w:b/>
          <w:color w:val="000000" w:themeColor="text1"/>
        </w:rPr>
        <w:t>Ocena projektu i sposób wyboru projektów</w:t>
      </w:r>
      <w:bookmarkEnd w:id="58"/>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3C535052"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w:t>
      </w:r>
      <w:r w:rsidR="000A2FBD">
        <w:rPr>
          <w:sz w:val="24"/>
          <w:szCs w:val="24"/>
        </w:rPr>
        <w:t>–</w:t>
      </w:r>
      <w:r w:rsidRPr="001A7264">
        <w:rPr>
          <w:sz w:val="24"/>
          <w:szCs w:val="24"/>
        </w:rPr>
        <w:t xml:space="preserve"> ocena formalna trwa do </w:t>
      </w:r>
      <w:r w:rsidR="000A2FBD" w:rsidRPr="00F11729">
        <w:rPr>
          <w:sz w:val="24"/>
          <w:szCs w:val="24"/>
        </w:rPr>
        <w:t>10</w:t>
      </w:r>
      <w:r w:rsidRPr="00F11729">
        <w:rPr>
          <w:sz w:val="24"/>
          <w:szCs w:val="24"/>
        </w:rPr>
        <w:t>0</w:t>
      </w:r>
      <w:r w:rsidRPr="001A7264">
        <w:rPr>
          <w:sz w:val="24"/>
          <w:szCs w:val="24"/>
        </w:rPr>
        <w:t xml:space="preserve">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F2EAAEF"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0A2FBD">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lastRenderedPageBreak/>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27C2EBF3" w14:textId="77777777" w:rsidR="005D6447" w:rsidRDefault="005D6447" w:rsidP="00086CE2">
      <w:pPr>
        <w:spacing w:after="0" w:line="276" w:lineRule="auto"/>
        <w:rPr>
          <w:sz w:val="24"/>
          <w:szCs w:val="24"/>
        </w:rPr>
      </w:pPr>
    </w:p>
    <w:p w14:paraId="0886A20B"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59" w:name="_Toc166445095"/>
      <w:r w:rsidRPr="00676940">
        <w:rPr>
          <w:rFonts w:asciiTheme="minorHAnsi" w:hAnsiTheme="minorHAnsi" w:cstheme="minorHAnsi"/>
          <w:b/>
          <w:bCs/>
          <w:color w:val="auto"/>
        </w:rPr>
        <w:t>Zakres, w jakim możliwe jest uzupełnianie lub poprawianie wniosków</w:t>
      </w:r>
      <w:bookmarkEnd w:id="59"/>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Default="00086CE2" w:rsidP="00676940">
      <w:pPr>
        <w:rPr>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18E6A6FD" w14:textId="77777777" w:rsidR="005D6447" w:rsidRPr="00676940" w:rsidRDefault="005D6447" w:rsidP="00676940">
      <w:pPr>
        <w:rPr>
          <w:rFonts w:cstheme="minorHAnsi"/>
          <w:b/>
          <w:bCs/>
          <w:sz w:val="24"/>
          <w:szCs w:val="24"/>
        </w:rPr>
      </w:pPr>
    </w:p>
    <w:p w14:paraId="3BED40B5" w14:textId="0700D540"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60" w:name="_Toc166445096"/>
      <w:r w:rsidRPr="00676940">
        <w:rPr>
          <w:rFonts w:asciiTheme="minorHAnsi" w:hAnsiTheme="minorHAnsi" w:cstheme="minorHAnsi"/>
          <w:b/>
          <w:bCs/>
          <w:color w:val="auto"/>
        </w:rPr>
        <w:t>Rozstrzygnięcie w zakresie wyboru projektu do dofinansowania</w:t>
      </w:r>
      <w:bookmarkEnd w:id="60"/>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9A4137">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t>
      </w:r>
      <w:r w:rsidRPr="00567A85">
        <w:rPr>
          <w:sz w:val="24"/>
          <w:szCs w:val="24"/>
        </w:rPr>
        <w:lastRenderedPageBreak/>
        <w:t>(wskazany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9A4137">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6A5FB2D5" w14:textId="77777777" w:rsidR="005D6447" w:rsidRDefault="005D6447" w:rsidP="005D6447">
      <w:pPr>
        <w:pStyle w:val="Akapitzlist"/>
        <w:spacing w:after="0" w:line="276" w:lineRule="auto"/>
        <w:ind w:left="426"/>
        <w:rPr>
          <w:sz w:val="24"/>
          <w:szCs w:val="24"/>
        </w:rPr>
      </w:pPr>
    </w:p>
    <w:p w14:paraId="31951247"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61" w:name="_Toc166445097"/>
      <w:r w:rsidRPr="00676940">
        <w:rPr>
          <w:rFonts w:asciiTheme="minorHAnsi" w:hAnsiTheme="minorHAnsi" w:cstheme="minorHAnsi"/>
          <w:b/>
          <w:color w:val="000000" w:themeColor="text1"/>
        </w:rPr>
        <w:t>Orientacyjny termin przeprowadzenia oceny projektów/ rozstrzygnięcia postępowania</w:t>
      </w:r>
      <w:bookmarkEnd w:id="61"/>
    </w:p>
    <w:p w14:paraId="3EEB0E00" w14:textId="2FAE14F5" w:rsidR="00086CE2" w:rsidRDefault="00086CE2" w:rsidP="00676940">
      <w:pPr>
        <w:pStyle w:val="Akapitzlist"/>
        <w:spacing w:after="0" w:line="276" w:lineRule="auto"/>
        <w:ind w:left="426"/>
        <w:contextualSpacing w:val="0"/>
        <w:rPr>
          <w:rFonts w:cstheme="minorHAnsi"/>
          <w:bCs/>
          <w:sz w:val="24"/>
          <w:szCs w:val="24"/>
        </w:rPr>
      </w:pPr>
      <w:r w:rsidRPr="0042179A">
        <w:rPr>
          <w:rFonts w:cstheme="minorHAnsi"/>
          <w:bCs/>
          <w:color w:val="000000" w:themeColor="text1"/>
          <w:sz w:val="24"/>
          <w:szCs w:val="24"/>
        </w:rPr>
        <w:t xml:space="preserve">- </w:t>
      </w:r>
      <w:r w:rsidR="000711F1">
        <w:rPr>
          <w:rFonts w:cstheme="minorHAnsi"/>
          <w:bCs/>
          <w:color w:val="000000" w:themeColor="text1"/>
          <w:sz w:val="24"/>
          <w:szCs w:val="24"/>
        </w:rPr>
        <w:t>lipiec/</w:t>
      </w:r>
      <w:r w:rsidR="00416D99">
        <w:rPr>
          <w:rFonts w:cstheme="minorHAnsi"/>
          <w:bCs/>
          <w:sz w:val="24"/>
          <w:szCs w:val="24"/>
        </w:rPr>
        <w:t>sierpień</w:t>
      </w:r>
      <w:r w:rsidR="009636AB">
        <w:rPr>
          <w:rFonts w:cstheme="minorHAnsi"/>
          <w:bCs/>
          <w:sz w:val="24"/>
          <w:szCs w:val="24"/>
        </w:rPr>
        <w:t xml:space="preserve"> </w:t>
      </w:r>
      <w:r w:rsidRPr="002561E1">
        <w:rPr>
          <w:rFonts w:cstheme="minorHAnsi"/>
          <w:bCs/>
          <w:sz w:val="24"/>
          <w:szCs w:val="24"/>
        </w:rPr>
        <w:t>202</w:t>
      </w:r>
      <w:r w:rsidR="001C2BA4">
        <w:rPr>
          <w:rFonts w:cstheme="minorHAnsi"/>
          <w:bCs/>
          <w:sz w:val="24"/>
          <w:szCs w:val="24"/>
        </w:rPr>
        <w:t>5</w:t>
      </w:r>
      <w:r w:rsidRPr="002561E1">
        <w:rPr>
          <w:rFonts w:cstheme="minorHAnsi"/>
          <w:bCs/>
          <w:sz w:val="24"/>
          <w:szCs w:val="24"/>
        </w:rPr>
        <w:t xml:space="preserve"> r.</w:t>
      </w:r>
    </w:p>
    <w:p w14:paraId="3BE3BD38" w14:textId="77777777" w:rsidR="005D6447" w:rsidRPr="002561E1" w:rsidRDefault="005D6447" w:rsidP="00676940">
      <w:pPr>
        <w:pStyle w:val="Akapitzlist"/>
        <w:spacing w:after="0" w:line="276" w:lineRule="auto"/>
        <w:ind w:left="426"/>
        <w:contextualSpacing w:val="0"/>
        <w:rPr>
          <w:bCs/>
          <w:sz w:val="24"/>
          <w:szCs w:val="24"/>
        </w:rPr>
      </w:pPr>
    </w:p>
    <w:p w14:paraId="259A0EB4" w14:textId="2858F28E" w:rsidR="00914630" w:rsidRPr="00676940" w:rsidRDefault="003414EC" w:rsidP="005D6447">
      <w:pPr>
        <w:pStyle w:val="Nagwek1"/>
        <w:numPr>
          <w:ilvl w:val="0"/>
          <w:numId w:val="1"/>
        </w:numPr>
        <w:spacing w:before="120" w:after="120" w:line="276" w:lineRule="auto"/>
        <w:ind w:left="425" w:hanging="425"/>
        <w:rPr>
          <w:rFonts w:cstheme="minorHAnsi"/>
          <w:b/>
          <w:bCs/>
        </w:rPr>
      </w:pPr>
      <w:bookmarkStart w:id="62" w:name="_Toc166445098"/>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w:t>
      </w:r>
      <w:r w:rsidR="00C115B5">
        <w:rPr>
          <w:rFonts w:asciiTheme="minorHAnsi" w:eastAsiaTheme="minorHAnsi" w:hAnsiTheme="minorHAnsi" w:cstheme="minorHAnsi"/>
          <w:b/>
          <w:color w:val="000000" w:themeColor="text1"/>
        </w:rPr>
        <w:t>p</w:t>
      </w:r>
      <w:r w:rsidR="00914630">
        <w:rPr>
          <w:rFonts w:asciiTheme="minorHAnsi" w:eastAsiaTheme="minorHAnsi" w:hAnsiTheme="minorHAnsi" w:cstheme="minorHAnsi"/>
          <w:b/>
          <w:color w:val="000000" w:themeColor="text1"/>
        </w:rPr>
        <w:t>rojektu</w:t>
      </w:r>
      <w:bookmarkEnd w:id="62"/>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67D2F2EA" w14:textId="77777777" w:rsidR="005D6447" w:rsidRPr="00676940" w:rsidRDefault="005D6447" w:rsidP="00676940">
      <w:pPr>
        <w:spacing w:after="40" w:line="276" w:lineRule="auto"/>
        <w:rPr>
          <w:sz w:val="24"/>
          <w:szCs w:val="24"/>
        </w:rPr>
      </w:pPr>
    </w:p>
    <w:p w14:paraId="29AB7EFB" w14:textId="41B1CAD5" w:rsidR="00914630" w:rsidRPr="002C7910" w:rsidRDefault="00914630" w:rsidP="005D6447">
      <w:pPr>
        <w:pStyle w:val="Nagwek1"/>
        <w:numPr>
          <w:ilvl w:val="0"/>
          <w:numId w:val="1"/>
        </w:numPr>
        <w:spacing w:before="120" w:after="120" w:line="276" w:lineRule="auto"/>
        <w:ind w:left="425" w:hanging="425"/>
        <w:rPr>
          <w:rFonts w:cstheme="minorHAnsi"/>
          <w:b/>
          <w:bCs/>
        </w:rPr>
      </w:pPr>
      <w:bookmarkStart w:id="63" w:name="_Toc135394670"/>
      <w:bookmarkStart w:id="64" w:name="_Toc137705031"/>
      <w:bookmarkStart w:id="65" w:name="_Toc139952935"/>
      <w:bookmarkStart w:id="66" w:name="_Toc166445099"/>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3"/>
      <w:bookmarkEnd w:id="64"/>
      <w:bookmarkEnd w:id="65"/>
      <w:bookmarkEnd w:id="66"/>
    </w:p>
    <w:p w14:paraId="3333273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lastRenderedPageBreak/>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67" w:name="_Toc503858639"/>
      <w:bookmarkStart w:id="68" w:name="_Toc54688607"/>
      <w:bookmarkStart w:id="69" w:name="_Toc130474821"/>
      <w:r w:rsidRPr="0037443F">
        <w:rPr>
          <w:rFonts w:ascii="Calibri" w:eastAsia="Calibri" w:hAnsi="Calibri" w:cs="Calibri"/>
          <w:sz w:val="24"/>
          <w:szCs w:val="24"/>
        </w:rPr>
        <w:t>Sekcja 9. Zgodność projektu z politykami horyzontalnymi UE</w:t>
      </w:r>
      <w:bookmarkStart w:id="70" w:name="_Toc503858641"/>
      <w:bookmarkStart w:id="71" w:name="_Toc54688609"/>
      <w:bookmarkStart w:id="72" w:name="_Toc130474823"/>
      <w:bookmarkEnd w:id="67"/>
      <w:bookmarkEnd w:id="68"/>
      <w:bookmarkEnd w:id="69"/>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0"/>
      <w:bookmarkEnd w:id="71"/>
      <w:bookmarkEnd w:id="72"/>
      <w:r w:rsidRPr="0037443F">
        <w:rPr>
          <w:rFonts w:ascii="Calibri" w:eastAsia="Calibri" w:hAnsi="Calibri" w:cs="Calibri"/>
          <w:sz w:val="24"/>
          <w:szCs w:val="24"/>
        </w:rPr>
        <w:t>).</w:t>
      </w:r>
    </w:p>
    <w:p w14:paraId="03277847" w14:textId="6D0A2CFA"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9379C53"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15751829"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www)</w:t>
      </w:r>
      <w:r w:rsidR="00C115B5">
        <w:rPr>
          <w:rFonts w:ascii="Calibri" w:eastAsia="Calibri" w:hAnsi="Calibri" w:cs="Calibri"/>
          <w:sz w:val="24"/>
          <w:szCs w:val="24"/>
        </w:rPr>
        <w:t>,</w:t>
      </w:r>
      <w:r w:rsidR="00B915E2" w:rsidRPr="0037443F">
        <w:rPr>
          <w:rFonts w:ascii="Calibri" w:eastAsia="Calibri" w:hAnsi="Calibri" w:cs="Calibri"/>
          <w:sz w:val="24"/>
          <w:szCs w:val="24"/>
        </w:rPr>
        <w:t xml:space="preserve">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434D571"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komunikacja na linii beneficjent-uczestnik/czka projektu jest zapewniona przez co najmniej dwa sposoby komunikacji</w:t>
      </w:r>
      <w:r w:rsidR="00C115B5">
        <w:rPr>
          <w:rFonts w:ascii="Calibri" w:eastAsia="Calibri" w:hAnsi="Calibri" w:cs="Calibri"/>
          <w:sz w:val="24"/>
          <w:szCs w:val="24"/>
        </w:rPr>
        <w:t>,</w:t>
      </w:r>
      <w:r w:rsidRPr="0037443F">
        <w:rPr>
          <w:rFonts w:ascii="Calibri" w:eastAsia="Calibri" w:hAnsi="Calibri" w:cs="Calibri"/>
          <w:sz w:val="24"/>
          <w:szCs w:val="24"/>
        </w:rPr>
        <w:t xml:space="preserve"> np. z wykorzystaniem telefonu, e-mail, spotkania osobistego lub przez osobę trzecią</w:t>
      </w:r>
      <w:r w:rsidR="00C115B5">
        <w:rPr>
          <w:rFonts w:ascii="Calibri" w:eastAsia="Calibri" w:hAnsi="Calibri" w:cs="Calibri"/>
          <w:sz w:val="24"/>
          <w:szCs w:val="24"/>
        </w:rPr>
        <w:t>,</w:t>
      </w:r>
      <w:r w:rsidRPr="0037443F">
        <w:rPr>
          <w:rFonts w:ascii="Calibri" w:eastAsia="Calibri" w:hAnsi="Calibri" w:cs="Calibri"/>
          <w:sz w:val="24"/>
          <w:szCs w:val="24"/>
        </w:rPr>
        <w:t xml:space="preserve"> np. opiekuna, członka rodziny; </w:t>
      </w:r>
    </w:p>
    <w:p w14:paraId="32C99031" w14:textId="1109F555"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C115B5">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3E09B47C"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t>
      </w:r>
      <w:r w:rsidR="00C115B5">
        <w:rPr>
          <w:rFonts w:ascii="Calibri" w:eastAsia="Calibri" w:hAnsi="Calibri" w:cs="Calibri"/>
          <w:sz w:val="24"/>
          <w:szCs w:val="24"/>
        </w:rPr>
        <w:br/>
      </w:r>
      <w:r w:rsidRPr="0037443F">
        <w:rPr>
          <w:rFonts w:ascii="Calibri" w:eastAsia="Calibri" w:hAnsi="Calibri" w:cs="Calibri"/>
          <w:sz w:val="24"/>
          <w:szCs w:val="24"/>
        </w:rPr>
        <w:t>w pełni spełnia kryteria dostępności lub jest im najbliższe przy zastosowaniu racjonalnych usprawnień</w:t>
      </w:r>
      <w:r w:rsidR="00C115B5">
        <w:rPr>
          <w:rFonts w:ascii="Calibri" w:eastAsia="Calibri" w:hAnsi="Calibri" w:cs="Calibri"/>
          <w:sz w:val="24"/>
          <w:szCs w:val="24"/>
        </w:rPr>
        <w:t>,</w:t>
      </w:r>
      <w:r w:rsidRPr="0037443F">
        <w:rPr>
          <w:rFonts w:ascii="Calibri" w:eastAsia="Calibri" w:hAnsi="Calibri" w:cs="Calibri"/>
          <w:sz w:val="24"/>
          <w:szCs w:val="24"/>
        </w:rPr>
        <w:t xml:space="preserve"> np. zastosowanie tymczasowych platform czy zapewnienie usługi asystenckiej. </w:t>
      </w:r>
    </w:p>
    <w:p w14:paraId="21E74139"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1D008004"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w:t>
      </w:r>
      <w:r w:rsidR="0062218A">
        <w:rPr>
          <w:rFonts w:ascii="Calibri" w:eastAsia="Calibri" w:hAnsi="Calibri" w:cs="Calibri"/>
          <w:sz w:val="24"/>
          <w:szCs w:val="24"/>
        </w:rPr>
        <w:t>u</w:t>
      </w:r>
      <w:r w:rsidRPr="0037443F">
        <w:rPr>
          <w:rFonts w:ascii="Calibri" w:eastAsia="Calibri" w:hAnsi="Calibri" w:cs="Calibri"/>
          <w:sz w:val="24"/>
          <w:szCs w:val="24"/>
        </w:rPr>
        <w:t>czestnikowi/</w:t>
      </w:r>
      <w:r w:rsidR="0062218A">
        <w:rPr>
          <w:rFonts w:ascii="Calibri" w:eastAsia="Calibri" w:hAnsi="Calibri" w:cs="Calibri"/>
          <w:sz w:val="24"/>
          <w:szCs w:val="24"/>
        </w:rPr>
        <w:t xml:space="preserve"> </w:t>
      </w:r>
      <w:r w:rsidRPr="0037443F">
        <w:rPr>
          <w:rFonts w:ascii="Calibri" w:eastAsia="Calibri" w:hAnsi="Calibri" w:cs="Calibri"/>
          <w:sz w:val="24"/>
          <w:szCs w:val="24"/>
        </w:rPr>
        <w:t xml:space="preserve">uczestniczce (lub członkowi/członkini personelu) projektu, jest możliwe zastosowanie MRU. </w:t>
      </w:r>
    </w:p>
    <w:p w14:paraId="769BF18C"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603E263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w:t>
      </w:r>
      <w:r w:rsidR="00F11729">
        <w:rPr>
          <w:rFonts w:ascii="Calibri" w:eastAsia="Calibri" w:hAnsi="Calibri" w:cs="Calibri"/>
          <w:sz w:val="24"/>
          <w:szCs w:val="24"/>
        </w:rPr>
        <w:br/>
      </w:r>
      <w:r w:rsidRPr="0037443F">
        <w:rPr>
          <w:rFonts w:ascii="Calibri" w:eastAsia="Calibri" w:hAnsi="Calibri" w:cs="Calibri"/>
          <w:sz w:val="24"/>
          <w:szCs w:val="24"/>
        </w:rPr>
        <w:t xml:space="preserve">2021 r. ustanawiające wspólne przepisy dotyczące Europejskiego Funduszu Rozwoju Regionalnego, Europejskiego Funduszu Społecznego Plus, Funduszu Spójności, Funduszu na rzecz Sprawiedliwej Transformacji oraz Europejskiego Funduszu Morskiego, </w:t>
      </w:r>
      <w:r w:rsidRPr="0037443F">
        <w:rPr>
          <w:rFonts w:ascii="Calibri" w:eastAsia="Calibri" w:hAnsi="Calibri" w:cs="Calibri"/>
          <w:sz w:val="24"/>
          <w:szCs w:val="24"/>
        </w:rPr>
        <w:lastRenderedPageBreak/>
        <w:t xml:space="preserve">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62218A">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3" w:name="_Hlk131419071"/>
    </w:p>
    <w:p w14:paraId="702079D8" w14:textId="4FE7D1B3"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27C98BA0" w:rsidR="00914630" w:rsidRPr="002C7910" w:rsidRDefault="002C7910" w:rsidP="009A4137">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 xml:space="preserve">Procedurą składania zgłoszeń o podejrzeniu niezgodności z Kartą praw </w:t>
      </w:r>
      <w:r w:rsidR="0062218A">
        <w:rPr>
          <w:rFonts w:ascii="Calibri" w:eastAsia="Calibri" w:hAnsi="Calibri" w:cs="Calibri"/>
          <w:sz w:val="24"/>
          <w:szCs w:val="24"/>
        </w:rPr>
        <w:t>p</w:t>
      </w:r>
      <w:r w:rsidRPr="00886CC4">
        <w:rPr>
          <w:rFonts w:ascii="Calibri" w:eastAsia="Calibri" w:hAnsi="Calibri" w:cs="Calibri"/>
          <w:sz w:val="24"/>
          <w:szCs w:val="24"/>
        </w:rPr>
        <w:t>odstawowych do praktyki wdrażania programu regionalnego Fundusze Europejskie dla Opolskiego 2021-2027 – dokument przyjęty uchwałą ZWO.</w:t>
      </w:r>
    </w:p>
    <w:bookmarkEnd w:id="73"/>
    <w:p w14:paraId="50AD70B7"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79FE3B49" w:rsidR="002C7910" w:rsidRPr="00904EAB" w:rsidRDefault="002C791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 xml:space="preserve">W dniu 6 listopada 2023 r. Zarząd Województwa Opolskiego przyjął uchwałę nr 10875/2023 w sprawie przyjęcia dokumentu pn. Procedura składania zgłoszeń </w:t>
      </w:r>
      <w:r w:rsidR="0062218A">
        <w:rPr>
          <w:rFonts w:ascii="Calibri" w:eastAsia="Calibri" w:hAnsi="Calibri" w:cs="Calibri"/>
          <w:sz w:val="24"/>
          <w:szCs w:val="24"/>
        </w:rPr>
        <w:br/>
      </w:r>
      <w:r w:rsidRPr="00904EAB">
        <w:rPr>
          <w:rFonts w:ascii="Calibri" w:eastAsia="Calibri" w:hAnsi="Calibri" w:cs="Calibri"/>
          <w:sz w:val="24"/>
          <w:szCs w:val="24"/>
        </w:rPr>
        <w:t>o podejrzeniu niezgodności z Kartą praw podstawowych do praktyki wdrażania programu regionalnego Fundusze Europejskie dla Opolskiego 2021-2027. Dokument dostępny jest na stronie FEO 2021-2027.</w:t>
      </w:r>
    </w:p>
    <w:p w14:paraId="660164B6" w14:textId="74F0E877" w:rsidR="00914630" w:rsidRDefault="00914630" w:rsidP="009A4137">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w:t>
      </w:r>
      <w:r w:rsidRPr="0037443F">
        <w:rPr>
          <w:rFonts w:ascii="Calibri" w:eastAsia="Calibri" w:hAnsi="Calibri" w:cs="Calibri"/>
          <w:sz w:val="24"/>
          <w:szCs w:val="24"/>
        </w:rPr>
        <w:lastRenderedPageBreak/>
        <w:t>będą mogły otrzymać projekty, których zapisy nie są w sprzeczności z wymogami tego dokumentu lub wymagania są neutralne wobec zakresu i zawartości projektu.</w:t>
      </w:r>
    </w:p>
    <w:p w14:paraId="3FDDC191" w14:textId="0DA6DBFD" w:rsidR="00904EAB" w:rsidRPr="00144984" w:rsidRDefault="00904EAB" w:rsidP="009A4137">
      <w:pPr>
        <w:numPr>
          <w:ilvl w:val="0"/>
          <w:numId w:val="21"/>
        </w:numPr>
        <w:spacing w:after="0" w:line="276" w:lineRule="auto"/>
        <w:ind w:left="426" w:hanging="426"/>
        <w:contextualSpacing/>
        <w:rPr>
          <w:rFonts w:ascii="Calibri" w:eastAsia="Calibri" w:hAnsi="Calibri" w:cs="Calibri"/>
          <w:sz w:val="24"/>
          <w:szCs w:val="24"/>
        </w:rPr>
      </w:pPr>
      <w:bookmarkStart w:id="74" w:name="_Hlk165885999"/>
      <w:r w:rsidRPr="00144984">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bookmarkEnd w:id="74"/>
    <w:p w14:paraId="40F4C2CE" w14:textId="1EB04342" w:rsidR="00086CE2" w:rsidRDefault="00086CE2" w:rsidP="00676940">
      <w:pPr>
        <w:rPr>
          <w:rFonts w:cstheme="minorHAnsi"/>
          <w:b/>
          <w:bCs/>
        </w:rPr>
      </w:pPr>
    </w:p>
    <w:p w14:paraId="3A63E4DD" w14:textId="7D60700A" w:rsidR="00C81003" w:rsidRPr="00676940" w:rsidRDefault="00C81003" w:rsidP="005D6447">
      <w:pPr>
        <w:pStyle w:val="Nagwek1"/>
        <w:numPr>
          <w:ilvl w:val="0"/>
          <w:numId w:val="1"/>
        </w:numPr>
        <w:spacing w:before="120" w:after="120" w:line="276" w:lineRule="auto"/>
        <w:ind w:left="425" w:hanging="425"/>
        <w:rPr>
          <w:rFonts w:cstheme="minorHAnsi"/>
          <w:b/>
          <w:bCs/>
        </w:rPr>
      </w:pPr>
      <w:bookmarkStart w:id="75" w:name="_Toc166445100"/>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75"/>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7C225681"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w:t>
      </w:r>
      <w:r w:rsidR="0062218A">
        <w:rPr>
          <w:sz w:val="24"/>
          <w:szCs w:val="24"/>
        </w:rPr>
        <w:t>e</w:t>
      </w:r>
      <w:r w:rsidRPr="00C828FE">
        <w:rPr>
          <w:sz w:val="24"/>
          <w:szCs w:val="24"/>
        </w:rPr>
        <w:t xml:space="preserve">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7539166B" w14:textId="77777777" w:rsidR="0062218A" w:rsidRPr="0051304D" w:rsidRDefault="0062218A"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9A4137">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9A4137">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9A4137">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lastRenderedPageBreak/>
        <w:t>IZ zastrzega sobie też prawo żądania dodatkowych dokumentów/wyjaśnień w związku ze specyfiką danego projektu.</w:t>
      </w:r>
    </w:p>
    <w:p w14:paraId="74D4BBC9" w14:textId="77777777" w:rsidR="00C81003" w:rsidRPr="00676940" w:rsidRDefault="00C81003" w:rsidP="005D6447">
      <w:pPr>
        <w:pStyle w:val="Nagwek1"/>
        <w:numPr>
          <w:ilvl w:val="0"/>
          <w:numId w:val="1"/>
        </w:numPr>
        <w:spacing w:before="120" w:after="120" w:line="276" w:lineRule="auto"/>
        <w:ind w:left="425" w:hanging="425"/>
        <w:rPr>
          <w:rFonts w:cstheme="minorHAnsi"/>
          <w:b/>
          <w:bCs/>
        </w:rPr>
      </w:pPr>
      <w:bookmarkStart w:id="76" w:name="_Toc166445101"/>
      <w:r w:rsidRPr="00676940">
        <w:rPr>
          <w:rFonts w:asciiTheme="minorHAnsi" w:eastAsiaTheme="minorHAnsi" w:hAnsiTheme="minorHAnsi" w:cstheme="minorHAnsi"/>
          <w:b/>
          <w:color w:val="000000" w:themeColor="text1"/>
        </w:rPr>
        <w:t>Kryteria wyboru projektów wraz z podaniem ich znaczenia</w:t>
      </w:r>
      <w:bookmarkEnd w:id="76"/>
    </w:p>
    <w:p w14:paraId="2035162B" w14:textId="77A6B372"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77" w:name="_Hlk146613026"/>
      <w:r w:rsidR="0062218A">
        <w:rPr>
          <w:rFonts w:cstheme="minorHAnsi"/>
          <w:i/>
          <w:iCs/>
          <w:sz w:val="24"/>
          <w:szCs w:val="24"/>
        </w:rPr>
        <w:t>10.</w:t>
      </w:r>
      <w:r w:rsidR="00214701">
        <w:rPr>
          <w:rFonts w:cstheme="minorHAnsi"/>
          <w:i/>
          <w:iCs/>
          <w:sz w:val="24"/>
          <w:szCs w:val="24"/>
        </w:rPr>
        <w:t>5</w:t>
      </w:r>
      <w:r w:rsidR="005D036B" w:rsidRPr="00193F2D">
        <w:rPr>
          <w:rFonts w:cstheme="minorHAnsi"/>
          <w:i/>
          <w:iCs/>
          <w:sz w:val="24"/>
          <w:szCs w:val="24"/>
        </w:rPr>
        <w:t xml:space="preserve"> </w:t>
      </w:r>
      <w:bookmarkEnd w:id="77"/>
      <w:r w:rsidR="0062218A">
        <w:rPr>
          <w:rFonts w:cstheme="minorHAnsi"/>
          <w:i/>
          <w:iCs/>
          <w:sz w:val="24"/>
          <w:szCs w:val="24"/>
        </w:rPr>
        <w:t xml:space="preserve">Rewitalizacja na obszarach </w:t>
      </w:r>
      <w:r w:rsidR="00214701">
        <w:rPr>
          <w:rFonts w:cstheme="minorHAnsi"/>
          <w:i/>
          <w:iCs/>
          <w:sz w:val="24"/>
          <w:szCs w:val="24"/>
        </w:rPr>
        <w:t xml:space="preserve">innych niż </w:t>
      </w:r>
      <w:r w:rsidR="0062218A">
        <w:rPr>
          <w:rFonts w:cstheme="minorHAnsi"/>
          <w:i/>
          <w:iCs/>
          <w:sz w:val="24"/>
          <w:szCs w:val="24"/>
        </w:rPr>
        <w:t>miejski</w:t>
      </w:r>
      <w:r w:rsidR="00214701">
        <w:rPr>
          <w:rFonts w:cstheme="minorHAnsi"/>
          <w:i/>
          <w:iCs/>
          <w:sz w:val="24"/>
          <w:szCs w:val="24"/>
        </w:rPr>
        <w:t>e</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5A572309"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9A4137">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9A4137">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8C0D83">
        <w:rPr>
          <w:bCs/>
          <w:sz w:val="24"/>
          <w:szCs w:val="24"/>
        </w:rPr>
        <w:t>;</w:t>
      </w:r>
    </w:p>
    <w:p w14:paraId="7B2A8F16" w14:textId="77777777" w:rsidR="00C81003" w:rsidRPr="00640113" w:rsidRDefault="00C81003" w:rsidP="009A4137">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6DE11242" w:rsidR="004C44AB" w:rsidRPr="004C44AB" w:rsidRDefault="004C44AB" w:rsidP="004C44AB">
      <w:pPr>
        <w:spacing w:after="120" w:line="276" w:lineRule="auto"/>
        <w:rPr>
          <w:rFonts w:ascii="Calibri" w:eastAsia="Times New Roman" w:hAnsi="Calibri" w:cs="Times New Roman"/>
          <w:sz w:val="24"/>
          <w:szCs w:val="24"/>
          <w:lang w:eastAsia="pl-PL"/>
        </w:rPr>
      </w:pPr>
      <w:bookmarkStart w:id="78"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w:t>
      </w:r>
      <w:r w:rsidR="00B65829">
        <w:rPr>
          <w:rFonts w:ascii="Calibri" w:eastAsia="Times New Roman" w:hAnsi="Calibri" w:cs="Times New Roman"/>
          <w:sz w:val="24"/>
          <w:szCs w:val="24"/>
          <w:lang w:eastAsia="pl-PL"/>
        </w:rPr>
        <w:br/>
      </w:r>
      <w:r w:rsidRPr="004C44AB">
        <w:rPr>
          <w:rFonts w:ascii="Calibri" w:eastAsia="Times New Roman" w:hAnsi="Calibri" w:cs="Times New Roman"/>
          <w:sz w:val="24"/>
          <w:szCs w:val="24"/>
          <w:lang w:eastAsia="pl-PL"/>
        </w:rPr>
        <w:t xml:space="preserve">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DBD42A6" w14:textId="5452F5F1" w:rsidR="00D81388"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61919EC3" w14:textId="0DB200EF" w:rsidR="00D81388" w:rsidRPr="00277EF1" w:rsidRDefault="00D81388" w:rsidP="00D81388">
      <w:pPr>
        <w:spacing w:before="120" w:after="120" w:line="276" w:lineRule="auto"/>
        <w:rPr>
          <w:rFonts w:ascii="Calibri" w:eastAsia="Calibri" w:hAnsi="Calibri" w:cs="Times New Roman"/>
          <w:iCs/>
          <w:sz w:val="24"/>
          <w:szCs w:val="24"/>
          <w:lang w:eastAsia="pl-PL"/>
        </w:rPr>
      </w:pPr>
      <w:bookmarkStart w:id="79" w:name="_Hlk166150462"/>
      <w:r w:rsidRPr="00277EF1">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0" w:name="_Hlk166146331"/>
      <w:r w:rsidRPr="00277EF1">
        <w:rPr>
          <w:rFonts w:ascii="Calibri" w:eastAsia="Calibri" w:hAnsi="Calibri" w:cs="Calibri"/>
          <w:iCs/>
          <w:color w:val="000000"/>
          <w:sz w:val="24"/>
          <w:szCs w:val="24"/>
          <w:lang w:eastAsia="pl-PL"/>
        </w:rPr>
        <w:t>liście ex aequo</w:t>
      </w:r>
      <w:r w:rsidR="009A68FC" w:rsidRPr="00277EF1">
        <w:rPr>
          <w:rFonts w:ascii="Calibri" w:eastAsia="Calibri" w:hAnsi="Calibri" w:cs="Calibri"/>
          <w:iCs/>
          <w:color w:val="000000"/>
          <w:sz w:val="24"/>
          <w:szCs w:val="24"/>
          <w:lang w:eastAsia="pl-PL"/>
        </w:rPr>
        <w:t xml:space="preserve"> </w:t>
      </w:r>
      <w:bookmarkEnd w:id="80"/>
      <w:r w:rsidR="009A68FC" w:rsidRPr="00277EF1">
        <w:rPr>
          <w:rFonts w:ascii="Calibri" w:eastAsia="Calibri" w:hAnsi="Calibri" w:cs="Calibri"/>
          <w:iCs/>
          <w:color w:val="000000"/>
          <w:sz w:val="24"/>
          <w:szCs w:val="24"/>
          <w:lang w:eastAsia="pl-PL"/>
        </w:rPr>
        <w:t>- przy czym ze względu na zasadę równego traktowania wnioskodawców, wybór projektów musi objąć wszystkie projekty</w:t>
      </w:r>
      <w:r w:rsidR="00A15BCC" w:rsidRPr="00277EF1">
        <w:rPr>
          <w:rFonts w:ascii="Calibri" w:eastAsia="Calibri" w:hAnsi="Calibri" w:cs="Calibri"/>
          <w:iCs/>
          <w:color w:val="000000"/>
          <w:sz w:val="24"/>
          <w:szCs w:val="24"/>
          <w:lang w:eastAsia="pl-PL"/>
        </w:rPr>
        <w:t xml:space="preserve"> znajdujące się ex aequo na ww. liście.</w:t>
      </w:r>
    </w:p>
    <w:bookmarkEnd w:id="79"/>
    <w:bookmarkEnd w:id="78"/>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Default="004C44AB" w:rsidP="004C44AB">
      <w:pPr>
        <w:spacing w:after="120" w:line="276" w:lineRule="auto"/>
        <w:rPr>
          <w:rFonts w:eastAsia="Calibri" w:cstheme="minorHAnsi"/>
          <w:sz w:val="24"/>
          <w:szCs w:val="24"/>
        </w:rPr>
      </w:pPr>
      <w:r>
        <w:rPr>
          <w:rFonts w:eastAsia="Calibri" w:cstheme="minorHAnsi"/>
          <w:sz w:val="24"/>
          <w:szCs w:val="24"/>
        </w:rPr>
        <w:lastRenderedPageBreak/>
        <w:t>o dofinansowanie projektu weryfikowane będą na podstawie dokumentów poświadczających ich spełnienie na etapie realizacji projektu oraz podczas kontroli.</w:t>
      </w:r>
    </w:p>
    <w:p w14:paraId="200A3884" w14:textId="6E866C27" w:rsidR="00125CED" w:rsidRPr="00125CED" w:rsidRDefault="00125CED" w:rsidP="00125CED">
      <w:pPr>
        <w:spacing w:after="120" w:line="276" w:lineRule="auto"/>
        <w:rPr>
          <w:rFonts w:ascii="Calibri" w:eastAsia="Calibri" w:hAnsi="Calibri" w:cs="Arial"/>
          <w:b/>
          <w:bCs/>
          <w:sz w:val="24"/>
          <w:szCs w:val="24"/>
          <w:lang w:eastAsia="pl-PL"/>
        </w:rPr>
      </w:pPr>
      <w:bookmarkStart w:id="81" w:name="_Hlk166150500"/>
      <w:bookmarkStart w:id="82" w:name="_Hlk166151542"/>
      <w:r w:rsidRPr="00125CED">
        <w:rPr>
          <w:rFonts w:ascii="Calibri" w:eastAsia="Calibri" w:hAnsi="Calibri" w:cs="Arial"/>
          <w:b/>
          <w:bCs/>
          <w:sz w:val="24"/>
          <w:szCs w:val="24"/>
          <w:lang w:eastAsia="pl-PL"/>
        </w:rPr>
        <w:t>Kryteria bezwzględne obowiązują przez cały okres realizacji projektu</w:t>
      </w:r>
      <w:r w:rsidR="00B65829">
        <w:rPr>
          <w:rFonts w:ascii="Calibri" w:eastAsia="Calibri" w:hAnsi="Calibri" w:cs="Arial"/>
          <w:b/>
          <w:bCs/>
          <w:sz w:val="24"/>
          <w:szCs w:val="24"/>
          <w:lang w:eastAsia="pl-PL"/>
        </w:rPr>
        <w:t>,</w:t>
      </w:r>
      <w:r w:rsidRPr="00125CED">
        <w:rPr>
          <w:rFonts w:ascii="Calibri" w:eastAsia="Calibri" w:hAnsi="Calibri" w:cs="Arial"/>
          <w:b/>
          <w:bCs/>
          <w:sz w:val="24"/>
          <w:szCs w:val="24"/>
          <w:lang w:eastAsia="pl-PL"/>
        </w:rPr>
        <w:t xml:space="preserve"> a ich niespełnienie skutkuje uznaniem wydatków kwalifikowalnych w 100% za niekwalifikowalne.</w:t>
      </w:r>
    </w:p>
    <w:p w14:paraId="4326D933" w14:textId="77777777" w:rsidR="00125CED" w:rsidRDefault="00125CED" w:rsidP="00125CE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4242B3DE" w14:textId="77777777" w:rsidR="005D6447" w:rsidRPr="00125CED" w:rsidRDefault="005D6447" w:rsidP="00125CED">
      <w:pPr>
        <w:spacing w:after="120" w:line="276" w:lineRule="auto"/>
        <w:rPr>
          <w:rFonts w:ascii="Calibri" w:eastAsia="Calibri" w:hAnsi="Calibri" w:cs="Arial"/>
          <w:sz w:val="24"/>
          <w:szCs w:val="24"/>
          <w:lang w:eastAsia="pl-PL"/>
        </w:rPr>
      </w:pPr>
    </w:p>
    <w:p w14:paraId="16D9B17F" w14:textId="77777777" w:rsidR="00517CFE" w:rsidRPr="00676940" w:rsidRDefault="00517CFE" w:rsidP="005D6447">
      <w:pPr>
        <w:pStyle w:val="Nagwek1"/>
        <w:numPr>
          <w:ilvl w:val="0"/>
          <w:numId w:val="1"/>
        </w:numPr>
        <w:spacing w:before="120" w:after="120" w:line="276" w:lineRule="auto"/>
        <w:ind w:left="425" w:hanging="425"/>
        <w:rPr>
          <w:rFonts w:cstheme="minorHAnsi"/>
          <w:b/>
          <w:bCs/>
        </w:rPr>
      </w:pPr>
      <w:bookmarkStart w:id="83" w:name="_Toc166445102"/>
      <w:bookmarkEnd w:id="81"/>
      <w:bookmarkEnd w:id="82"/>
      <w:r w:rsidRPr="00676940">
        <w:rPr>
          <w:rFonts w:asciiTheme="minorHAnsi" w:hAnsiTheme="minorHAnsi" w:cstheme="minorHAnsi"/>
          <w:b/>
          <w:bCs/>
          <w:color w:val="auto"/>
        </w:rPr>
        <w:t>Wskaźniki produktu i rezultatu</w:t>
      </w:r>
      <w:bookmarkEnd w:id="83"/>
    </w:p>
    <w:p w14:paraId="387B09AA" w14:textId="1AF87C90"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B65829">
        <w:rPr>
          <w:rFonts w:cstheme="minorHAnsi"/>
          <w:sz w:val="24"/>
          <w:szCs w:val="24"/>
        </w:rPr>
        <w:t>10.</w:t>
      </w:r>
      <w:r w:rsidR="00214701">
        <w:rPr>
          <w:rFonts w:cstheme="minorHAnsi"/>
          <w:sz w:val="24"/>
          <w:szCs w:val="24"/>
        </w:rPr>
        <w:t>5</w:t>
      </w:r>
      <w:r w:rsidR="005D036B" w:rsidRPr="005D036B">
        <w:rPr>
          <w:rFonts w:cstheme="minorHAnsi"/>
          <w:sz w:val="24"/>
          <w:szCs w:val="24"/>
        </w:rPr>
        <w:t xml:space="preserve"> </w:t>
      </w:r>
      <w:r w:rsidR="00B65829">
        <w:rPr>
          <w:rFonts w:cstheme="minorHAnsi"/>
          <w:i/>
          <w:iCs/>
          <w:sz w:val="24"/>
          <w:szCs w:val="24"/>
        </w:rPr>
        <w:t>Rewitalizacja na obszarach</w:t>
      </w:r>
      <w:r w:rsidR="00214701">
        <w:rPr>
          <w:rFonts w:cstheme="minorHAnsi"/>
          <w:i/>
          <w:iCs/>
          <w:sz w:val="24"/>
          <w:szCs w:val="24"/>
        </w:rPr>
        <w:t xml:space="preserve"> innych niż</w:t>
      </w:r>
      <w:r w:rsidR="00B65829">
        <w:rPr>
          <w:rFonts w:cstheme="minorHAnsi"/>
          <w:i/>
          <w:iCs/>
          <w:sz w:val="24"/>
          <w:szCs w:val="24"/>
        </w:rPr>
        <w:t xml:space="preserve"> miejski</w:t>
      </w:r>
      <w:r w:rsidR="00214701">
        <w:rPr>
          <w:rFonts w:cstheme="minorHAnsi"/>
          <w:i/>
          <w:iCs/>
          <w:sz w:val="24"/>
          <w:szCs w:val="24"/>
        </w:rPr>
        <w:t>e</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297285C0" w14:textId="77777777" w:rsidR="005D6447" w:rsidRDefault="005D6447" w:rsidP="00517CFE">
      <w:pPr>
        <w:spacing w:after="0" w:line="276" w:lineRule="auto"/>
        <w:rPr>
          <w:sz w:val="24"/>
          <w:szCs w:val="24"/>
        </w:rPr>
      </w:pPr>
    </w:p>
    <w:p w14:paraId="6B0F07DF" w14:textId="7ED5D332" w:rsidR="00517CFE" w:rsidRPr="00676940" w:rsidRDefault="00517CFE" w:rsidP="005D6447">
      <w:pPr>
        <w:pStyle w:val="Nagwek1"/>
        <w:numPr>
          <w:ilvl w:val="0"/>
          <w:numId w:val="1"/>
        </w:numPr>
        <w:spacing w:before="120" w:after="120" w:line="276" w:lineRule="auto"/>
        <w:ind w:left="425" w:hanging="425"/>
        <w:rPr>
          <w:rFonts w:cstheme="minorHAnsi"/>
          <w:b/>
          <w:bCs/>
        </w:rPr>
      </w:pPr>
      <w:bookmarkStart w:id="84" w:name="_Toc166445103"/>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4"/>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w:t>
      </w:r>
      <w:r>
        <w:rPr>
          <w:rFonts w:ascii="Calibri" w:hAnsi="Calibri" w:cs="Calibri"/>
          <w:iCs/>
          <w:color w:val="000000"/>
          <w:sz w:val="24"/>
          <w:szCs w:val="24"/>
        </w:rPr>
        <w:lastRenderedPageBreak/>
        <w:t xml:space="preserve">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5CBA3706"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0871C9">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Default="005E4410" w:rsidP="0042179A">
      <w:pPr>
        <w:spacing w:before="200" w:after="0"/>
        <w:rPr>
          <w:rFonts w:ascii="Calibri" w:hAnsi="Calibri" w:cs="Calibri"/>
          <w:b/>
          <w:bCs/>
          <w:iCs/>
          <w:color w:val="000000"/>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5BA3DD04" w14:textId="77777777" w:rsidR="005D6447" w:rsidRPr="00773A3E" w:rsidRDefault="005D6447" w:rsidP="0042179A">
      <w:pPr>
        <w:spacing w:before="200" w:after="0"/>
        <w:rPr>
          <w:sz w:val="24"/>
          <w:szCs w:val="24"/>
        </w:rPr>
      </w:pPr>
    </w:p>
    <w:p w14:paraId="607DCBD3" w14:textId="6F16D59F" w:rsidR="00923C93" w:rsidRPr="00196062" w:rsidRDefault="00923C93"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85" w:name="_Toc138773590"/>
      <w:bookmarkStart w:id="86" w:name="_Toc166445104"/>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5"/>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86"/>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563CC620"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 do sądu administracyjnego:</w:t>
      </w:r>
    </w:p>
    <w:p w14:paraId="1F27DA79" w14:textId="597E8E80"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A20E78">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w:t>
      </w:r>
      <w:r w:rsidRPr="00E56AAA">
        <w:rPr>
          <w:rFonts w:cstheme="minorHAnsi"/>
          <w:sz w:val="24"/>
          <w:szCs w:val="24"/>
          <w:lang w:val="x-none" w:eastAsia="x-none"/>
        </w:rPr>
        <w:lastRenderedPageBreak/>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1366848" w14:textId="77777777" w:rsidR="00B65829" w:rsidRDefault="00B65829" w:rsidP="00923C93">
      <w:pPr>
        <w:spacing w:line="276" w:lineRule="auto"/>
        <w:rPr>
          <w:rFonts w:cstheme="minorHAnsi"/>
          <w:sz w:val="24"/>
          <w:szCs w:val="24"/>
          <w:lang w:val="x-none" w:eastAsia="x-none"/>
        </w:rPr>
      </w:pPr>
    </w:p>
    <w:p w14:paraId="02E3064F" w14:textId="5E947AC3"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Skarga administracyjna wg przepisów Kodeksu postępowania administracyjnego:</w:t>
      </w:r>
    </w:p>
    <w:p w14:paraId="5A75B7CD" w14:textId="4A84FD9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830F27">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5D6447">
      <w:pPr>
        <w:pStyle w:val="Nagwek1"/>
        <w:numPr>
          <w:ilvl w:val="0"/>
          <w:numId w:val="1"/>
        </w:numPr>
        <w:spacing w:before="120" w:after="120" w:line="276" w:lineRule="auto"/>
        <w:ind w:left="425" w:hanging="425"/>
        <w:rPr>
          <w:rFonts w:cstheme="minorHAnsi"/>
          <w:b/>
          <w:bCs/>
        </w:rPr>
      </w:pPr>
      <w:bookmarkStart w:id="87" w:name="_Toc166445105"/>
      <w:r w:rsidRPr="00676940">
        <w:rPr>
          <w:rFonts w:asciiTheme="minorHAnsi" w:hAnsiTheme="minorHAnsi" w:cstheme="minorHAnsi"/>
          <w:b/>
          <w:color w:val="000000" w:themeColor="text1"/>
        </w:rPr>
        <w:t>Sposób podania do publicznej wiadomości wyników postępowania konkurencyjnego</w:t>
      </w:r>
      <w:bookmarkEnd w:id="87"/>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 xml:space="preserve">W przypadku zmian w zakresie informacji, o której mowa powyżej, IZ poda do publicznej wiadomości zaktualizowaną informację na stronie internetowej FEO 2021-2027 oraz na portalu Funduszy Europejskich. Po zakończeniu postępowania w zakresie wyboru projektów </w:t>
      </w:r>
      <w:r w:rsidRPr="007E6F7D">
        <w:rPr>
          <w:sz w:val="24"/>
          <w:szCs w:val="24"/>
        </w:rPr>
        <w:lastRenderedPageBreak/>
        <w:t>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Default="00AB3CD4" w:rsidP="00676940">
      <w:pPr>
        <w:rPr>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5C129401" w14:textId="77777777" w:rsidR="005D6447" w:rsidRPr="00676940" w:rsidRDefault="005D6447" w:rsidP="00676940">
      <w:pPr>
        <w:rPr>
          <w:rFonts w:cstheme="minorHAnsi"/>
          <w:b/>
          <w:bCs/>
          <w:sz w:val="24"/>
          <w:szCs w:val="24"/>
        </w:rPr>
      </w:pPr>
    </w:p>
    <w:p w14:paraId="1916D4E5" w14:textId="77777777" w:rsidR="00AB3CD4" w:rsidRPr="00A43CA6" w:rsidRDefault="00AB3CD4" w:rsidP="005D6447">
      <w:pPr>
        <w:pStyle w:val="Nagwek1"/>
        <w:numPr>
          <w:ilvl w:val="0"/>
          <w:numId w:val="1"/>
        </w:numPr>
        <w:spacing w:before="120" w:after="120" w:line="276" w:lineRule="auto"/>
        <w:ind w:left="425" w:hanging="425"/>
        <w:rPr>
          <w:rFonts w:cstheme="minorHAnsi"/>
          <w:b/>
          <w:bCs/>
        </w:rPr>
      </w:pPr>
      <w:bookmarkStart w:id="88" w:name="_Toc166445106"/>
      <w:r w:rsidRPr="00A43CA6">
        <w:rPr>
          <w:rFonts w:asciiTheme="minorHAnsi" w:hAnsiTheme="minorHAnsi" w:cstheme="minorHAnsi"/>
          <w:b/>
          <w:color w:val="000000" w:themeColor="text1"/>
        </w:rPr>
        <w:lastRenderedPageBreak/>
        <w:t xml:space="preserve">Sposób postępowania w sytuacji, w której wszystkie wnioski </w:t>
      </w:r>
      <w:r w:rsidRPr="00A43CA6">
        <w:rPr>
          <w:rFonts w:asciiTheme="minorHAnsi" w:hAnsiTheme="minorHAnsi" w:cstheme="minorHAnsi"/>
          <w:b/>
          <w:color w:val="000000" w:themeColor="text1"/>
        </w:rPr>
        <w:br/>
        <w:t>w postępowaniu zostaną wycofane przez wnioskodawców</w:t>
      </w:r>
      <w:bookmarkEnd w:id="88"/>
    </w:p>
    <w:p w14:paraId="1BF20287" w14:textId="7E5E048D" w:rsidR="00AB3CD4" w:rsidRPr="00A43CA6" w:rsidRDefault="00AB3CD4" w:rsidP="00676940">
      <w:pPr>
        <w:spacing w:after="0" w:line="276" w:lineRule="auto"/>
        <w:rPr>
          <w:sz w:val="24"/>
          <w:szCs w:val="24"/>
        </w:rPr>
      </w:pPr>
      <w:r w:rsidRPr="00A43CA6">
        <w:rPr>
          <w:sz w:val="24"/>
          <w:szCs w:val="24"/>
        </w:rPr>
        <w:t xml:space="preserve">W sytuacji, w której wszystkie wnioski w </w:t>
      </w:r>
      <w:r w:rsidR="00DA031C" w:rsidRPr="00A43CA6">
        <w:rPr>
          <w:sz w:val="24"/>
          <w:szCs w:val="24"/>
        </w:rPr>
        <w:t>naborze</w:t>
      </w:r>
      <w:r w:rsidRPr="00A43CA6">
        <w:rPr>
          <w:sz w:val="24"/>
          <w:szCs w:val="24"/>
        </w:rPr>
        <w:t xml:space="preserve"> zostaną wycofane przez wnioskodawców, taki </w:t>
      </w:r>
      <w:r w:rsidR="00DA031C" w:rsidRPr="00A43CA6">
        <w:rPr>
          <w:sz w:val="24"/>
          <w:szCs w:val="24"/>
        </w:rPr>
        <w:t>nabór</w:t>
      </w:r>
      <w:r w:rsidRPr="00A43CA6">
        <w:rPr>
          <w:sz w:val="24"/>
          <w:szCs w:val="24"/>
        </w:rPr>
        <w:t xml:space="preserve"> zostanie anulowan</w:t>
      </w:r>
      <w:r w:rsidR="00DA031C" w:rsidRPr="00A43CA6">
        <w:rPr>
          <w:sz w:val="24"/>
          <w:szCs w:val="24"/>
        </w:rPr>
        <w:t>y</w:t>
      </w:r>
      <w:r w:rsidRPr="00A43CA6">
        <w:rPr>
          <w:sz w:val="24"/>
          <w:szCs w:val="24"/>
        </w:rPr>
        <w:t>. IZ poinformuje o tym na stronie internetowej programu FEO 2021-2027 i na portalu Funduszy Europejskich.</w:t>
      </w:r>
    </w:p>
    <w:p w14:paraId="4B6B2DFB" w14:textId="6734F6F9" w:rsidR="00AB3CD4" w:rsidRPr="00A43CA6" w:rsidRDefault="00AB3CD4" w:rsidP="005D6447">
      <w:pPr>
        <w:pStyle w:val="Nagwek1"/>
        <w:numPr>
          <w:ilvl w:val="0"/>
          <w:numId w:val="1"/>
        </w:numPr>
        <w:spacing w:before="120" w:after="120" w:line="276" w:lineRule="auto"/>
        <w:ind w:left="425" w:hanging="425"/>
        <w:rPr>
          <w:rFonts w:cstheme="minorHAnsi"/>
          <w:b/>
          <w:bCs/>
        </w:rPr>
      </w:pPr>
      <w:bookmarkStart w:id="89" w:name="_Toc166445107"/>
      <w:r w:rsidRPr="00A43CA6">
        <w:rPr>
          <w:rFonts w:asciiTheme="minorHAnsi" w:hAnsiTheme="minorHAnsi" w:cstheme="minorHAnsi"/>
          <w:b/>
          <w:color w:val="000000" w:themeColor="text1"/>
        </w:rPr>
        <w:t>Unieważnienie postępowania</w:t>
      </w:r>
      <w:r w:rsidR="002C384D" w:rsidRPr="00A43CA6">
        <w:rPr>
          <w:rFonts w:asciiTheme="minorHAnsi" w:hAnsiTheme="minorHAnsi" w:cstheme="minorHAnsi"/>
          <w:b/>
          <w:color w:val="000000" w:themeColor="text1"/>
        </w:rPr>
        <w:t>/naboru</w:t>
      </w:r>
      <w:r w:rsidRPr="00A43CA6">
        <w:rPr>
          <w:rFonts w:asciiTheme="minorHAnsi" w:hAnsiTheme="minorHAnsi" w:cstheme="minorHAnsi"/>
          <w:b/>
          <w:color w:val="000000" w:themeColor="text1"/>
        </w:rPr>
        <w:t xml:space="preserve"> w zakresie wyboru projektów</w:t>
      </w:r>
      <w:bookmarkEnd w:id="89"/>
    </w:p>
    <w:p w14:paraId="69CFE05B" w14:textId="33936D88" w:rsidR="00AB3CD4" w:rsidRPr="00DF0F1C" w:rsidRDefault="00AB3CD4" w:rsidP="00AB3CD4">
      <w:pPr>
        <w:spacing w:line="276" w:lineRule="auto"/>
        <w:rPr>
          <w:sz w:val="24"/>
          <w:szCs w:val="24"/>
        </w:rPr>
      </w:pPr>
      <w:r w:rsidRPr="00A43CA6">
        <w:rPr>
          <w:sz w:val="24"/>
          <w:szCs w:val="24"/>
        </w:rPr>
        <w:t>Zgodnie z art. 58 ust. 1 ustawy wdrożeniowej</w:t>
      </w:r>
      <w:r w:rsidR="004E355A" w:rsidRPr="00A43CA6">
        <w:rPr>
          <w:sz w:val="24"/>
          <w:szCs w:val="24"/>
        </w:rPr>
        <w:t>,</w:t>
      </w:r>
      <w:r w:rsidRPr="00A43CA6">
        <w:rPr>
          <w:sz w:val="24"/>
          <w:szCs w:val="24"/>
        </w:rPr>
        <w:t xml:space="preserve"> IZ unieważnia postępowanie</w:t>
      </w:r>
      <w:r w:rsidR="002C384D" w:rsidRPr="00A43CA6">
        <w:rPr>
          <w:sz w:val="24"/>
          <w:szCs w:val="24"/>
        </w:rPr>
        <w:t>/nabór</w:t>
      </w:r>
      <w:r w:rsidRPr="00A43CA6">
        <w:rPr>
          <w:sz w:val="24"/>
          <w:szCs w:val="24"/>
        </w:rPr>
        <w:t xml:space="preserve"> w zakresie wyboru projektów do dofinansowania</w:t>
      </w:r>
      <w:r w:rsidRPr="00DF0F1C">
        <w:rPr>
          <w:sz w:val="24"/>
          <w:szCs w:val="24"/>
        </w:rPr>
        <w:t>, jeżeli:</w:t>
      </w:r>
    </w:p>
    <w:p w14:paraId="66DEEBA8"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sz w:val="24"/>
          <w:szCs w:val="24"/>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2E1AF9D7" w14:textId="77777777" w:rsidR="005D6447" w:rsidRDefault="005D6447" w:rsidP="00676940">
      <w:pPr>
        <w:rPr>
          <w:rFonts w:cstheme="minorHAnsi"/>
          <w:b/>
          <w:bCs/>
        </w:rPr>
      </w:pPr>
    </w:p>
    <w:p w14:paraId="46F55F86" w14:textId="77777777" w:rsidR="003A7CE9" w:rsidRPr="00676940" w:rsidRDefault="003A7CE9" w:rsidP="005D6447">
      <w:pPr>
        <w:pStyle w:val="Nagwek1"/>
        <w:numPr>
          <w:ilvl w:val="0"/>
          <w:numId w:val="1"/>
        </w:numPr>
        <w:spacing w:before="120" w:after="120" w:line="276" w:lineRule="auto"/>
        <w:ind w:left="425" w:hanging="425"/>
        <w:rPr>
          <w:rFonts w:cstheme="minorHAnsi"/>
          <w:b/>
          <w:bCs/>
        </w:rPr>
      </w:pPr>
      <w:bookmarkStart w:id="90" w:name="_Toc166445108"/>
      <w:r w:rsidRPr="00676940">
        <w:rPr>
          <w:rFonts w:asciiTheme="minorHAnsi" w:hAnsiTheme="minorHAnsi" w:cstheme="minorHAnsi"/>
          <w:b/>
          <w:color w:val="000000" w:themeColor="text1"/>
        </w:rPr>
        <w:lastRenderedPageBreak/>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0"/>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1" w:name="_Toc166445109"/>
      <w:r w:rsidRPr="00676940">
        <w:rPr>
          <w:rFonts w:asciiTheme="minorHAnsi" w:hAnsiTheme="minorHAnsi" w:cstheme="minorHAnsi"/>
          <w:b/>
          <w:color w:val="000000" w:themeColor="text1"/>
        </w:rPr>
        <w:t>Sposób udzielania wnioskodawcy wyjaśnień w kwestiach dotyczących postępowania</w:t>
      </w:r>
      <w:bookmarkEnd w:id="91"/>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50E8B529" w14:textId="77777777" w:rsidR="00006F47"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w:t>
      </w:r>
      <w:r w:rsidR="00006F47">
        <w:rPr>
          <w:b/>
          <w:sz w:val="24"/>
          <w:szCs w:val="24"/>
          <w:u w:val="single"/>
        </w:rPr>
        <w:t>:</w:t>
      </w:r>
    </w:p>
    <w:p w14:paraId="4701FC96" w14:textId="7370EA18" w:rsidR="004E355A" w:rsidRPr="00006F47" w:rsidRDefault="00FD2088" w:rsidP="00006F47">
      <w:pPr>
        <w:pStyle w:val="Akapitzlist"/>
        <w:numPr>
          <w:ilvl w:val="0"/>
          <w:numId w:val="29"/>
        </w:numPr>
        <w:spacing w:line="276" w:lineRule="auto"/>
        <w:jc w:val="both"/>
        <w:rPr>
          <w:b/>
          <w:sz w:val="24"/>
          <w:szCs w:val="24"/>
          <w:u w:val="single"/>
        </w:rPr>
      </w:pPr>
      <w:r w:rsidRPr="00006F47">
        <w:rPr>
          <w:b/>
          <w:sz w:val="24"/>
          <w:szCs w:val="24"/>
          <w:u w:val="single"/>
        </w:rPr>
        <w:t>Głównego Punktu Informacyjnego</w:t>
      </w:r>
      <w:r w:rsidR="004E355A" w:rsidRPr="00006F47">
        <w:rPr>
          <w:b/>
          <w:sz w:val="24"/>
          <w:szCs w:val="24"/>
          <w:u w:val="single"/>
        </w:rPr>
        <w:t>:</w:t>
      </w:r>
    </w:p>
    <w:p w14:paraId="70EC5BFC" w14:textId="7CE5AB57" w:rsidR="004E355A" w:rsidRDefault="004E355A" w:rsidP="009A4137">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5EFF540F" w:rsidR="004E355A" w:rsidRPr="00006F47" w:rsidRDefault="004E355A" w:rsidP="009A4137">
      <w:pPr>
        <w:pStyle w:val="Akapitzlist"/>
        <w:numPr>
          <w:ilvl w:val="0"/>
          <w:numId w:val="15"/>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xml:space="preserve"> </w:t>
      </w:r>
      <w:r w:rsidRPr="00676940">
        <w:rPr>
          <w:sz w:val="24"/>
          <w:szCs w:val="24"/>
        </w:rPr>
        <w:t>720, 77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xml:space="preserve"> </w:t>
      </w:r>
      <w:r w:rsidRPr="00676940">
        <w:rPr>
          <w:sz w:val="24"/>
          <w:szCs w:val="24"/>
        </w:rPr>
        <w:t>721, 77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w:t>
      </w:r>
      <w:r w:rsidRPr="00676940">
        <w:rPr>
          <w:sz w:val="24"/>
          <w:szCs w:val="24"/>
        </w:rPr>
        <w:t>722</w:t>
      </w:r>
    </w:p>
    <w:p w14:paraId="7B72246E" w14:textId="77777777" w:rsidR="00006F47" w:rsidRPr="00006F47" w:rsidRDefault="00006F47" w:rsidP="00006F47">
      <w:pPr>
        <w:pStyle w:val="Akapitzlist"/>
        <w:spacing w:line="276" w:lineRule="auto"/>
        <w:ind w:left="426"/>
        <w:jc w:val="both"/>
        <w:rPr>
          <w:sz w:val="24"/>
          <w:szCs w:val="24"/>
          <w:lang w:val="en-US"/>
        </w:rPr>
      </w:pPr>
    </w:p>
    <w:p w14:paraId="16E44064" w14:textId="6606A75E" w:rsidR="00006F47" w:rsidRPr="00006F47" w:rsidRDefault="00006F47" w:rsidP="00006F47">
      <w:pPr>
        <w:pStyle w:val="Akapitzlist"/>
        <w:numPr>
          <w:ilvl w:val="0"/>
          <w:numId w:val="29"/>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0E33E52B" w14:textId="059D1D86" w:rsidR="00006F47" w:rsidRDefault="00006F47" w:rsidP="00006F47">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4D86EA09" w14:textId="75F8A255" w:rsidR="00006F47" w:rsidRPr="00006F47" w:rsidRDefault="00006F47" w:rsidP="003508B2">
      <w:pPr>
        <w:pStyle w:val="Akapitzlist"/>
        <w:numPr>
          <w:ilvl w:val="0"/>
          <w:numId w:val="15"/>
        </w:numPr>
        <w:spacing w:line="276" w:lineRule="auto"/>
        <w:ind w:left="426" w:hanging="426"/>
        <w:jc w:val="both"/>
        <w:rPr>
          <w:sz w:val="24"/>
          <w:szCs w:val="24"/>
          <w:lang w:val="en-US"/>
        </w:rPr>
      </w:pPr>
      <w:r w:rsidRPr="00006F47">
        <w:rPr>
          <w:b/>
          <w:sz w:val="24"/>
          <w:szCs w:val="24"/>
        </w:rPr>
        <w:t>Telefon:</w:t>
      </w:r>
      <w:r w:rsidRPr="00006F47">
        <w:rPr>
          <w:sz w:val="24"/>
          <w:szCs w:val="24"/>
        </w:rPr>
        <w:t xml:space="preserve"> 77 54 16 200</w:t>
      </w:r>
    </w:p>
    <w:p w14:paraId="64CA3EAC" w14:textId="77777777" w:rsidR="00006F47" w:rsidRPr="00006F47" w:rsidRDefault="00006F47" w:rsidP="00006F47">
      <w:pPr>
        <w:spacing w:after="0" w:line="276" w:lineRule="auto"/>
        <w:jc w:val="both"/>
        <w:rPr>
          <w:sz w:val="24"/>
          <w:szCs w:val="24"/>
          <w:lang w:val="en-US"/>
        </w:rPr>
      </w:pPr>
    </w:p>
    <w:p w14:paraId="0A2384B0" w14:textId="77777777" w:rsidR="004E355A" w:rsidRDefault="004E355A"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2" w:name="_Toc166445110"/>
      <w:r w:rsidRPr="00676940">
        <w:rPr>
          <w:rFonts w:asciiTheme="minorHAnsi" w:hAnsiTheme="minorHAnsi" w:cstheme="minorHAnsi"/>
          <w:b/>
          <w:color w:val="000000" w:themeColor="text1"/>
        </w:rPr>
        <w:t>Kwalifikowalność wydatków</w:t>
      </w:r>
      <w:bookmarkEnd w:id="92"/>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lastRenderedPageBreak/>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6B0943BD" w14:textId="77777777" w:rsidR="00247662" w:rsidRPr="00676940" w:rsidRDefault="00247662" w:rsidP="005D6447">
      <w:pPr>
        <w:pStyle w:val="Nagwek1"/>
        <w:numPr>
          <w:ilvl w:val="0"/>
          <w:numId w:val="1"/>
        </w:numPr>
        <w:spacing w:before="120" w:after="120" w:line="276" w:lineRule="auto"/>
        <w:ind w:left="425" w:hanging="425"/>
        <w:rPr>
          <w:rFonts w:cstheme="minorHAnsi"/>
          <w:b/>
          <w:bCs/>
        </w:rPr>
      </w:pPr>
      <w:bookmarkStart w:id="93" w:name="_Toc166445111"/>
      <w:r w:rsidRPr="00676940">
        <w:rPr>
          <w:rFonts w:asciiTheme="minorHAnsi" w:hAnsiTheme="minorHAnsi" w:cstheme="minorHAnsi"/>
          <w:b/>
          <w:color w:val="000000" w:themeColor="text1"/>
        </w:rPr>
        <w:t>Archiwizacja i przechowywanie dokumentów</w:t>
      </w:r>
      <w:bookmarkEnd w:id="93"/>
    </w:p>
    <w:p w14:paraId="13EFBBF4" w14:textId="3C39FF30" w:rsidR="00A80880" w:rsidRPr="00D150F3" w:rsidRDefault="00A63489" w:rsidP="009354EA">
      <w:pPr>
        <w:spacing w:after="0" w:line="276" w:lineRule="auto"/>
        <w:rPr>
          <w:sz w:val="24"/>
          <w:szCs w:val="24"/>
        </w:rPr>
      </w:pPr>
      <w:r w:rsidRPr="00A63489">
        <w:rPr>
          <w:sz w:val="24"/>
          <w:szCs w:val="24"/>
        </w:rPr>
        <w:t>Beneficjent przechowuje dokumentację związaną z realizacją Projektu</w:t>
      </w:r>
      <w:r w:rsidR="007B7DDA">
        <w:rPr>
          <w:sz w:val="24"/>
          <w:szCs w:val="24"/>
        </w:rPr>
        <w:t xml:space="preserve"> </w:t>
      </w:r>
      <w:r w:rsidRPr="00A63489">
        <w:rPr>
          <w:sz w:val="24"/>
          <w:szCs w:val="24"/>
        </w:rPr>
        <w:t>w sposób zapewniający dostępność, poufność i bezpieczeństwo oraz jest zobowiązany do</w:t>
      </w:r>
      <w:r w:rsidR="007B7DDA">
        <w:rPr>
          <w:sz w:val="24"/>
          <w:szCs w:val="24"/>
        </w:rPr>
        <w:t xml:space="preserve"> </w:t>
      </w: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1D70963B" w:rsidR="00A80880" w:rsidRPr="00D150F3" w:rsidRDefault="00A80880" w:rsidP="00A80880">
      <w:pPr>
        <w:spacing w:line="276" w:lineRule="auto"/>
        <w:rPr>
          <w:sz w:val="24"/>
          <w:szCs w:val="24"/>
        </w:rPr>
      </w:pPr>
      <w:r w:rsidRPr="00D150F3">
        <w:rPr>
          <w:sz w:val="24"/>
          <w:szCs w:val="24"/>
        </w:rPr>
        <w:lastRenderedPageBreak/>
        <w:t>Na podstawie art. 82 ust. 1 Rozporządzenia nr 2021/1060, IZ FEO 2021-2027 zobowiązana jest do zapewnienia (bez uszczerbku dla zasad pomocy państwa),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574B9B22" w14:textId="77777777" w:rsidR="005D6447" w:rsidRDefault="005D6447" w:rsidP="00A80880">
      <w:pPr>
        <w:spacing w:after="0" w:line="276" w:lineRule="auto"/>
        <w:rPr>
          <w:sz w:val="24"/>
          <w:szCs w:val="24"/>
        </w:rPr>
      </w:pPr>
    </w:p>
    <w:p w14:paraId="6CD34468" w14:textId="079D99ED" w:rsidR="00A80880" w:rsidRDefault="00452B70"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4" w:name="_Toc166445112"/>
      <w:r>
        <w:rPr>
          <w:rFonts w:asciiTheme="minorHAnsi" w:hAnsiTheme="minorHAnsi" w:cstheme="minorHAnsi"/>
          <w:b/>
          <w:color w:val="000000" w:themeColor="text1"/>
        </w:rPr>
        <w:t xml:space="preserve"> </w:t>
      </w:r>
      <w:r w:rsidR="00A80880" w:rsidRPr="00676940">
        <w:rPr>
          <w:rFonts w:asciiTheme="minorHAnsi" w:hAnsiTheme="minorHAnsi" w:cstheme="minorHAnsi"/>
          <w:b/>
          <w:color w:val="000000" w:themeColor="text1"/>
        </w:rPr>
        <w:t>Załączniki</w:t>
      </w:r>
      <w:bookmarkEnd w:id="94"/>
    </w:p>
    <w:p w14:paraId="464A5862"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368D3823"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Instrukcja obsługi </w:t>
      </w:r>
      <w:r w:rsidR="007F0BCA">
        <w:rPr>
          <w:sz w:val="24"/>
          <w:szCs w:val="24"/>
        </w:rPr>
        <w:t>Panelu Wnioskodawcy</w:t>
      </w:r>
      <w:r w:rsidRPr="00676940">
        <w:rPr>
          <w:sz w:val="24"/>
          <w:szCs w:val="24"/>
        </w:rPr>
        <w:t xml:space="preserve"> FEO 2021-2027</w:t>
      </w:r>
    </w:p>
    <w:p w14:paraId="18C0BD47"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579777EB" w:rsidR="002C384D" w:rsidRDefault="00AC37F6" w:rsidP="009A4137">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587B34">
        <w:rPr>
          <w:sz w:val="24"/>
          <w:szCs w:val="24"/>
        </w:rPr>
        <w:t>10</w:t>
      </w:r>
      <w:r w:rsidR="00433E80" w:rsidRPr="005D036B">
        <w:rPr>
          <w:sz w:val="24"/>
          <w:szCs w:val="24"/>
        </w:rPr>
        <w:t>.</w:t>
      </w:r>
      <w:r w:rsidR="00214701">
        <w:rPr>
          <w:sz w:val="24"/>
          <w:szCs w:val="24"/>
        </w:rPr>
        <w:t>5</w:t>
      </w:r>
      <w:r w:rsidR="00433E80" w:rsidRPr="005D036B">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433E80" w:rsidRPr="00676940">
        <w:rPr>
          <w:sz w:val="24"/>
          <w:szCs w:val="24"/>
        </w:rPr>
        <w:t xml:space="preserve"> FEO 2021-2027 </w:t>
      </w:r>
    </w:p>
    <w:p w14:paraId="173270F9" w14:textId="6851D67F" w:rsidR="004F2968" w:rsidRPr="00433E80" w:rsidRDefault="004F2968" w:rsidP="009A4137">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5" w:name="_Hlk163037254"/>
      <w:r w:rsidR="00587B34">
        <w:rPr>
          <w:sz w:val="24"/>
          <w:szCs w:val="24"/>
        </w:rPr>
        <w:t>10</w:t>
      </w:r>
      <w:r w:rsidR="005D036B" w:rsidRPr="00433E80">
        <w:rPr>
          <w:sz w:val="24"/>
          <w:szCs w:val="24"/>
        </w:rPr>
        <w:t>.</w:t>
      </w:r>
      <w:r w:rsidR="00214701">
        <w:rPr>
          <w:sz w:val="24"/>
          <w:szCs w:val="24"/>
        </w:rPr>
        <w:t>5</w:t>
      </w:r>
      <w:r w:rsidR="005D036B" w:rsidRPr="00433E80">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5D036B" w:rsidRPr="00433E80">
        <w:rPr>
          <w:sz w:val="24"/>
          <w:szCs w:val="24"/>
        </w:rPr>
        <w:t xml:space="preserve"> </w:t>
      </w:r>
      <w:r w:rsidRPr="00433E80">
        <w:rPr>
          <w:sz w:val="24"/>
          <w:szCs w:val="24"/>
        </w:rPr>
        <w:t xml:space="preserve">FEO 2021-2027 </w:t>
      </w:r>
      <w:bookmarkEnd w:id="95"/>
    </w:p>
    <w:p w14:paraId="46764856" w14:textId="0BC3F355"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Lista wskaźników na poziomie projektu dla działania </w:t>
      </w:r>
      <w:r w:rsidR="00587B34">
        <w:rPr>
          <w:sz w:val="24"/>
          <w:szCs w:val="24"/>
        </w:rPr>
        <w:t>10</w:t>
      </w:r>
      <w:r w:rsidR="00433E80" w:rsidRPr="00433E80">
        <w:rPr>
          <w:sz w:val="24"/>
          <w:szCs w:val="24"/>
        </w:rPr>
        <w:t>.</w:t>
      </w:r>
      <w:r w:rsidR="00214701">
        <w:rPr>
          <w:sz w:val="24"/>
          <w:szCs w:val="24"/>
        </w:rPr>
        <w:t>5</w:t>
      </w:r>
      <w:r w:rsidR="00433E80" w:rsidRPr="00433E80">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433E80" w:rsidRPr="00433E80">
        <w:rPr>
          <w:sz w:val="24"/>
          <w:szCs w:val="24"/>
        </w:rPr>
        <w:t xml:space="preserve"> FEO 2021-2027</w:t>
      </w:r>
    </w:p>
    <w:p w14:paraId="3E43CE46" w14:textId="77777777" w:rsidR="005D6447" w:rsidRDefault="005D6447" w:rsidP="005D6447">
      <w:pPr>
        <w:pStyle w:val="Akapitzlist"/>
        <w:spacing w:after="0" w:line="276" w:lineRule="auto"/>
        <w:ind w:left="426"/>
        <w:rPr>
          <w:sz w:val="24"/>
          <w:szCs w:val="24"/>
        </w:rPr>
      </w:pPr>
    </w:p>
    <w:p w14:paraId="54C54D6E" w14:textId="2AEAAA8C" w:rsidR="004F2968" w:rsidRPr="00676940" w:rsidRDefault="00452B70" w:rsidP="005D6447">
      <w:pPr>
        <w:pStyle w:val="Nagwek1"/>
        <w:numPr>
          <w:ilvl w:val="0"/>
          <w:numId w:val="1"/>
        </w:numPr>
        <w:spacing w:before="120" w:after="120" w:line="276" w:lineRule="auto"/>
        <w:ind w:left="425" w:hanging="425"/>
        <w:rPr>
          <w:rFonts w:cstheme="minorHAnsi"/>
          <w:b/>
          <w:bCs/>
        </w:rPr>
      </w:pPr>
      <w:bookmarkStart w:id="96" w:name="_Toc166445113"/>
      <w:r>
        <w:rPr>
          <w:rFonts w:asciiTheme="minorHAnsi" w:hAnsiTheme="minorHAnsi" w:cstheme="minorHAnsi"/>
          <w:b/>
          <w:color w:val="000000" w:themeColor="text1"/>
        </w:rPr>
        <w:t xml:space="preserve"> </w:t>
      </w:r>
      <w:r w:rsidR="004F2968" w:rsidRPr="00676940">
        <w:rPr>
          <w:rFonts w:asciiTheme="minorHAnsi" w:hAnsiTheme="minorHAnsi" w:cstheme="minorHAnsi"/>
          <w:b/>
          <w:color w:val="000000" w:themeColor="text1"/>
        </w:rPr>
        <w:t>Inne dokumenty obowiązujące w naborze</w:t>
      </w:r>
      <w:bookmarkEnd w:id="96"/>
    </w:p>
    <w:p w14:paraId="525FC909" w14:textId="2B8BBCAD" w:rsidR="004F2968" w:rsidRDefault="004F2968" w:rsidP="009A4137">
      <w:pPr>
        <w:pStyle w:val="Akapitzlist"/>
        <w:numPr>
          <w:ilvl w:val="0"/>
          <w:numId w:val="19"/>
        </w:numPr>
        <w:spacing w:after="0" w:line="276" w:lineRule="auto"/>
        <w:ind w:left="426" w:hanging="426"/>
        <w:rPr>
          <w:sz w:val="24"/>
          <w:szCs w:val="24"/>
        </w:rPr>
      </w:pPr>
      <w:bookmarkStart w:id="97" w:name="_Hlk165885658"/>
      <w:r w:rsidRPr="00676940">
        <w:rPr>
          <w:sz w:val="24"/>
          <w:szCs w:val="24"/>
        </w:rPr>
        <w:t>Fundusze Europejskie dla Opolskiego na lata 2021-2027</w:t>
      </w:r>
      <w:r>
        <w:rPr>
          <w:sz w:val="24"/>
          <w:szCs w:val="24"/>
        </w:rPr>
        <w:t>.</w:t>
      </w:r>
    </w:p>
    <w:p w14:paraId="63E6C0F9" w14:textId="58678A85"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lastRenderedPageBreak/>
        <w:t>Szczegółowy Opis Priorytetów programu regionalnego Fundusze Europejskie</w:t>
      </w:r>
      <w:r w:rsidR="00812EC2">
        <w:rPr>
          <w:sz w:val="24"/>
          <w:szCs w:val="24"/>
        </w:rPr>
        <w:t xml:space="preserve"> d</w:t>
      </w:r>
      <w:r w:rsidRPr="00676940">
        <w:rPr>
          <w:sz w:val="24"/>
          <w:szCs w:val="24"/>
        </w:rPr>
        <w:t>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9A4137">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655219A7" w14:textId="7DB490D6" w:rsidR="00692449" w:rsidRDefault="00692449" w:rsidP="009A4137">
      <w:pPr>
        <w:pStyle w:val="Akapitzlist"/>
        <w:numPr>
          <w:ilvl w:val="0"/>
          <w:numId w:val="19"/>
        </w:numPr>
        <w:spacing w:after="0" w:line="276" w:lineRule="auto"/>
        <w:ind w:left="426" w:hanging="426"/>
        <w:rPr>
          <w:sz w:val="24"/>
          <w:szCs w:val="24"/>
        </w:rPr>
      </w:pPr>
      <w:bookmarkStart w:id="98" w:name="_Hlk166150736"/>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EB1709">
        <w:rPr>
          <w:sz w:val="24"/>
          <w:szCs w:val="24"/>
        </w:rPr>
        <w:t>.</w:t>
      </w:r>
    </w:p>
    <w:p w14:paraId="6C8A38B2" w14:textId="13257042" w:rsidR="00EB1709" w:rsidRPr="009A4137" w:rsidRDefault="00EB1709" w:rsidP="009A4137">
      <w:pPr>
        <w:pStyle w:val="Akapitzlist"/>
        <w:numPr>
          <w:ilvl w:val="0"/>
          <w:numId w:val="19"/>
        </w:numPr>
        <w:spacing w:after="0" w:line="276" w:lineRule="auto"/>
        <w:ind w:left="426" w:hanging="426"/>
        <w:rPr>
          <w:sz w:val="24"/>
          <w:szCs w:val="24"/>
        </w:rPr>
      </w:pPr>
      <w:bookmarkStart w:id="99"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1107/70 </w:t>
      </w:r>
      <w:r>
        <w:rPr>
          <w:rFonts w:ascii="Calibri" w:hAnsi="Calibri" w:cs="Calibri"/>
          <w:sz w:val="24"/>
          <w:szCs w:val="24"/>
        </w:rPr>
        <w:t>.</w:t>
      </w:r>
    </w:p>
    <w:p w14:paraId="06287B26" w14:textId="6B6A0734" w:rsidR="009A4137" w:rsidRDefault="009A4137" w:rsidP="009A4137">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B628482" w14:textId="1B056828" w:rsidR="00EC0ABE" w:rsidRDefault="00EC0ABE" w:rsidP="009A4137">
      <w:pPr>
        <w:pStyle w:val="Akapitzlist"/>
        <w:numPr>
          <w:ilvl w:val="0"/>
          <w:numId w:val="19"/>
        </w:numPr>
        <w:spacing w:after="0" w:line="276" w:lineRule="auto"/>
        <w:ind w:left="426" w:hanging="426"/>
        <w:rPr>
          <w:sz w:val="24"/>
          <w:szCs w:val="24"/>
        </w:rPr>
      </w:pPr>
      <w:r w:rsidRPr="00EC0ABE">
        <w:rPr>
          <w:sz w:val="24"/>
          <w:szCs w:val="24"/>
        </w:rPr>
        <w:t xml:space="preserve">Rozporządzenie Komisji (UE) 2023/2832 z dnia 13 grudnia 2023 r. w sprawie stosowania art. 107 i 108 Traktatu o funkcjonowaniu Unii Europejskiej do pomocy de </w:t>
      </w:r>
      <w:proofErr w:type="spellStart"/>
      <w:r w:rsidRPr="00EC0ABE">
        <w:rPr>
          <w:sz w:val="24"/>
          <w:szCs w:val="24"/>
        </w:rPr>
        <w:t>minimis</w:t>
      </w:r>
      <w:proofErr w:type="spellEnd"/>
      <w:r w:rsidRPr="00EC0ABE">
        <w:rPr>
          <w:sz w:val="24"/>
          <w:szCs w:val="24"/>
        </w:rPr>
        <w:t xml:space="preserve"> przyznawanej przedsiębiorstwom wykonującym usługi świadczone w ogólnym interesie gospodarczym (Dz. Urz. UE L z 15.12.2023)</w:t>
      </w:r>
      <w:r>
        <w:rPr>
          <w:sz w:val="24"/>
          <w:szCs w:val="24"/>
        </w:rPr>
        <w:t>.</w:t>
      </w:r>
    </w:p>
    <w:p w14:paraId="03C7DD14" w14:textId="6C96371D"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5CD5C646" w14:textId="3260C823" w:rsidR="009A4137" w:rsidRPr="009A4137" w:rsidRDefault="009A4137" w:rsidP="009A4137">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5962BF56" w14:textId="2BC8518E"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lastRenderedPageBreak/>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98"/>
    <w:bookmarkEnd w:id="99"/>
    <w:bookmarkEnd w:id="97"/>
    <w:p w14:paraId="0D4DA5FA" w14:textId="0BE49DA3" w:rsidR="00DA43A5" w:rsidRPr="00830F27" w:rsidRDefault="00DA43A5" w:rsidP="00830F27">
      <w:pPr>
        <w:spacing w:after="0" w:line="276" w:lineRule="auto"/>
        <w:rPr>
          <w:sz w:val="24"/>
          <w:szCs w:val="24"/>
        </w:rPr>
      </w:pPr>
    </w:p>
    <w:p w14:paraId="5EB0C0BE" w14:textId="4B73375D" w:rsidR="004F2968" w:rsidRPr="00676940" w:rsidRDefault="004F2968" w:rsidP="005D6447">
      <w:pPr>
        <w:pStyle w:val="Nagwek1"/>
        <w:numPr>
          <w:ilvl w:val="0"/>
          <w:numId w:val="1"/>
        </w:numPr>
        <w:spacing w:before="120" w:after="120" w:line="276" w:lineRule="auto"/>
        <w:ind w:left="425" w:hanging="425"/>
        <w:rPr>
          <w:rFonts w:cstheme="minorHAnsi"/>
          <w:b/>
          <w:bCs/>
        </w:rPr>
      </w:pPr>
      <w:bookmarkStart w:id="100" w:name="_Toc166445114"/>
      <w:r w:rsidRPr="00676940">
        <w:rPr>
          <w:rFonts w:asciiTheme="minorHAnsi" w:hAnsiTheme="minorHAnsi" w:cstheme="minorHAnsi"/>
          <w:b/>
          <w:color w:val="000000" w:themeColor="text1"/>
        </w:rPr>
        <w:t>Uwagi końcowe</w:t>
      </w:r>
      <w:bookmarkEnd w:id="100"/>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44357A">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47A3" w14:textId="77777777" w:rsidR="0044357A" w:rsidRDefault="0044357A" w:rsidP="00F10DFC">
      <w:pPr>
        <w:spacing w:after="0" w:line="240" w:lineRule="auto"/>
      </w:pPr>
      <w:r>
        <w:separator/>
      </w:r>
    </w:p>
  </w:endnote>
  <w:endnote w:type="continuationSeparator" w:id="0">
    <w:p w14:paraId="08B44720" w14:textId="77777777" w:rsidR="0044357A" w:rsidRDefault="0044357A"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4255" w14:textId="77777777" w:rsidR="0044357A" w:rsidRDefault="0044357A" w:rsidP="00F10DFC">
      <w:pPr>
        <w:spacing w:after="0" w:line="240" w:lineRule="auto"/>
      </w:pPr>
      <w:r>
        <w:separator/>
      </w:r>
    </w:p>
  </w:footnote>
  <w:footnote w:type="continuationSeparator" w:id="0">
    <w:p w14:paraId="2459392C" w14:textId="77777777" w:rsidR="0044357A" w:rsidRDefault="0044357A"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25842093" w:rsidR="009A6093" w:rsidRDefault="009A6093" w:rsidP="004517A2">
    <w:pPr>
      <w:pStyle w:val="Nagwek"/>
      <w:jc w:val="right"/>
    </w:pPr>
    <w:r>
      <w:t xml:space="preserve">Załącznik nr 1 do Uchwały </w:t>
    </w:r>
    <w:r w:rsidR="0011573B">
      <w:t xml:space="preserve">nr </w:t>
    </w:r>
    <w:r w:rsidR="00CD7BE7">
      <w:t>1070</w:t>
    </w:r>
    <w:r>
      <w:t>/202</w:t>
    </w:r>
    <w:r w:rsidR="009B5E7B">
      <w:t>4</w:t>
    </w:r>
  </w:p>
  <w:p w14:paraId="1CD482E1" w14:textId="00FFEBCB" w:rsidR="009A6093" w:rsidRDefault="009A6093" w:rsidP="004517A2">
    <w:pPr>
      <w:pStyle w:val="Nagwek"/>
      <w:jc w:val="right"/>
    </w:pPr>
    <w:r>
      <w:t>Zarządu Województwa Opolskiego</w:t>
    </w:r>
  </w:p>
  <w:p w14:paraId="1FADC463" w14:textId="264B5747" w:rsidR="009A6093" w:rsidRDefault="009A6093" w:rsidP="004517A2">
    <w:pPr>
      <w:pStyle w:val="Nagwek"/>
      <w:jc w:val="right"/>
    </w:pPr>
    <w:r>
      <w:t xml:space="preserve">z </w:t>
    </w:r>
    <w:r w:rsidR="00C22734">
      <w:t>dnia</w:t>
    </w:r>
    <w:r w:rsidR="00CD7BE7">
      <w:t xml:space="preserve"> 1</w:t>
    </w:r>
    <w:r w:rsidR="008735BC">
      <w:t xml:space="preserve"> października</w:t>
    </w:r>
    <w:r w:rsidR="00845C19">
      <w:t xml:space="preserve"> </w:t>
    </w:r>
    <w:r>
      <w:t>202</w:t>
    </w:r>
    <w:r w:rsidR="00BF1A41">
      <w:t>4</w:t>
    </w:r>
    <w:r>
      <w:t xml:space="preserve"> r.</w:t>
    </w:r>
  </w:p>
  <w:p w14:paraId="6853CADA" w14:textId="77777777" w:rsidR="009A6093" w:rsidRDefault="009A6093" w:rsidP="00E57116">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786"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026F1A0"/>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3E2A4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EA4962"/>
    <w:multiLevelType w:val="hybridMultilevel"/>
    <w:tmpl w:val="3E2A48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AF308A"/>
    <w:multiLevelType w:val="hybridMultilevel"/>
    <w:tmpl w:val="536489A2"/>
    <w:lvl w:ilvl="0" w:tplc="9EEE8A1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8"/>
  </w:num>
  <w:num w:numId="4" w16cid:durableId="511262396">
    <w:abstractNumId w:val="10"/>
  </w:num>
  <w:num w:numId="5" w16cid:durableId="119880091">
    <w:abstractNumId w:val="18"/>
  </w:num>
  <w:num w:numId="6" w16cid:durableId="1714229058">
    <w:abstractNumId w:val="19"/>
  </w:num>
  <w:num w:numId="7" w16cid:durableId="1395660372">
    <w:abstractNumId w:val="15"/>
  </w:num>
  <w:num w:numId="8" w16cid:durableId="1647592150">
    <w:abstractNumId w:val="4"/>
  </w:num>
  <w:num w:numId="9" w16cid:durableId="429669190">
    <w:abstractNumId w:val="27"/>
  </w:num>
  <w:num w:numId="10" w16cid:durableId="1422019764">
    <w:abstractNumId w:val="9"/>
  </w:num>
  <w:num w:numId="11" w16cid:durableId="1589729469">
    <w:abstractNumId w:val="3"/>
  </w:num>
  <w:num w:numId="12" w16cid:durableId="492992399">
    <w:abstractNumId w:val="7"/>
  </w:num>
  <w:num w:numId="13" w16cid:durableId="1980258726">
    <w:abstractNumId w:val="25"/>
  </w:num>
  <w:num w:numId="14" w16cid:durableId="1560243268">
    <w:abstractNumId w:val="21"/>
  </w:num>
  <w:num w:numId="15" w16cid:durableId="1206336233">
    <w:abstractNumId w:val="8"/>
  </w:num>
  <w:num w:numId="16" w16cid:durableId="67119119">
    <w:abstractNumId w:val="23"/>
  </w:num>
  <w:num w:numId="17" w16cid:durableId="525869755">
    <w:abstractNumId w:val="5"/>
  </w:num>
  <w:num w:numId="18" w16cid:durableId="196625547">
    <w:abstractNumId w:val="16"/>
  </w:num>
  <w:num w:numId="19" w16cid:durableId="1052384883">
    <w:abstractNumId w:val="22"/>
  </w:num>
  <w:num w:numId="20" w16cid:durableId="1421413557">
    <w:abstractNumId w:val="20"/>
  </w:num>
  <w:num w:numId="21" w16cid:durableId="1043365547">
    <w:abstractNumId w:val="13"/>
  </w:num>
  <w:num w:numId="22" w16cid:durableId="673071793">
    <w:abstractNumId w:val="1"/>
  </w:num>
  <w:num w:numId="23" w16cid:durableId="1137988676">
    <w:abstractNumId w:val="26"/>
  </w:num>
  <w:num w:numId="24" w16cid:durableId="2061205136">
    <w:abstractNumId w:val="6"/>
  </w:num>
  <w:num w:numId="25" w16cid:durableId="625236492">
    <w:abstractNumId w:val="12"/>
  </w:num>
  <w:num w:numId="26" w16cid:durableId="546338975">
    <w:abstractNumId w:val="11"/>
  </w:num>
  <w:num w:numId="27" w16cid:durableId="442071529">
    <w:abstractNumId w:val="24"/>
  </w:num>
  <w:num w:numId="28" w16cid:durableId="1740787066">
    <w:abstractNumId w:val="14"/>
  </w:num>
  <w:num w:numId="29" w16cid:durableId="197382949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06F47"/>
    <w:rsid w:val="000119EF"/>
    <w:rsid w:val="000121F6"/>
    <w:rsid w:val="000227A3"/>
    <w:rsid w:val="00025ABC"/>
    <w:rsid w:val="0003259F"/>
    <w:rsid w:val="00036074"/>
    <w:rsid w:val="000364F3"/>
    <w:rsid w:val="00041285"/>
    <w:rsid w:val="000473FB"/>
    <w:rsid w:val="000563B4"/>
    <w:rsid w:val="0006467A"/>
    <w:rsid w:val="000647B0"/>
    <w:rsid w:val="00065DD7"/>
    <w:rsid w:val="000711F1"/>
    <w:rsid w:val="00071787"/>
    <w:rsid w:val="00075A7D"/>
    <w:rsid w:val="00086CE2"/>
    <w:rsid w:val="000871C9"/>
    <w:rsid w:val="000A2FBD"/>
    <w:rsid w:val="000A4176"/>
    <w:rsid w:val="000A546E"/>
    <w:rsid w:val="000A559F"/>
    <w:rsid w:val="000B62F7"/>
    <w:rsid w:val="000C2BB1"/>
    <w:rsid w:val="000D0DDE"/>
    <w:rsid w:val="000E002C"/>
    <w:rsid w:val="000E2036"/>
    <w:rsid w:val="000E51FC"/>
    <w:rsid w:val="000F2F7C"/>
    <w:rsid w:val="000F4FBD"/>
    <w:rsid w:val="001012A0"/>
    <w:rsid w:val="0010586D"/>
    <w:rsid w:val="00106D4A"/>
    <w:rsid w:val="0011573B"/>
    <w:rsid w:val="001172A3"/>
    <w:rsid w:val="00117831"/>
    <w:rsid w:val="00124D20"/>
    <w:rsid w:val="00125CED"/>
    <w:rsid w:val="00126CAB"/>
    <w:rsid w:val="001309A5"/>
    <w:rsid w:val="00133D0A"/>
    <w:rsid w:val="0013583B"/>
    <w:rsid w:val="001358E3"/>
    <w:rsid w:val="0014241C"/>
    <w:rsid w:val="001432DB"/>
    <w:rsid w:val="00144984"/>
    <w:rsid w:val="00144A40"/>
    <w:rsid w:val="001468A6"/>
    <w:rsid w:val="001472BF"/>
    <w:rsid w:val="00155636"/>
    <w:rsid w:val="001574CC"/>
    <w:rsid w:val="00162AC3"/>
    <w:rsid w:val="001634AD"/>
    <w:rsid w:val="001669CD"/>
    <w:rsid w:val="00172722"/>
    <w:rsid w:val="0017592D"/>
    <w:rsid w:val="001761D1"/>
    <w:rsid w:val="00182FD4"/>
    <w:rsid w:val="00193F2D"/>
    <w:rsid w:val="00196062"/>
    <w:rsid w:val="001A7264"/>
    <w:rsid w:val="001C198B"/>
    <w:rsid w:val="001C2BA4"/>
    <w:rsid w:val="001C4318"/>
    <w:rsid w:val="001C45AE"/>
    <w:rsid w:val="001D0A24"/>
    <w:rsid w:val="001D1C01"/>
    <w:rsid w:val="001E4D30"/>
    <w:rsid w:val="001E5790"/>
    <w:rsid w:val="001E640B"/>
    <w:rsid w:val="001F0CF6"/>
    <w:rsid w:val="001F204D"/>
    <w:rsid w:val="001F2554"/>
    <w:rsid w:val="001F51B1"/>
    <w:rsid w:val="002019DE"/>
    <w:rsid w:val="0020558E"/>
    <w:rsid w:val="002056EE"/>
    <w:rsid w:val="00214701"/>
    <w:rsid w:val="002332A3"/>
    <w:rsid w:val="00247662"/>
    <w:rsid w:val="002561E1"/>
    <w:rsid w:val="002569D3"/>
    <w:rsid w:val="00263D32"/>
    <w:rsid w:val="002704EB"/>
    <w:rsid w:val="00270F15"/>
    <w:rsid w:val="0027138D"/>
    <w:rsid w:val="0027542A"/>
    <w:rsid w:val="00277EF1"/>
    <w:rsid w:val="00286BEB"/>
    <w:rsid w:val="00291EB3"/>
    <w:rsid w:val="0029456D"/>
    <w:rsid w:val="002A6DD3"/>
    <w:rsid w:val="002B18FB"/>
    <w:rsid w:val="002B36F8"/>
    <w:rsid w:val="002C384D"/>
    <w:rsid w:val="002C7910"/>
    <w:rsid w:val="002D2AFC"/>
    <w:rsid w:val="002E7910"/>
    <w:rsid w:val="002F6027"/>
    <w:rsid w:val="00301F53"/>
    <w:rsid w:val="00305985"/>
    <w:rsid w:val="003217E7"/>
    <w:rsid w:val="00335CAB"/>
    <w:rsid w:val="00335D7D"/>
    <w:rsid w:val="003414EC"/>
    <w:rsid w:val="00342C07"/>
    <w:rsid w:val="00345EFC"/>
    <w:rsid w:val="00357B3D"/>
    <w:rsid w:val="003669A4"/>
    <w:rsid w:val="00370CEB"/>
    <w:rsid w:val="0037212A"/>
    <w:rsid w:val="00373758"/>
    <w:rsid w:val="00387821"/>
    <w:rsid w:val="00391A5B"/>
    <w:rsid w:val="003A185D"/>
    <w:rsid w:val="003A1F75"/>
    <w:rsid w:val="003A38F9"/>
    <w:rsid w:val="003A7CE9"/>
    <w:rsid w:val="003A7F99"/>
    <w:rsid w:val="003C074D"/>
    <w:rsid w:val="003C42C1"/>
    <w:rsid w:val="003C5EA8"/>
    <w:rsid w:val="003C7D47"/>
    <w:rsid w:val="003D024B"/>
    <w:rsid w:val="003D10CE"/>
    <w:rsid w:val="003E0B78"/>
    <w:rsid w:val="003E2308"/>
    <w:rsid w:val="003F0938"/>
    <w:rsid w:val="003F2AC9"/>
    <w:rsid w:val="003F30E8"/>
    <w:rsid w:val="003F401B"/>
    <w:rsid w:val="003F533F"/>
    <w:rsid w:val="00401F80"/>
    <w:rsid w:val="00402FD8"/>
    <w:rsid w:val="0040672E"/>
    <w:rsid w:val="00410E98"/>
    <w:rsid w:val="00413083"/>
    <w:rsid w:val="0041459A"/>
    <w:rsid w:val="004157AE"/>
    <w:rsid w:val="00416D99"/>
    <w:rsid w:val="0042179A"/>
    <w:rsid w:val="004246CD"/>
    <w:rsid w:val="0043025B"/>
    <w:rsid w:val="00433E80"/>
    <w:rsid w:val="00437BE1"/>
    <w:rsid w:val="00440909"/>
    <w:rsid w:val="00442BB8"/>
    <w:rsid w:val="0044357A"/>
    <w:rsid w:val="0044676C"/>
    <w:rsid w:val="004517A2"/>
    <w:rsid w:val="00452B70"/>
    <w:rsid w:val="0045361D"/>
    <w:rsid w:val="00457BE7"/>
    <w:rsid w:val="00473862"/>
    <w:rsid w:val="0048729F"/>
    <w:rsid w:val="00493CE1"/>
    <w:rsid w:val="004973FC"/>
    <w:rsid w:val="00497CB5"/>
    <w:rsid w:val="004A699C"/>
    <w:rsid w:val="004B29C1"/>
    <w:rsid w:val="004B4A79"/>
    <w:rsid w:val="004C013B"/>
    <w:rsid w:val="004C2B09"/>
    <w:rsid w:val="004C44AB"/>
    <w:rsid w:val="004C604F"/>
    <w:rsid w:val="004D01F5"/>
    <w:rsid w:val="004D124B"/>
    <w:rsid w:val="004D27EE"/>
    <w:rsid w:val="004E16D3"/>
    <w:rsid w:val="004E355A"/>
    <w:rsid w:val="004E4EA8"/>
    <w:rsid w:val="004F2968"/>
    <w:rsid w:val="004F7D9D"/>
    <w:rsid w:val="00500A9F"/>
    <w:rsid w:val="00503811"/>
    <w:rsid w:val="00505EDB"/>
    <w:rsid w:val="005126F0"/>
    <w:rsid w:val="0051304D"/>
    <w:rsid w:val="0051431A"/>
    <w:rsid w:val="00515052"/>
    <w:rsid w:val="005155E3"/>
    <w:rsid w:val="00517CFE"/>
    <w:rsid w:val="00520D9B"/>
    <w:rsid w:val="00520F59"/>
    <w:rsid w:val="005274DB"/>
    <w:rsid w:val="00531D76"/>
    <w:rsid w:val="00537E46"/>
    <w:rsid w:val="0054231E"/>
    <w:rsid w:val="00546C04"/>
    <w:rsid w:val="00555E08"/>
    <w:rsid w:val="005611DD"/>
    <w:rsid w:val="00561656"/>
    <w:rsid w:val="00562790"/>
    <w:rsid w:val="005651CC"/>
    <w:rsid w:val="00567A85"/>
    <w:rsid w:val="005703E8"/>
    <w:rsid w:val="00571001"/>
    <w:rsid w:val="00571E12"/>
    <w:rsid w:val="005739BD"/>
    <w:rsid w:val="0057451C"/>
    <w:rsid w:val="0057572D"/>
    <w:rsid w:val="005762E0"/>
    <w:rsid w:val="00587B34"/>
    <w:rsid w:val="00592070"/>
    <w:rsid w:val="005A4ECF"/>
    <w:rsid w:val="005A6AB6"/>
    <w:rsid w:val="005B2EBF"/>
    <w:rsid w:val="005B6ABE"/>
    <w:rsid w:val="005C0E6B"/>
    <w:rsid w:val="005D036B"/>
    <w:rsid w:val="005D068D"/>
    <w:rsid w:val="005D33F1"/>
    <w:rsid w:val="005D6447"/>
    <w:rsid w:val="005D6C4A"/>
    <w:rsid w:val="005E1DF6"/>
    <w:rsid w:val="005E220D"/>
    <w:rsid w:val="005E4410"/>
    <w:rsid w:val="005E525F"/>
    <w:rsid w:val="005F18CF"/>
    <w:rsid w:val="005F62B3"/>
    <w:rsid w:val="005F6A8C"/>
    <w:rsid w:val="0060192D"/>
    <w:rsid w:val="00603355"/>
    <w:rsid w:val="006059C5"/>
    <w:rsid w:val="00606432"/>
    <w:rsid w:val="006140D1"/>
    <w:rsid w:val="00614360"/>
    <w:rsid w:val="006158F7"/>
    <w:rsid w:val="0062218A"/>
    <w:rsid w:val="00634629"/>
    <w:rsid w:val="00635B6A"/>
    <w:rsid w:val="006377DE"/>
    <w:rsid w:val="00640113"/>
    <w:rsid w:val="00640EAD"/>
    <w:rsid w:val="00647559"/>
    <w:rsid w:val="00654200"/>
    <w:rsid w:val="00663D9F"/>
    <w:rsid w:val="00665D59"/>
    <w:rsid w:val="00671097"/>
    <w:rsid w:val="00671D3C"/>
    <w:rsid w:val="006725F7"/>
    <w:rsid w:val="00675CE8"/>
    <w:rsid w:val="00676940"/>
    <w:rsid w:val="006825D7"/>
    <w:rsid w:val="00682B47"/>
    <w:rsid w:val="0069229A"/>
    <w:rsid w:val="00692449"/>
    <w:rsid w:val="00695AEE"/>
    <w:rsid w:val="006A2DD1"/>
    <w:rsid w:val="006A3F7A"/>
    <w:rsid w:val="006A748F"/>
    <w:rsid w:val="006B249B"/>
    <w:rsid w:val="006B3E6F"/>
    <w:rsid w:val="006B67BB"/>
    <w:rsid w:val="006B6952"/>
    <w:rsid w:val="006D00D7"/>
    <w:rsid w:val="006D18C7"/>
    <w:rsid w:val="006D3C0A"/>
    <w:rsid w:val="006E1A05"/>
    <w:rsid w:val="006E5882"/>
    <w:rsid w:val="006E759B"/>
    <w:rsid w:val="006F2F1B"/>
    <w:rsid w:val="006F4890"/>
    <w:rsid w:val="006F727D"/>
    <w:rsid w:val="00710C89"/>
    <w:rsid w:val="00716419"/>
    <w:rsid w:val="007227BA"/>
    <w:rsid w:val="00724871"/>
    <w:rsid w:val="00732B0A"/>
    <w:rsid w:val="007340E8"/>
    <w:rsid w:val="00746B29"/>
    <w:rsid w:val="0075176F"/>
    <w:rsid w:val="00752A6C"/>
    <w:rsid w:val="0075300D"/>
    <w:rsid w:val="00761A6D"/>
    <w:rsid w:val="00764FFC"/>
    <w:rsid w:val="0077106E"/>
    <w:rsid w:val="00773A3E"/>
    <w:rsid w:val="00773A53"/>
    <w:rsid w:val="007750E3"/>
    <w:rsid w:val="00780CEB"/>
    <w:rsid w:val="00784B51"/>
    <w:rsid w:val="00786A73"/>
    <w:rsid w:val="00791D98"/>
    <w:rsid w:val="007A6E2E"/>
    <w:rsid w:val="007B3C63"/>
    <w:rsid w:val="007B7DDA"/>
    <w:rsid w:val="007C188F"/>
    <w:rsid w:val="007C4077"/>
    <w:rsid w:val="007C5F5C"/>
    <w:rsid w:val="007C6350"/>
    <w:rsid w:val="007C7B7E"/>
    <w:rsid w:val="007D1484"/>
    <w:rsid w:val="007D1716"/>
    <w:rsid w:val="007D346E"/>
    <w:rsid w:val="007F0BCA"/>
    <w:rsid w:val="007F2BAC"/>
    <w:rsid w:val="008047AE"/>
    <w:rsid w:val="00804EA9"/>
    <w:rsid w:val="008105BA"/>
    <w:rsid w:val="00812724"/>
    <w:rsid w:val="00812EC2"/>
    <w:rsid w:val="00814BD6"/>
    <w:rsid w:val="00814D3B"/>
    <w:rsid w:val="008203BE"/>
    <w:rsid w:val="00825AD6"/>
    <w:rsid w:val="00830F27"/>
    <w:rsid w:val="00831568"/>
    <w:rsid w:val="00845C19"/>
    <w:rsid w:val="00850C7A"/>
    <w:rsid w:val="0085198A"/>
    <w:rsid w:val="00853A3B"/>
    <w:rsid w:val="0086435F"/>
    <w:rsid w:val="00865DA4"/>
    <w:rsid w:val="0086648A"/>
    <w:rsid w:val="008735BC"/>
    <w:rsid w:val="00874802"/>
    <w:rsid w:val="008762B0"/>
    <w:rsid w:val="008861EC"/>
    <w:rsid w:val="008A35EC"/>
    <w:rsid w:val="008A7122"/>
    <w:rsid w:val="008B45D7"/>
    <w:rsid w:val="008B7C53"/>
    <w:rsid w:val="008C0D83"/>
    <w:rsid w:val="008C1EA3"/>
    <w:rsid w:val="008C2C39"/>
    <w:rsid w:val="008C323E"/>
    <w:rsid w:val="008C3AF4"/>
    <w:rsid w:val="008C67BD"/>
    <w:rsid w:val="008D211C"/>
    <w:rsid w:val="008D5FAB"/>
    <w:rsid w:val="008D7C27"/>
    <w:rsid w:val="008F4134"/>
    <w:rsid w:val="008F60D8"/>
    <w:rsid w:val="008F7450"/>
    <w:rsid w:val="008F7837"/>
    <w:rsid w:val="00901110"/>
    <w:rsid w:val="00904EAB"/>
    <w:rsid w:val="009052E1"/>
    <w:rsid w:val="00907106"/>
    <w:rsid w:val="0091015D"/>
    <w:rsid w:val="00912F53"/>
    <w:rsid w:val="00914630"/>
    <w:rsid w:val="00922168"/>
    <w:rsid w:val="00923C93"/>
    <w:rsid w:val="009328E5"/>
    <w:rsid w:val="00933EEA"/>
    <w:rsid w:val="009354EA"/>
    <w:rsid w:val="00943CE2"/>
    <w:rsid w:val="0094697F"/>
    <w:rsid w:val="00961EA3"/>
    <w:rsid w:val="009636AB"/>
    <w:rsid w:val="00984211"/>
    <w:rsid w:val="00984964"/>
    <w:rsid w:val="009855E2"/>
    <w:rsid w:val="00986908"/>
    <w:rsid w:val="00987FCC"/>
    <w:rsid w:val="009922B4"/>
    <w:rsid w:val="009941D8"/>
    <w:rsid w:val="009A1829"/>
    <w:rsid w:val="009A2088"/>
    <w:rsid w:val="009A4137"/>
    <w:rsid w:val="009A6093"/>
    <w:rsid w:val="009A68FC"/>
    <w:rsid w:val="009B0D9F"/>
    <w:rsid w:val="009B1E91"/>
    <w:rsid w:val="009B5E7B"/>
    <w:rsid w:val="009C169E"/>
    <w:rsid w:val="009D1615"/>
    <w:rsid w:val="009F01C3"/>
    <w:rsid w:val="009F2C5C"/>
    <w:rsid w:val="00A00212"/>
    <w:rsid w:val="00A049E4"/>
    <w:rsid w:val="00A05BC2"/>
    <w:rsid w:val="00A12A28"/>
    <w:rsid w:val="00A15BCC"/>
    <w:rsid w:val="00A20E78"/>
    <w:rsid w:val="00A43CA6"/>
    <w:rsid w:val="00A45F21"/>
    <w:rsid w:val="00A544A5"/>
    <w:rsid w:val="00A6131B"/>
    <w:rsid w:val="00A63489"/>
    <w:rsid w:val="00A636B5"/>
    <w:rsid w:val="00A73E55"/>
    <w:rsid w:val="00A80880"/>
    <w:rsid w:val="00A846D1"/>
    <w:rsid w:val="00A867C8"/>
    <w:rsid w:val="00A963C0"/>
    <w:rsid w:val="00AA1892"/>
    <w:rsid w:val="00AA6646"/>
    <w:rsid w:val="00AB3CD4"/>
    <w:rsid w:val="00AB6825"/>
    <w:rsid w:val="00AB7794"/>
    <w:rsid w:val="00AC2CFE"/>
    <w:rsid w:val="00AC37F6"/>
    <w:rsid w:val="00AC7EAB"/>
    <w:rsid w:val="00AD427E"/>
    <w:rsid w:val="00AD5955"/>
    <w:rsid w:val="00AE25D5"/>
    <w:rsid w:val="00AE6487"/>
    <w:rsid w:val="00AF3BC5"/>
    <w:rsid w:val="00AF5E2B"/>
    <w:rsid w:val="00B018A0"/>
    <w:rsid w:val="00B04EC2"/>
    <w:rsid w:val="00B164FE"/>
    <w:rsid w:val="00B17779"/>
    <w:rsid w:val="00B25234"/>
    <w:rsid w:val="00B304F1"/>
    <w:rsid w:val="00B33EB7"/>
    <w:rsid w:val="00B37C7F"/>
    <w:rsid w:val="00B40691"/>
    <w:rsid w:val="00B40FFB"/>
    <w:rsid w:val="00B447D1"/>
    <w:rsid w:val="00B5490A"/>
    <w:rsid w:val="00B64393"/>
    <w:rsid w:val="00B65829"/>
    <w:rsid w:val="00B766F6"/>
    <w:rsid w:val="00B82A29"/>
    <w:rsid w:val="00B84598"/>
    <w:rsid w:val="00B859FE"/>
    <w:rsid w:val="00B8656D"/>
    <w:rsid w:val="00B87266"/>
    <w:rsid w:val="00B915E2"/>
    <w:rsid w:val="00BA2233"/>
    <w:rsid w:val="00BA25C2"/>
    <w:rsid w:val="00BA265D"/>
    <w:rsid w:val="00BA29C4"/>
    <w:rsid w:val="00BB0F51"/>
    <w:rsid w:val="00BB1E61"/>
    <w:rsid w:val="00BB2028"/>
    <w:rsid w:val="00BC4803"/>
    <w:rsid w:val="00BD73ED"/>
    <w:rsid w:val="00BE190D"/>
    <w:rsid w:val="00BE2992"/>
    <w:rsid w:val="00BE2BBC"/>
    <w:rsid w:val="00BE6E21"/>
    <w:rsid w:val="00BE6EFF"/>
    <w:rsid w:val="00BF1060"/>
    <w:rsid w:val="00BF1A41"/>
    <w:rsid w:val="00BF65E5"/>
    <w:rsid w:val="00C02EEC"/>
    <w:rsid w:val="00C10806"/>
    <w:rsid w:val="00C115B5"/>
    <w:rsid w:val="00C11D3A"/>
    <w:rsid w:val="00C13A75"/>
    <w:rsid w:val="00C21A4C"/>
    <w:rsid w:val="00C22734"/>
    <w:rsid w:val="00C265B9"/>
    <w:rsid w:val="00C33AA7"/>
    <w:rsid w:val="00C3491C"/>
    <w:rsid w:val="00C64B98"/>
    <w:rsid w:val="00C7121B"/>
    <w:rsid w:val="00C712B4"/>
    <w:rsid w:val="00C71FEE"/>
    <w:rsid w:val="00C81003"/>
    <w:rsid w:val="00C81C28"/>
    <w:rsid w:val="00C828FE"/>
    <w:rsid w:val="00C9162B"/>
    <w:rsid w:val="00CA1853"/>
    <w:rsid w:val="00CA7E5C"/>
    <w:rsid w:val="00CB3A1F"/>
    <w:rsid w:val="00CC260F"/>
    <w:rsid w:val="00CC47EE"/>
    <w:rsid w:val="00CD5866"/>
    <w:rsid w:val="00CD70A0"/>
    <w:rsid w:val="00CD7BE7"/>
    <w:rsid w:val="00CE39B1"/>
    <w:rsid w:val="00CE3E34"/>
    <w:rsid w:val="00CE7B7D"/>
    <w:rsid w:val="00CF1D9F"/>
    <w:rsid w:val="00CF303C"/>
    <w:rsid w:val="00CF5F1D"/>
    <w:rsid w:val="00D109C4"/>
    <w:rsid w:val="00D10FF7"/>
    <w:rsid w:val="00D110D5"/>
    <w:rsid w:val="00D11C9C"/>
    <w:rsid w:val="00D124E8"/>
    <w:rsid w:val="00D150F3"/>
    <w:rsid w:val="00D31761"/>
    <w:rsid w:val="00D3367F"/>
    <w:rsid w:val="00D4380F"/>
    <w:rsid w:val="00D449CC"/>
    <w:rsid w:val="00D50A98"/>
    <w:rsid w:val="00D52254"/>
    <w:rsid w:val="00D64BE3"/>
    <w:rsid w:val="00D66D65"/>
    <w:rsid w:val="00D674B1"/>
    <w:rsid w:val="00D735BE"/>
    <w:rsid w:val="00D7718A"/>
    <w:rsid w:val="00D77F68"/>
    <w:rsid w:val="00D81388"/>
    <w:rsid w:val="00D91227"/>
    <w:rsid w:val="00D96B8B"/>
    <w:rsid w:val="00D973F5"/>
    <w:rsid w:val="00DA031C"/>
    <w:rsid w:val="00DA408B"/>
    <w:rsid w:val="00DA43A5"/>
    <w:rsid w:val="00DA6EE9"/>
    <w:rsid w:val="00DC2860"/>
    <w:rsid w:val="00DD1FA3"/>
    <w:rsid w:val="00DD360D"/>
    <w:rsid w:val="00DE2C1E"/>
    <w:rsid w:val="00DE4599"/>
    <w:rsid w:val="00DF0F1C"/>
    <w:rsid w:val="00E01A83"/>
    <w:rsid w:val="00E07388"/>
    <w:rsid w:val="00E07867"/>
    <w:rsid w:val="00E16644"/>
    <w:rsid w:val="00E17957"/>
    <w:rsid w:val="00E22DD0"/>
    <w:rsid w:val="00E23017"/>
    <w:rsid w:val="00E272AD"/>
    <w:rsid w:val="00E4122B"/>
    <w:rsid w:val="00E41C27"/>
    <w:rsid w:val="00E47B1F"/>
    <w:rsid w:val="00E56AAA"/>
    <w:rsid w:val="00E57116"/>
    <w:rsid w:val="00E6507A"/>
    <w:rsid w:val="00E7098D"/>
    <w:rsid w:val="00E72CBC"/>
    <w:rsid w:val="00E772BB"/>
    <w:rsid w:val="00E87344"/>
    <w:rsid w:val="00E87AD0"/>
    <w:rsid w:val="00E91CB3"/>
    <w:rsid w:val="00E934AA"/>
    <w:rsid w:val="00EA7409"/>
    <w:rsid w:val="00EB1709"/>
    <w:rsid w:val="00EB64AD"/>
    <w:rsid w:val="00EC0ABE"/>
    <w:rsid w:val="00EC2D35"/>
    <w:rsid w:val="00EC5A5B"/>
    <w:rsid w:val="00EC5D56"/>
    <w:rsid w:val="00ED1455"/>
    <w:rsid w:val="00ED723E"/>
    <w:rsid w:val="00EE1FA0"/>
    <w:rsid w:val="00EE5703"/>
    <w:rsid w:val="00EE65A1"/>
    <w:rsid w:val="00EF7276"/>
    <w:rsid w:val="00EF7953"/>
    <w:rsid w:val="00F10DFC"/>
    <w:rsid w:val="00F11729"/>
    <w:rsid w:val="00F1519D"/>
    <w:rsid w:val="00F17F13"/>
    <w:rsid w:val="00F2055B"/>
    <w:rsid w:val="00F20F56"/>
    <w:rsid w:val="00F3099E"/>
    <w:rsid w:val="00F37DC5"/>
    <w:rsid w:val="00F407DE"/>
    <w:rsid w:val="00F40C48"/>
    <w:rsid w:val="00F46681"/>
    <w:rsid w:val="00F61A0C"/>
    <w:rsid w:val="00F66881"/>
    <w:rsid w:val="00F70797"/>
    <w:rsid w:val="00F77333"/>
    <w:rsid w:val="00F77EC2"/>
    <w:rsid w:val="00F82351"/>
    <w:rsid w:val="00F8319B"/>
    <w:rsid w:val="00F84C3A"/>
    <w:rsid w:val="00F953D5"/>
    <w:rsid w:val="00F9595B"/>
    <w:rsid w:val="00F95B3E"/>
    <w:rsid w:val="00F9614F"/>
    <w:rsid w:val="00F96EDA"/>
    <w:rsid w:val="00F97B78"/>
    <w:rsid w:val="00FA2B0B"/>
    <w:rsid w:val="00FA3414"/>
    <w:rsid w:val="00FA4B54"/>
    <w:rsid w:val="00FC24D3"/>
    <w:rsid w:val="00FC2770"/>
    <w:rsid w:val="00FC3F03"/>
    <w:rsid w:val="00FC4FC0"/>
    <w:rsid w:val="00FC71B7"/>
    <w:rsid w:val="00FC78BF"/>
    <w:rsid w:val="00FD2088"/>
    <w:rsid w:val="00FD4287"/>
    <w:rsid w:val="00FD70AD"/>
    <w:rsid w:val="00FE1EB0"/>
    <w:rsid w:val="00FE206C"/>
    <w:rsid w:val="00FE4F0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125CED"/>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675CE8"/>
    <w:pPr>
      <w:spacing w:after="0" w:line="240" w:lineRule="auto"/>
    </w:pPr>
  </w:style>
  <w:style w:type="character" w:styleId="UyteHipercze">
    <w:name w:val="FollowedHyperlink"/>
    <w:basedOn w:val="Domylnaczcionkaakapitu"/>
    <w:uiPriority w:val="99"/>
    <w:semiHidden/>
    <w:unhideWhenUsed/>
    <w:rsid w:val="00830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10730</Words>
  <Characters>64380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Anna Światły</cp:lastModifiedBy>
  <cp:revision>46</cp:revision>
  <cp:lastPrinted>2024-05-23T08:48:00Z</cp:lastPrinted>
  <dcterms:created xsi:type="dcterms:W3CDTF">2024-06-12T07:34:00Z</dcterms:created>
  <dcterms:modified xsi:type="dcterms:W3CDTF">2024-10-02T09:46:00Z</dcterms:modified>
</cp:coreProperties>
</file>