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6E" w:rsidRDefault="00EE2C61" w:rsidP="00E65A6E">
      <w:bookmarkStart w:id="0" w:name="_Hlk146613806"/>
      <w:r w:rsidRPr="00B94482">
        <w:rPr>
          <w:noProof/>
        </w:rPr>
        <w:drawing>
          <wp:inline distT="0" distB="0" distL="0" distR="0">
            <wp:extent cx="5762625" cy="466725"/>
            <wp:effectExtent l="0" t="0" r="0" b="0"/>
            <wp:docPr id="1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58" w:rsidRPr="00595C2B" w:rsidRDefault="005F2058" w:rsidP="005F2058">
      <w:pPr>
        <w:pStyle w:val="Nagwek1"/>
        <w:rPr>
          <w:rFonts w:cs="Arial"/>
        </w:rPr>
      </w:pPr>
      <w:r w:rsidRPr="00595C2B">
        <w:rPr>
          <w:rFonts w:cs="Arial"/>
        </w:rPr>
        <w:t xml:space="preserve">Opis zmian </w:t>
      </w:r>
      <w:r w:rsidRPr="00595C2B">
        <w:rPr>
          <w:rFonts w:eastAsia="Calibri" w:cs="Arial"/>
        </w:rPr>
        <w:t>Szczegółowego Opisu Priorytetów Programu Fundusze Europejskie dla Podkarpacia 2021-2027 (SZOP FEP 2021-2027)</w:t>
      </w:r>
    </w:p>
    <w:p w:rsidR="003B0683" w:rsidRDefault="003B0683" w:rsidP="00B43119">
      <w:pPr>
        <w:spacing w:line="312" w:lineRule="auto"/>
        <w:rPr>
          <w:rFonts w:ascii="Arial" w:eastAsia="Calibri" w:hAnsi="Arial" w:cs="Arial"/>
          <w:bCs/>
          <w:sz w:val="22"/>
          <w:szCs w:val="22"/>
        </w:rPr>
      </w:pPr>
    </w:p>
    <w:p w:rsidR="005F2058" w:rsidRDefault="005F2058" w:rsidP="00B43119">
      <w:pPr>
        <w:spacing w:line="312" w:lineRule="auto"/>
        <w:rPr>
          <w:rFonts w:ascii="Arial" w:hAnsi="Arial" w:cs="Arial"/>
          <w:sz w:val="22"/>
          <w:szCs w:val="22"/>
          <w:lang w:eastAsia="ar-SA"/>
        </w:rPr>
      </w:pPr>
    </w:p>
    <w:bookmarkEnd w:id="0"/>
    <w:p w:rsidR="008F5804" w:rsidRPr="00A5661A" w:rsidRDefault="008F5804" w:rsidP="008F5804">
      <w:pPr>
        <w:spacing w:line="312" w:lineRule="auto"/>
        <w:rPr>
          <w:rFonts w:ascii="Arial" w:hAnsi="Arial" w:cs="Arial"/>
          <w:b/>
          <w:sz w:val="23"/>
          <w:szCs w:val="23"/>
          <w:u w:val="single"/>
        </w:rPr>
      </w:pPr>
      <w:r w:rsidRPr="00A5661A">
        <w:rPr>
          <w:rFonts w:ascii="Arial" w:hAnsi="Arial" w:cs="Arial"/>
          <w:sz w:val="23"/>
          <w:szCs w:val="23"/>
          <w:lang w:eastAsia="ar-SA"/>
        </w:rPr>
        <w:t xml:space="preserve">Do dokumentu (w porównaniu do wersji </w:t>
      </w:r>
      <w:r w:rsidRPr="00A5661A">
        <w:rPr>
          <w:rFonts w:ascii="Arial" w:hAnsi="Arial" w:cs="Arial"/>
          <w:bCs/>
          <w:sz w:val="23"/>
          <w:szCs w:val="23"/>
        </w:rPr>
        <w:t xml:space="preserve">SZOP.FEPK.010 </w:t>
      </w:r>
      <w:r w:rsidRPr="00A5661A">
        <w:rPr>
          <w:rFonts w:ascii="Arial" w:hAnsi="Arial" w:cs="Arial"/>
          <w:sz w:val="23"/>
          <w:szCs w:val="23"/>
          <w:lang w:eastAsia="ar-SA"/>
        </w:rPr>
        <w:t xml:space="preserve">przyjętej przez Zarząd Województwa Podkarpackiego w Rzeszowie w dniu 23 lipca 2024 r.) </w:t>
      </w:r>
      <w:r w:rsidRPr="00A5661A">
        <w:rPr>
          <w:rFonts w:ascii="Arial" w:eastAsia="Calibri" w:hAnsi="Arial" w:cs="Arial"/>
          <w:sz w:val="23"/>
          <w:szCs w:val="23"/>
        </w:rPr>
        <w:t xml:space="preserve">wprowadzono </w:t>
      </w:r>
    </w:p>
    <w:p w:rsidR="008F5804" w:rsidRPr="00A5661A" w:rsidRDefault="008F5804" w:rsidP="008F5804">
      <w:pPr>
        <w:spacing w:line="276" w:lineRule="auto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nowe opisy lub modyfikacje / aktualizacje w zakresie następujących obszarów:</w:t>
      </w:r>
    </w:p>
    <w:p w:rsidR="008F5804" w:rsidRPr="00A5661A" w:rsidRDefault="008F5804" w:rsidP="008F5804">
      <w:pPr>
        <w:spacing w:line="276" w:lineRule="auto"/>
        <w:ind w:left="426"/>
        <w:jc w:val="center"/>
        <w:rPr>
          <w:rFonts w:ascii="Arial" w:eastAsia="Calibri" w:hAnsi="Arial" w:cs="Arial"/>
          <w:sz w:val="23"/>
          <w:szCs w:val="23"/>
          <w:u w:val="single"/>
          <w:lang w:eastAsia="ar-SA"/>
        </w:rPr>
      </w:pPr>
    </w:p>
    <w:p w:rsidR="008F5804" w:rsidRPr="00A5661A" w:rsidRDefault="008F5804" w:rsidP="008F5804">
      <w:pPr>
        <w:pStyle w:val="Nagwek2"/>
        <w:rPr>
          <w:rFonts w:eastAsia="Calibri"/>
        </w:rPr>
      </w:pPr>
      <w:r w:rsidRPr="00A5661A">
        <w:rPr>
          <w:rFonts w:eastAsia="Calibri"/>
        </w:rPr>
        <w:t>EFRR</w:t>
      </w:r>
    </w:p>
    <w:p w:rsidR="008F5804" w:rsidRPr="00A5661A" w:rsidRDefault="008F5804" w:rsidP="008F5804">
      <w:pPr>
        <w:spacing w:line="276" w:lineRule="auto"/>
        <w:rPr>
          <w:rFonts w:ascii="Arial" w:eastAsia="Calibri" w:hAnsi="Arial" w:cs="Arial"/>
          <w:b/>
          <w:sz w:val="23"/>
          <w:szCs w:val="23"/>
          <w:u w:val="single"/>
        </w:rPr>
      </w:pPr>
    </w:p>
    <w:p w:rsidR="008F5804" w:rsidRPr="00A5661A" w:rsidRDefault="008F5804" w:rsidP="008F5804">
      <w:pPr>
        <w:pStyle w:val="Nagwek3"/>
        <w:rPr>
          <w:rFonts w:eastAsia="Calibri"/>
        </w:rPr>
      </w:pPr>
      <w:r w:rsidRPr="00A5661A">
        <w:rPr>
          <w:rFonts w:eastAsia="Calibri"/>
        </w:rPr>
        <w:t>Priorytet 1 Konkurencyjna i cyfrowa gospodarka:</w:t>
      </w:r>
    </w:p>
    <w:p w:rsidR="008F5804" w:rsidRPr="00A5661A" w:rsidRDefault="008F5804" w:rsidP="00F87226">
      <w:pPr>
        <w:pStyle w:val="Nagwek4"/>
        <w:rPr>
          <w:rFonts w:eastAsia="Calibri"/>
        </w:rPr>
      </w:pPr>
      <w:r w:rsidRPr="00A5661A">
        <w:rPr>
          <w:rFonts w:eastAsia="Calibri"/>
        </w:rPr>
        <w:t xml:space="preserve">Działanie 1.1 </w:t>
      </w:r>
      <w:r w:rsidRPr="00A5661A">
        <w:rPr>
          <w:rFonts w:eastAsia="Calibri"/>
          <w:i/>
        </w:rPr>
        <w:t>Badania i rozwój</w:t>
      </w:r>
      <w:r w:rsidRPr="00A5661A">
        <w:rPr>
          <w:rFonts w:eastAsia="Calibri"/>
        </w:rPr>
        <w:t xml:space="preserve"> – </w:t>
      </w:r>
      <w:r w:rsidRPr="00A5661A">
        <w:rPr>
          <w:rFonts w:eastAsia="Calibri"/>
          <w:u w:val="single"/>
        </w:rPr>
        <w:t>dodanie nowego typu projektu</w:t>
      </w:r>
      <w:r w:rsidRPr="00A5661A">
        <w:rPr>
          <w:rFonts w:eastAsia="Calibri"/>
        </w:rPr>
        <w:t>: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Rozwój publicznej infrastruktury organizacji badawczych;</w:t>
      </w:r>
    </w:p>
    <w:p w:rsidR="008F5804" w:rsidRPr="00A5661A" w:rsidRDefault="008F5804" w:rsidP="008F5804">
      <w:pPr>
        <w:pStyle w:val="Nagwek3"/>
        <w:rPr>
          <w:rFonts w:eastAsia="Calibri"/>
        </w:rPr>
      </w:pPr>
      <w:r w:rsidRPr="00A5661A">
        <w:rPr>
          <w:rFonts w:eastAsia="Calibri"/>
        </w:rPr>
        <w:t>Priorytet 2 Energia i środowisko:</w:t>
      </w:r>
    </w:p>
    <w:p w:rsidR="008F5804" w:rsidRPr="00A5661A" w:rsidRDefault="008F5804" w:rsidP="00F87226">
      <w:pPr>
        <w:pStyle w:val="Nagwek4"/>
        <w:rPr>
          <w:rFonts w:eastAsia="Calibri"/>
        </w:rPr>
      </w:pPr>
      <w:r w:rsidRPr="00A5661A">
        <w:rPr>
          <w:rFonts w:eastAsia="Calibri"/>
          <w:bCs/>
        </w:rPr>
        <w:t>Działanie 2.5</w:t>
      </w:r>
      <w:r w:rsidRPr="00A5661A">
        <w:rPr>
          <w:rFonts w:eastAsia="Calibri"/>
          <w:i/>
        </w:rPr>
        <w:t xml:space="preserve"> Adaptacja do zmian klimatu</w:t>
      </w:r>
      <w:r w:rsidRPr="00A5661A">
        <w:rPr>
          <w:rFonts w:eastAsia="Calibri"/>
        </w:rPr>
        <w:t xml:space="preserve"> – </w:t>
      </w:r>
      <w:r w:rsidRPr="00A5661A">
        <w:rPr>
          <w:rFonts w:eastAsia="Calibri"/>
          <w:u w:val="single"/>
        </w:rPr>
        <w:t>dodanie nowych typów projektów</w:t>
      </w:r>
      <w:r w:rsidRPr="00A5661A">
        <w:rPr>
          <w:rFonts w:eastAsia="Calibri"/>
        </w:rPr>
        <w:t>: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oparte na przyrodzie</w:t>
      </w:r>
      <w:r w:rsidRPr="00A5661A" w:rsidDel="00F471B7">
        <w:rPr>
          <w:rFonts w:ascii="Arial" w:eastAsia="Calibri" w:hAnsi="Arial" w:cs="Arial"/>
          <w:sz w:val="23"/>
          <w:szCs w:val="23"/>
        </w:rPr>
        <w:t xml:space="preserve"> </w:t>
      </w:r>
      <w:r w:rsidRPr="00A5661A">
        <w:rPr>
          <w:rFonts w:ascii="Arial" w:eastAsia="Calibri" w:hAnsi="Arial" w:cs="Arial"/>
          <w:sz w:val="23"/>
          <w:szCs w:val="23"/>
        </w:rPr>
        <w:t xml:space="preserve">inwestycje w niebieską lub zieloną infrastrukturę, 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rozwój małej retencji (np. tereny podmokłe, naturalne zbiorniki wodne zagrożone dużymi wahaniami poziomu zwierciadła wody z powodu wadliwie działających systemów melioracyjnych oraz zjawiska suszy),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edukacja w zakresie kwestii klimatycznych oraz ochrony zasobów wodnych (jako element projektów w typie 3 i 4, limit na poziomie projektów 50 tys. zł wydatków kwalifikowanych).</w:t>
      </w:r>
    </w:p>
    <w:p w:rsidR="008F5804" w:rsidRPr="00A5661A" w:rsidRDefault="008F5804" w:rsidP="00F87226">
      <w:pPr>
        <w:pStyle w:val="Nagwek4"/>
        <w:rPr>
          <w:rFonts w:eastAsia="Calibri"/>
          <w:bCs/>
        </w:rPr>
      </w:pPr>
      <w:bookmarkStart w:id="1" w:name="_Hlk177383769"/>
      <w:r w:rsidRPr="00A5661A">
        <w:rPr>
          <w:rFonts w:eastAsia="Calibri"/>
          <w:bCs/>
        </w:rPr>
        <w:t xml:space="preserve">Działanie 2.7  </w:t>
      </w:r>
      <w:r w:rsidRPr="00A5661A">
        <w:rPr>
          <w:rFonts w:eastAsia="Calibri"/>
        </w:rPr>
        <w:t>Gospodarka o obiegu zamkniętym: dodanie w Sekcji Wielkość podmiotu (w przypadku przedsiębiorstw) – Duże.</w:t>
      </w:r>
    </w:p>
    <w:bookmarkEnd w:id="1"/>
    <w:p w:rsidR="008F5804" w:rsidRPr="00A5661A" w:rsidRDefault="008F5804" w:rsidP="00F87226">
      <w:pPr>
        <w:pStyle w:val="Nagwek4"/>
        <w:rPr>
          <w:rFonts w:eastAsia="Calibri"/>
          <w:bCs/>
        </w:rPr>
      </w:pPr>
      <w:r w:rsidRPr="00A5661A">
        <w:rPr>
          <w:rFonts w:eastAsia="Calibri"/>
          <w:bCs/>
        </w:rPr>
        <w:t xml:space="preserve">Działanie 2.8 </w:t>
      </w:r>
      <w:r w:rsidRPr="00A5661A">
        <w:rPr>
          <w:rFonts w:eastAsia="Calibri"/>
        </w:rPr>
        <w:t>Ochrona przyrody i różnorodności biologicznej</w:t>
      </w:r>
      <w:r w:rsidRPr="00A5661A">
        <w:rPr>
          <w:rFonts w:eastAsia="Calibri"/>
          <w:u w:val="single"/>
        </w:rPr>
        <w:t xml:space="preserve"> - dodanie nowych typów projektów</w:t>
      </w:r>
      <w:r w:rsidRPr="00A5661A">
        <w:rPr>
          <w:rFonts w:eastAsia="Calibri"/>
        </w:rPr>
        <w:t>: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poszerzenie i dbałość (z wyłączeniem zabiegów pielęgnacyjnych) o obszary i obiekty objęte/obejmowane prawnymi formami ochrony przyrody (na obszarze gminy, powiatu, województwa), w tym projekty służące ochronie tych obszarów poprzez dywersyfikację ruchu turystycznego (wieże, punkty widokowe, ogrodzenia, platformy, miejsca odpoczynku),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ochrona czynna siedlisk i gatunków (ochrona in-situ, ex-situ) ograniczanie gatunków inwazyjnych, restytucja gatunków ginących, zachowanie i odnowa różnorodności biologicznej,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t>ochrona różnorodności biologicznej poprzez działania mające na celu tworzenie miejsc ochrony różnorodności biologicznej na obszarach miejskich i pozamiejskich w oparciu o gatunki rodzime podlegające ochronie (w tym projekty z zakresu zielonej lub niebieskiej infrastruktury, parki, ogrody botaniczne, banki genowe),</w:t>
      </w:r>
    </w:p>
    <w:p w:rsidR="008F5804" w:rsidRPr="00A5661A" w:rsidRDefault="008F5804" w:rsidP="00AC087D">
      <w:pPr>
        <w:numPr>
          <w:ilvl w:val="0"/>
          <w:numId w:val="2"/>
        </w:numPr>
        <w:suppressAutoHyphens/>
        <w:autoSpaceDN w:val="0"/>
        <w:spacing w:line="276" w:lineRule="auto"/>
        <w:ind w:left="1247" w:hanging="283"/>
        <w:textAlignment w:val="baseline"/>
        <w:rPr>
          <w:rFonts w:ascii="Arial" w:eastAsia="Calibri" w:hAnsi="Arial" w:cs="Arial"/>
          <w:sz w:val="23"/>
          <w:szCs w:val="23"/>
        </w:rPr>
      </w:pPr>
      <w:r w:rsidRPr="00A5661A">
        <w:rPr>
          <w:rFonts w:ascii="Arial" w:eastAsia="Calibri" w:hAnsi="Arial" w:cs="Arial"/>
          <w:sz w:val="23"/>
          <w:szCs w:val="23"/>
        </w:rPr>
        <w:lastRenderedPageBreak/>
        <w:t>edukacja w zakresie ochrony przyrody i różnorodności biologicznej (jako element projektów w typie 3, 4 i 5, limit na poziomie projektów 50 tys. zł</w:t>
      </w:r>
      <w:r w:rsidRPr="00A5661A">
        <w:rPr>
          <w:rFonts w:ascii="Arial" w:hAnsi="Arial" w:cs="Arial"/>
          <w:sz w:val="23"/>
          <w:szCs w:val="23"/>
        </w:rPr>
        <w:t xml:space="preserve"> </w:t>
      </w:r>
      <w:r w:rsidRPr="00A5661A">
        <w:rPr>
          <w:rFonts w:ascii="Arial" w:eastAsia="Calibri" w:hAnsi="Arial" w:cs="Arial"/>
          <w:sz w:val="23"/>
          <w:szCs w:val="23"/>
        </w:rPr>
        <w:t>wydatków kwalifikowanych),</w:t>
      </w:r>
    </w:p>
    <w:p w:rsidR="008F5804" w:rsidRPr="00A5661A" w:rsidRDefault="008F5804" w:rsidP="008F5804">
      <w:pPr>
        <w:suppressAutoHyphens/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</w:p>
    <w:p w:rsidR="008F5804" w:rsidRPr="00A5661A" w:rsidRDefault="008F5804" w:rsidP="00EF782B">
      <w:pPr>
        <w:pStyle w:val="Nagwek3"/>
        <w:rPr>
          <w:rFonts w:eastAsia="Calibri"/>
        </w:rPr>
      </w:pPr>
      <w:bookmarkStart w:id="2" w:name="_Hlk173838108"/>
      <w:r w:rsidRPr="00A5661A">
        <w:rPr>
          <w:rFonts w:eastAsia="Calibri"/>
        </w:rPr>
        <w:t>Priorytet 5 Przyjazna przestrzeń społeczna:</w:t>
      </w:r>
    </w:p>
    <w:p w:rsidR="008F5804" w:rsidRPr="00A5661A" w:rsidRDefault="008F5804" w:rsidP="00F87226">
      <w:pPr>
        <w:pStyle w:val="Nagwek4"/>
        <w:rPr>
          <w:rFonts w:eastAsia="Calibri"/>
          <w:i/>
        </w:rPr>
      </w:pPr>
      <w:r w:rsidRPr="00A5661A">
        <w:rPr>
          <w:rFonts w:eastAsia="Calibri"/>
        </w:rPr>
        <w:t xml:space="preserve">Działanie 5.4 </w:t>
      </w:r>
      <w:bookmarkEnd w:id="2"/>
      <w:r w:rsidRPr="00A5661A">
        <w:rPr>
          <w:rFonts w:eastAsia="Calibri"/>
          <w:i/>
        </w:rPr>
        <w:t>Ochrona zdrowia</w:t>
      </w:r>
      <w:r w:rsidRPr="00A5661A">
        <w:rPr>
          <w:rFonts w:eastAsia="Calibri"/>
        </w:rPr>
        <w:t xml:space="preserve"> – dodanie nowego działania w tym typów projektów: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eastAsia="Calibri" w:hAnsi="Arial" w:cs="Arial"/>
          <w:bCs/>
          <w:iCs/>
          <w:sz w:val="23"/>
          <w:szCs w:val="23"/>
        </w:rPr>
      </w:pPr>
      <w:bookmarkStart w:id="3" w:name="_Hlk173838289"/>
      <w:r w:rsidRPr="00A5661A">
        <w:rPr>
          <w:rFonts w:ascii="Arial" w:eastAsia="Calibri" w:hAnsi="Arial" w:cs="Arial"/>
          <w:bCs/>
          <w:iCs/>
          <w:sz w:val="23"/>
          <w:szCs w:val="23"/>
        </w:rPr>
        <w:t>rozbudowa Podkarpackiego Centrum Medycyny Dziecięcej</w:t>
      </w:r>
      <w:bookmarkEnd w:id="3"/>
      <w:r w:rsidRPr="00A5661A">
        <w:rPr>
          <w:rFonts w:ascii="Arial" w:eastAsia="Calibri" w:hAnsi="Arial" w:cs="Arial"/>
          <w:bCs/>
          <w:iCs/>
          <w:sz w:val="23"/>
          <w:szCs w:val="23"/>
        </w:rPr>
        <w:t>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eastAsia="Calibri" w:hAnsi="Arial" w:cs="Arial"/>
          <w:bCs/>
          <w:iCs/>
          <w:sz w:val="23"/>
          <w:szCs w:val="23"/>
        </w:rPr>
      </w:pPr>
      <w:r w:rsidRPr="00A5661A">
        <w:rPr>
          <w:rFonts w:ascii="Arial" w:eastAsia="Calibri" w:hAnsi="Arial" w:cs="Arial"/>
          <w:bCs/>
          <w:iCs/>
          <w:sz w:val="23"/>
          <w:szCs w:val="23"/>
        </w:rPr>
        <w:t>inwestycje w infrastrukturę AOS oraz opieki jednego dnia oraz zakup niezbędnego wyposażenia,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eastAsia="Calibri" w:hAnsi="Arial" w:cs="Arial"/>
          <w:bCs/>
          <w:iCs/>
          <w:sz w:val="23"/>
          <w:szCs w:val="23"/>
        </w:rPr>
      </w:pPr>
      <w:r w:rsidRPr="00A5661A">
        <w:rPr>
          <w:rFonts w:ascii="Arial" w:eastAsia="Calibri" w:hAnsi="Arial" w:cs="Arial"/>
          <w:bCs/>
          <w:iCs/>
          <w:sz w:val="23"/>
          <w:szCs w:val="23"/>
        </w:rPr>
        <w:t>inwestycje w infrastrukturę POZ wyłącznie w zakresie dostosowania do potrzeb osób z niepełnosprawnościami poprzez roboty budowlane lub zakup niezbędnego wyposażenia;</w:t>
      </w:r>
    </w:p>
    <w:p w:rsidR="008F5804" w:rsidRPr="00A5661A" w:rsidRDefault="008F5804" w:rsidP="00F87226">
      <w:pPr>
        <w:pStyle w:val="Nagwek4"/>
        <w:rPr>
          <w:rFonts w:eastAsia="Calibri"/>
        </w:rPr>
      </w:pPr>
      <w:r w:rsidRPr="00A5661A">
        <w:rPr>
          <w:rFonts w:eastAsia="Calibri"/>
        </w:rPr>
        <w:t>Działanie</w:t>
      </w:r>
      <w:r w:rsidRPr="00A5661A">
        <w:rPr>
          <w:rFonts w:eastAsia="Calibri"/>
          <w:bCs/>
        </w:rPr>
        <w:t xml:space="preserve"> 5.6 </w:t>
      </w:r>
      <w:r w:rsidRPr="00A5661A">
        <w:rPr>
          <w:rFonts w:eastAsia="Calibri"/>
          <w:i/>
        </w:rPr>
        <w:t>Szlaki turystyczne</w:t>
      </w:r>
      <w:r w:rsidRPr="00A5661A">
        <w:rPr>
          <w:rFonts w:eastAsia="Calibri"/>
        </w:rPr>
        <w:t xml:space="preserve"> – dodanie nowego działania.</w:t>
      </w:r>
    </w:p>
    <w:p w:rsidR="008F5804" w:rsidRPr="00A5661A" w:rsidRDefault="008F5804" w:rsidP="008F5804">
      <w:pPr>
        <w:ind w:left="709"/>
        <w:contextualSpacing/>
        <w:rPr>
          <w:rFonts w:ascii="Arial" w:hAnsi="Arial" w:cs="Arial"/>
          <w:sz w:val="23"/>
          <w:szCs w:val="23"/>
          <w:highlight w:val="yellow"/>
          <w:lang w:eastAsia="ar-SA"/>
        </w:rPr>
      </w:pPr>
    </w:p>
    <w:p w:rsidR="008F5804" w:rsidRPr="00A5661A" w:rsidRDefault="008F5804" w:rsidP="00EF782B">
      <w:pPr>
        <w:pStyle w:val="Nagwek3"/>
        <w:rPr>
          <w:rFonts w:eastAsia="Times New Roman"/>
        </w:rPr>
      </w:pPr>
      <w:r w:rsidRPr="00A5661A">
        <w:rPr>
          <w:rFonts w:eastAsia="Times New Roman"/>
        </w:rPr>
        <w:t>Priorytet 6 Rozwój zrównoważony terytorialnie</w:t>
      </w:r>
    </w:p>
    <w:p w:rsidR="008F5804" w:rsidRPr="00A5661A" w:rsidRDefault="008F5804" w:rsidP="00F87226">
      <w:pPr>
        <w:pStyle w:val="Nagwek4"/>
        <w:rPr>
          <w:rFonts w:eastAsia="Times New Roman"/>
        </w:rPr>
      </w:pPr>
      <w:r w:rsidRPr="00A5661A">
        <w:rPr>
          <w:rFonts w:eastAsia="Times New Roman"/>
        </w:rPr>
        <w:t xml:space="preserve">Działanie 6.1 </w:t>
      </w:r>
      <w:bookmarkStart w:id="4" w:name="_Hlk177378361"/>
      <w:r w:rsidRPr="00A5661A">
        <w:rPr>
          <w:rFonts w:eastAsia="Times New Roman"/>
        </w:rPr>
        <w:t xml:space="preserve">Zrównoważony rozwój miejskich obszarów funkcjonalnych </w:t>
      </w:r>
      <w:bookmarkEnd w:id="4"/>
      <w:r w:rsidRPr="00A5661A">
        <w:rPr>
          <w:rFonts w:eastAsia="Times New Roman"/>
        </w:rPr>
        <w:t>oraz Działanie 6.2 Zrównoważony rozwój obszarów wiejskich i małych miast: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Opis działania</w:t>
      </w:r>
      <w:r w:rsidRPr="00A5661A">
        <w:rPr>
          <w:rFonts w:ascii="Arial" w:hAnsi="Arial" w:cs="Arial"/>
          <w:sz w:val="23"/>
          <w:szCs w:val="23"/>
        </w:rPr>
        <w:t xml:space="preserve"> w ramach typu projektu I. </w:t>
      </w:r>
      <w:r w:rsidRPr="00A5661A">
        <w:rPr>
          <w:rFonts w:ascii="Arial" w:hAnsi="Arial" w:cs="Arial"/>
          <w:i/>
          <w:sz w:val="23"/>
          <w:szCs w:val="23"/>
        </w:rPr>
        <w:t>ochrona, rozwój i promowanie publicznych walorów turystycznych i usług turystycznych</w:t>
      </w:r>
      <w:r w:rsidRPr="00A5661A">
        <w:rPr>
          <w:rFonts w:ascii="Arial" w:hAnsi="Arial" w:cs="Arial"/>
          <w:sz w:val="23"/>
          <w:szCs w:val="23"/>
        </w:rPr>
        <w:t xml:space="preserve">, typu projektu II. </w:t>
      </w:r>
      <w:r w:rsidRPr="00A5661A">
        <w:rPr>
          <w:rFonts w:ascii="Arial" w:hAnsi="Arial" w:cs="Arial"/>
          <w:i/>
          <w:sz w:val="23"/>
          <w:szCs w:val="23"/>
        </w:rPr>
        <w:t>ochrona, rozwój i promowanie dziedzictwa kulturowego i usług w dziedzinie kultury</w:t>
      </w:r>
      <w:r w:rsidRPr="00A5661A">
        <w:rPr>
          <w:rFonts w:ascii="Arial" w:hAnsi="Arial" w:cs="Arial"/>
          <w:sz w:val="23"/>
          <w:szCs w:val="23"/>
        </w:rPr>
        <w:t xml:space="preserve">, typu projektu III. </w:t>
      </w:r>
      <w:r w:rsidRPr="00A5661A">
        <w:rPr>
          <w:rFonts w:ascii="Arial" w:hAnsi="Arial" w:cs="Arial"/>
          <w:i/>
          <w:sz w:val="23"/>
          <w:szCs w:val="23"/>
        </w:rPr>
        <w:t>ochrona, rozwój i promowanie dziedzictwa naturalnego i ekoturystyki poza obszarami Natura 2000</w:t>
      </w:r>
      <w:r w:rsidRPr="00A5661A">
        <w:rPr>
          <w:rFonts w:ascii="Arial" w:hAnsi="Arial" w:cs="Arial"/>
          <w:sz w:val="23"/>
          <w:szCs w:val="23"/>
        </w:rPr>
        <w:t xml:space="preserve">, typu projektu IV. </w:t>
      </w:r>
      <w:r w:rsidRPr="00A5661A">
        <w:rPr>
          <w:rFonts w:ascii="Arial" w:hAnsi="Arial" w:cs="Arial"/>
          <w:i/>
          <w:sz w:val="23"/>
          <w:szCs w:val="23"/>
        </w:rPr>
        <w:t>fizyczna odnowa i bezpieczeństwo przestrzeni publicznych</w:t>
      </w:r>
      <w:r w:rsidRPr="00A5661A">
        <w:rPr>
          <w:rFonts w:ascii="Arial" w:hAnsi="Arial" w:cs="Arial"/>
          <w:sz w:val="23"/>
          <w:szCs w:val="23"/>
        </w:rPr>
        <w:t xml:space="preserve"> doprecyzowanie treści zapisów SZOP będących wynikiem prowadzonego procesu opiniowania projektów strategii terytorialnych i wątpliwościami potencjalnych wnioskodawców w ramach Działania 6.1 i Działania 6.2,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typie beneficjenta – ogólny dodanie nowego typu: </w:t>
      </w:r>
      <w:r w:rsidRPr="00A5661A">
        <w:rPr>
          <w:rFonts w:ascii="Arial" w:hAnsi="Arial" w:cs="Arial"/>
          <w:i/>
          <w:sz w:val="23"/>
          <w:szCs w:val="23"/>
        </w:rPr>
        <w:t>Przedsiębiorstwa realizujące cele publiczne</w:t>
      </w:r>
      <w:r w:rsidRPr="00A5661A">
        <w:rPr>
          <w:rFonts w:ascii="Arial" w:hAnsi="Arial" w:cs="Arial"/>
          <w:sz w:val="23"/>
          <w:szCs w:val="23"/>
        </w:rPr>
        <w:t>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typie beneficjenta – szczegółowy dodanie nowego typu: </w:t>
      </w:r>
      <w:r w:rsidRPr="00A5661A">
        <w:rPr>
          <w:rFonts w:ascii="Arial" w:hAnsi="Arial" w:cs="Arial"/>
          <w:i/>
          <w:sz w:val="23"/>
          <w:szCs w:val="23"/>
        </w:rPr>
        <w:t>Zarządcy dróg publicznych, Zarządcy infrastruktury kolejowej</w:t>
      </w:r>
      <w:r w:rsidRPr="00A5661A">
        <w:rPr>
          <w:rFonts w:ascii="Arial" w:hAnsi="Arial" w:cs="Arial"/>
          <w:sz w:val="23"/>
          <w:szCs w:val="23"/>
        </w:rPr>
        <w:t>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dodanie Sekcji </w:t>
      </w:r>
      <w:r w:rsidRPr="00A5661A">
        <w:rPr>
          <w:rFonts w:ascii="Arial" w:hAnsi="Arial" w:cs="Arial"/>
          <w:i/>
          <w:sz w:val="23"/>
          <w:szCs w:val="23"/>
        </w:rPr>
        <w:t>Wielkość podmiotu (w przypadku przedsiębiorstw)</w:t>
      </w:r>
      <w:r w:rsidRPr="00A5661A">
        <w:rPr>
          <w:rFonts w:ascii="Arial" w:hAnsi="Arial" w:cs="Arial"/>
          <w:sz w:val="23"/>
          <w:szCs w:val="23"/>
        </w:rPr>
        <w:t xml:space="preserve"> – </w:t>
      </w:r>
      <w:r w:rsidRPr="00A5661A">
        <w:rPr>
          <w:rFonts w:ascii="Arial" w:hAnsi="Arial" w:cs="Arial"/>
          <w:i/>
          <w:sz w:val="23"/>
          <w:szCs w:val="23"/>
        </w:rPr>
        <w:t>Duże</w:t>
      </w:r>
      <w:r w:rsidRPr="00A5661A">
        <w:rPr>
          <w:rFonts w:ascii="Arial" w:hAnsi="Arial" w:cs="Arial"/>
          <w:color w:val="FF0000"/>
          <w:sz w:val="23"/>
          <w:szCs w:val="23"/>
        </w:rPr>
        <w:t xml:space="preserve"> </w:t>
      </w:r>
      <w:r w:rsidRPr="00A5661A">
        <w:rPr>
          <w:rFonts w:ascii="Arial" w:hAnsi="Arial" w:cs="Arial"/>
          <w:sz w:val="23"/>
          <w:szCs w:val="23"/>
        </w:rPr>
        <w:t>będące wynikiem wprowadzenia nowych typów beneficjentów,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dokonanie zmian redakcyjnych w Działaniu 6.1 i w Działaniu 6.2 (zastosowano skróty) z uwagi na obowiązujący w systemie CST (</w:t>
      </w:r>
      <w:proofErr w:type="spellStart"/>
      <w:r w:rsidRPr="00A5661A">
        <w:rPr>
          <w:rFonts w:ascii="Arial" w:hAnsi="Arial" w:cs="Arial"/>
          <w:sz w:val="23"/>
          <w:szCs w:val="23"/>
        </w:rPr>
        <w:t>eSzOP</w:t>
      </w:r>
      <w:proofErr w:type="spellEnd"/>
      <w:r w:rsidRPr="00A5661A">
        <w:rPr>
          <w:rFonts w:ascii="Arial" w:hAnsi="Arial" w:cs="Arial"/>
          <w:sz w:val="23"/>
          <w:szCs w:val="23"/>
        </w:rPr>
        <w:t xml:space="preserve">) limit znaków. </w:t>
      </w:r>
    </w:p>
    <w:p w:rsidR="008F5804" w:rsidRPr="00A5661A" w:rsidRDefault="008F5804" w:rsidP="00F87226">
      <w:pPr>
        <w:pStyle w:val="Nagwek4"/>
        <w:rPr>
          <w:rFonts w:eastAsia="Times New Roman"/>
        </w:rPr>
      </w:pPr>
      <w:r w:rsidRPr="00A5661A">
        <w:rPr>
          <w:rFonts w:eastAsia="Times New Roman"/>
        </w:rPr>
        <w:t>Działanie 6.1 Zrównoważony rozwój miejskich obszarów funkcjonalnych: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Limity i ograniczenia</w:t>
      </w:r>
      <w:r w:rsidRPr="00A5661A">
        <w:rPr>
          <w:rFonts w:ascii="Arial" w:hAnsi="Arial" w:cs="Arial"/>
          <w:sz w:val="23"/>
          <w:szCs w:val="23"/>
        </w:rPr>
        <w:t>: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76" w:lineRule="auto"/>
        <w:ind w:left="993" w:hanging="283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w pkt 3 doprecyzowanie treści zapisów SZOP w związku z prowadzonym opiniowaniem projektów strategii terytorialnych i wątpliwościami potencjalnych wnioskodawców w ramach Działania 6.1,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2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z pkt 3 wydzielenie zapisów odnoszących się do limitu dla dróg, które wprowadzono do nowo dodanego pkt 4 wraz z doprecyzowaniem w odniesieniu </w:t>
      </w:r>
      <w:r w:rsidRPr="00A5661A">
        <w:rPr>
          <w:rFonts w:ascii="Arial" w:hAnsi="Arial" w:cs="Arial"/>
          <w:sz w:val="23"/>
          <w:szCs w:val="23"/>
        </w:rPr>
        <w:lastRenderedPageBreak/>
        <w:t xml:space="preserve">do dróg dla rowerów (ścieżek rowerowych), utworzenia kempingów / miejsc obsługi </w:t>
      </w:r>
      <w:proofErr w:type="spellStart"/>
      <w:r w:rsidRPr="00A5661A">
        <w:rPr>
          <w:rFonts w:ascii="Arial" w:hAnsi="Arial" w:cs="Arial"/>
          <w:sz w:val="23"/>
          <w:szCs w:val="23"/>
        </w:rPr>
        <w:t>camperów</w:t>
      </w:r>
      <w:proofErr w:type="spellEnd"/>
      <w:r w:rsidRPr="00A5661A">
        <w:rPr>
          <w:rFonts w:ascii="Arial" w:hAnsi="Arial" w:cs="Arial"/>
          <w:sz w:val="23"/>
          <w:szCs w:val="23"/>
        </w:rPr>
        <w:t>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2" w:hanging="283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pkt 7 dodanie nowego limitu w zakresie zwiększenia maksymalnego % poziomu dofinansowania całkowitego wydatków kwalifikowalnych na poziomie projektu (środki UE + współfinansowanie ze środków krajowych przyznane beneficjentowi przez właściwą instytucję) do 95%, związanego z wprowadzeniem dodatkowych środków z budżetu państwa dla projektów MOF Lubaczów, Przemyśl i Lesko-Sanok, 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dokonanie zmiany numeracji punktów.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Minimalny wkład własny beneficjenta</w:t>
      </w:r>
      <w:r w:rsidRPr="00A5661A">
        <w:rPr>
          <w:rFonts w:ascii="Arial" w:hAnsi="Arial" w:cs="Arial"/>
          <w:sz w:val="23"/>
          <w:szCs w:val="23"/>
        </w:rPr>
        <w:t xml:space="preserve"> doprecyzowanie treści Sekcji poprzez doszczegółowienie zapisu 15% w brzmieniu: </w:t>
      </w:r>
      <w:r w:rsidRPr="00A5661A">
        <w:rPr>
          <w:rFonts w:ascii="Arial" w:hAnsi="Arial" w:cs="Arial"/>
          <w:i/>
          <w:sz w:val="23"/>
          <w:szCs w:val="23"/>
        </w:rPr>
        <w:t>„(5% dotyczy projektów w ramach MOF Lubaczów, MOF Przemyśl, MOF Sanok-Lesko)</w:t>
      </w:r>
      <w:r w:rsidRPr="00A5661A">
        <w:rPr>
          <w:rFonts w:ascii="Arial" w:hAnsi="Arial" w:cs="Arial"/>
          <w:sz w:val="23"/>
          <w:szCs w:val="23"/>
        </w:rPr>
        <w:t>”, mające związek z wprowadzeniem dodatkowych środków z budżetu państwa dla MOF-ów przygranicznych: Lubaczów, Przemyśl i Lesko-Sanok,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dokonanie modyfikacji </w:t>
      </w:r>
      <w:r w:rsidRPr="00A5661A">
        <w:rPr>
          <w:rFonts w:ascii="Arial" w:hAnsi="Arial" w:cs="Arial"/>
          <w:i/>
          <w:sz w:val="23"/>
          <w:szCs w:val="23"/>
        </w:rPr>
        <w:t>Indykatywnej tabeli finansowej</w:t>
      </w:r>
      <w:r w:rsidRPr="00A5661A">
        <w:rPr>
          <w:rFonts w:ascii="Arial" w:hAnsi="Arial" w:cs="Arial"/>
          <w:sz w:val="23"/>
          <w:szCs w:val="23"/>
        </w:rPr>
        <w:t xml:space="preserve"> (Załącznik 1. </w:t>
      </w:r>
      <w:r w:rsidRPr="00A5661A">
        <w:rPr>
          <w:rFonts w:ascii="Arial" w:hAnsi="Arial" w:cs="Arial"/>
          <w:i/>
          <w:sz w:val="23"/>
          <w:szCs w:val="23"/>
        </w:rPr>
        <w:t>Alokacja programu FEP 2021-2027 w podziale na działania, wsparcie UE i wkład krajowy (w EUR</w:t>
      </w:r>
      <w:r w:rsidRPr="00A5661A">
        <w:rPr>
          <w:rFonts w:ascii="Arial" w:hAnsi="Arial" w:cs="Arial"/>
          <w:sz w:val="23"/>
          <w:szCs w:val="23"/>
        </w:rPr>
        <w:t>)) poprzez wprowadzenie środków BP w wysokości 4 076 025 EUR i proporcjonalne zmniejszenie pozostałych krajowych środków publicznych, tj. budżet JST i inne.</w:t>
      </w:r>
    </w:p>
    <w:p w:rsidR="008F5804" w:rsidRPr="00A5661A" w:rsidRDefault="008F5804" w:rsidP="00F87226">
      <w:pPr>
        <w:pStyle w:val="Nagwek4"/>
        <w:rPr>
          <w:rFonts w:eastAsia="Times New Roman"/>
        </w:rPr>
      </w:pPr>
      <w:r w:rsidRPr="00A5661A">
        <w:rPr>
          <w:rFonts w:eastAsia="Times New Roman"/>
        </w:rPr>
        <w:t>Działanie 6.2 Zrównoważony rozwój obszarów wiejskich i małych miast: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Limity i ograniczenia</w:t>
      </w:r>
      <w:r w:rsidRPr="00A5661A">
        <w:rPr>
          <w:rFonts w:ascii="Arial" w:hAnsi="Arial" w:cs="Arial"/>
          <w:sz w:val="23"/>
          <w:szCs w:val="23"/>
        </w:rPr>
        <w:t>: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w pkt 4 i pkt 9 doprecyzowanie treści zapisów SZOP w związku z prowadzonym opiniowaniem projektów strategii terytorialnych i wątpliwościami potencjalnych wnioskodawców w ramach Działania 6.2,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usunięcie limitu z pkt 14 w wyniku czego nastąpiła zmiana numeracji w ww. Sekcji,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dokonanie modyfikacji treści zapisów limitu z pkt 16 (po zmianie numeracji pkt 15) odnoszącego się do wymaganych standardów w zakresie realizacji działań z zakresu infrastruktury rowerowej,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dodanie dwóch nowych limitów w pkt 16 i pkt 17,</w:t>
      </w:r>
    </w:p>
    <w:p w:rsidR="008F5804" w:rsidRPr="00A5661A" w:rsidRDefault="008F5804" w:rsidP="00AC087D">
      <w:pPr>
        <w:numPr>
          <w:ilvl w:val="0"/>
          <w:numId w:val="3"/>
        </w:numPr>
        <w:suppressAutoHyphens/>
        <w:autoSpaceDN w:val="0"/>
        <w:spacing w:line="259" w:lineRule="auto"/>
        <w:ind w:left="993" w:hanging="284"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>dokonanie zmiany numeracji punktów,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Maksymalny % poziom dofinansowania całkowitego wydatków kwalifikowalnych na poziomie projektu (środki UE + współfinansowanie ze środków krajowych przyznane beneficjentowi przez właściwą instytucję)</w:t>
      </w:r>
      <w:r w:rsidRPr="00A5661A">
        <w:rPr>
          <w:rFonts w:ascii="Arial" w:hAnsi="Arial" w:cs="Arial"/>
          <w:sz w:val="23"/>
          <w:szCs w:val="23"/>
        </w:rPr>
        <w:t xml:space="preserve"> dokonanie zmiany maksymalnego % poziomu dofinansowania całkowitego wydatków kwalifikowalnych na poziomie projektu z 85% na 90%, w związku z wprowadzeniem dodatkowych środków z budżetu państwa w ramach Działania 6.2,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Minimalny wkład własny beneficjenta</w:t>
      </w:r>
      <w:r w:rsidRPr="00A5661A">
        <w:rPr>
          <w:rFonts w:ascii="Arial" w:hAnsi="Arial" w:cs="Arial"/>
          <w:sz w:val="23"/>
          <w:szCs w:val="23"/>
        </w:rPr>
        <w:t xml:space="preserve"> zmodyfikowanie procentowego poziomu minimalnego wkładu beneficjenta z 15% na 10%,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Pomoc publiczna – unijna podstawa prawna</w:t>
      </w:r>
      <w:r w:rsidRPr="00A5661A">
        <w:rPr>
          <w:rFonts w:ascii="Arial" w:hAnsi="Arial" w:cs="Arial"/>
          <w:sz w:val="23"/>
          <w:szCs w:val="23"/>
        </w:rPr>
        <w:t xml:space="preserve"> dodanie opcji </w:t>
      </w:r>
      <w:r w:rsidRPr="00A5661A">
        <w:rPr>
          <w:rFonts w:ascii="Arial" w:hAnsi="Arial" w:cs="Arial"/>
          <w:i/>
          <w:sz w:val="23"/>
          <w:szCs w:val="23"/>
        </w:rPr>
        <w:t>Bez pomocy</w:t>
      </w:r>
      <w:r w:rsidRPr="00A5661A">
        <w:rPr>
          <w:rFonts w:ascii="Arial" w:hAnsi="Arial" w:cs="Arial"/>
          <w:sz w:val="23"/>
          <w:szCs w:val="23"/>
        </w:rPr>
        <w:t>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w Sekcji </w:t>
      </w:r>
      <w:r w:rsidRPr="00A5661A">
        <w:rPr>
          <w:rFonts w:ascii="Arial" w:hAnsi="Arial" w:cs="Arial"/>
          <w:i/>
          <w:sz w:val="23"/>
          <w:szCs w:val="23"/>
        </w:rPr>
        <w:t>Pomoc publiczna – krajowa podstawa prawna</w:t>
      </w:r>
      <w:r w:rsidRPr="00A5661A">
        <w:rPr>
          <w:rFonts w:ascii="Arial" w:hAnsi="Arial" w:cs="Arial"/>
          <w:sz w:val="23"/>
          <w:szCs w:val="23"/>
        </w:rPr>
        <w:t xml:space="preserve"> dodanie opcji </w:t>
      </w:r>
      <w:r w:rsidRPr="00A5661A">
        <w:rPr>
          <w:rFonts w:ascii="Arial" w:hAnsi="Arial" w:cs="Arial"/>
          <w:i/>
          <w:sz w:val="23"/>
          <w:szCs w:val="23"/>
        </w:rPr>
        <w:t>Bez pomocy</w:t>
      </w:r>
      <w:r w:rsidRPr="00A5661A">
        <w:rPr>
          <w:rFonts w:ascii="Arial" w:hAnsi="Arial" w:cs="Arial"/>
          <w:sz w:val="23"/>
          <w:szCs w:val="23"/>
        </w:rPr>
        <w:t>.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sz w:val="23"/>
          <w:szCs w:val="23"/>
        </w:rPr>
      </w:pPr>
      <w:r w:rsidRPr="00A5661A">
        <w:rPr>
          <w:rFonts w:ascii="Arial" w:hAnsi="Arial" w:cs="Arial"/>
          <w:sz w:val="23"/>
          <w:szCs w:val="23"/>
        </w:rPr>
        <w:t xml:space="preserve">dokonanie modyfikacji </w:t>
      </w:r>
      <w:r w:rsidRPr="00A5661A">
        <w:rPr>
          <w:rFonts w:ascii="Arial" w:hAnsi="Arial" w:cs="Arial"/>
          <w:i/>
          <w:sz w:val="23"/>
          <w:szCs w:val="23"/>
        </w:rPr>
        <w:t>Indykatywnej tabeli finansowej</w:t>
      </w:r>
      <w:r w:rsidRPr="00A5661A">
        <w:rPr>
          <w:rFonts w:ascii="Arial" w:hAnsi="Arial" w:cs="Arial"/>
          <w:sz w:val="23"/>
          <w:szCs w:val="23"/>
        </w:rPr>
        <w:t xml:space="preserve"> (Załącznik 1. </w:t>
      </w:r>
      <w:r w:rsidRPr="00A5661A">
        <w:rPr>
          <w:rFonts w:ascii="Arial" w:hAnsi="Arial" w:cs="Arial"/>
          <w:i/>
          <w:sz w:val="23"/>
          <w:szCs w:val="23"/>
        </w:rPr>
        <w:t>Alokacja programu FEP 2021-2027 w podziale na działania, wsparcie UE i wkład krajowy (w EUR)</w:t>
      </w:r>
      <w:r w:rsidRPr="00A5661A">
        <w:rPr>
          <w:rFonts w:ascii="Arial" w:hAnsi="Arial" w:cs="Arial"/>
          <w:sz w:val="23"/>
          <w:szCs w:val="23"/>
        </w:rPr>
        <w:t xml:space="preserve">) poprzez wprowadzenie środków BP w wysokości  6 143 646 EUR i </w:t>
      </w:r>
      <w:r w:rsidRPr="00A5661A">
        <w:rPr>
          <w:rFonts w:ascii="Arial" w:hAnsi="Arial" w:cs="Arial"/>
          <w:sz w:val="23"/>
          <w:szCs w:val="23"/>
        </w:rPr>
        <w:lastRenderedPageBreak/>
        <w:t>proporcjonalne zmniejszenie pozostałych krajowych środków publicznych, tj. budżet JST i inne.</w:t>
      </w:r>
    </w:p>
    <w:p w:rsidR="008F5804" w:rsidRPr="00A5661A" w:rsidRDefault="008F5804" w:rsidP="008F5804">
      <w:pPr>
        <w:pStyle w:val="Nagwek2"/>
        <w:rPr>
          <w:rFonts w:eastAsia="Calibri"/>
        </w:rPr>
      </w:pPr>
      <w:r w:rsidRPr="00A5661A">
        <w:rPr>
          <w:rFonts w:eastAsia="Calibri"/>
        </w:rPr>
        <w:t>EFS+</w:t>
      </w:r>
    </w:p>
    <w:p w:rsidR="008F5804" w:rsidRPr="00A5661A" w:rsidRDefault="008F5804" w:rsidP="008F5804">
      <w:pPr>
        <w:spacing w:line="276" w:lineRule="auto"/>
        <w:rPr>
          <w:rFonts w:ascii="Arial" w:eastAsia="Calibri" w:hAnsi="Arial" w:cs="Arial"/>
          <w:b/>
          <w:sz w:val="23"/>
          <w:szCs w:val="23"/>
          <w:u w:val="single"/>
        </w:rPr>
      </w:pPr>
    </w:p>
    <w:p w:rsidR="008F5804" w:rsidRPr="00A5661A" w:rsidRDefault="008F5804" w:rsidP="00EF782B">
      <w:pPr>
        <w:pStyle w:val="Nagwek3"/>
      </w:pPr>
      <w:r w:rsidRPr="00A5661A">
        <w:t>Priorytet 7 Kapitał ludzki gotowy do zmian:</w:t>
      </w:r>
    </w:p>
    <w:p w:rsidR="008F5804" w:rsidRPr="00A5661A" w:rsidRDefault="008F5804" w:rsidP="00F87226">
      <w:pPr>
        <w:pStyle w:val="Nagwek4"/>
        <w:rPr>
          <w:rFonts w:eastAsia="Calibri"/>
          <w:bCs/>
          <w:lang w:eastAsia="ar-SA"/>
        </w:rPr>
      </w:pPr>
      <w:r w:rsidRPr="00A5661A">
        <w:rPr>
          <w:rFonts w:eastAsia="Calibri"/>
          <w:bCs/>
          <w:lang w:eastAsia="ar-SA"/>
        </w:rPr>
        <w:t xml:space="preserve">Działanie 7.4 </w:t>
      </w:r>
      <w:r w:rsidRPr="00A5661A">
        <w:rPr>
          <w:rFonts w:eastAsia="Calibri"/>
          <w:lang w:eastAsia="ar-SA"/>
        </w:rPr>
        <w:t>Poprawa sytuacji na rynku pracy osób ubogich pracujących, oraz odchodzących z rolnictwa: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A5661A">
        <w:rPr>
          <w:rFonts w:ascii="Arial" w:eastAsia="Calibri" w:hAnsi="Arial" w:cs="Arial"/>
          <w:sz w:val="23"/>
          <w:szCs w:val="23"/>
          <w:lang w:eastAsia="ar-SA"/>
        </w:rPr>
        <w:t xml:space="preserve">w Sekcji </w:t>
      </w:r>
      <w:r w:rsidRPr="00A5661A">
        <w:rPr>
          <w:rFonts w:ascii="Arial" w:eastAsia="Calibri" w:hAnsi="Arial" w:cs="Arial"/>
          <w:i/>
          <w:sz w:val="23"/>
          <w:szCs w:val="23"/>
          <w:lang w:eastAsia="ar-SA"/>
        </w:rPr>
        <w:t>Wielkość podmiotu (w przypadku przedsiębiorstw) –</w:t>
      </w:r>
      <w:r w:rsidRPr="00A5661A">
        <w:rPr>
          <w:rFonts w:ascii="Arial" w:eastAsia="Calibri" w:hAnsi="Arial" w:cs="Arial"/>
          <w:sz w:val="23"/>
          <w:szCs w:val="23"/>
          <w:lang w:eastAsia="ar-SA"/>
        </w:rPr>
        <w:t xml:space="preserve"> usunięto „nie dotyczy” i dodano wszystkie przedziały: „duże, średnie, makro, mikro”.</w:t>
      </w:r>
    </w:p>
    <w:p w:rsidR="008F5804" w:rsidRPr="00A5661A" w:rsidRDefault="008F5804" w:rsidP="00F87226">
      <w:pPr>
        <w:pStyle w:val="Nagwek4"/>
        <w:rPr>
          <w:color w:val="FF0000"/>
        </w:rPr>
      </w:pPr>
      <w:r w:rsidRPr="001C4567">
        <w:t>Działanie</w:t>
      </w:r>
      <w:r w:rsidRPr="00A5661A">
        <w:t xml:space="preserve"> 7.7 </w:t>
      </w:r>
      <w:bookmarkStart w:id="5" w:name="_Hlk177540039"/>
      <w:r w:rsidRPr="00A5661A">
        <w:t>Aktywizacja zdrowotna pracowników</w:t>
      </w:r>
      <w:bookmarkEnd w:id="5"/>
      <w:r w:rsidRPr="00A5661A">
        <w:t>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color w:val="FF0000"/>
          <w:sz w:val="23"/>
          <w:szCs w:val="23"/>
        </w:rPr>
      </w:pPr>
      <w:r w:rsidRPr="00A5661A">
        <w:rPr>
          <w:rFonts w:ascii="Arial" w:hAnsi="Arial" w:cs="Arial"/>
          <w:bCs/>
          <w:iCs/>
          <w:sz w:val="23"/>
          <w:szCs w:val="23"/>
          <w:u w:val="single"/>
        </w:rPr>
        <w:t>dodanie nowego działania</w:t>
      </w:r>
      <w:r w:rsidRPr="00A5661A">
        <w:rPr>
          <w:rFonts w:ascii="Arial" w:hAnsi="Arial" w:cs="Arial"/>
          <w:bCs/>
          <w:iCs/>
          <w:sz w:val="23"/>
          <w:szCs w:val="23"/>
        </w:rPr>
        <w:t>,</w:t>
      </w:r>
    </w:p>
    <w:p w:rsidR="008F5804" w:rsidRPr="00A5661A" w:rsidRDefault="008F5804" w:rsidP="00F87226">
      <w:pPr>
        <w:pStyle w:val="Nagwek4"/>
        <w:rPr>
          <w:color w:val="FF0000"/>
        </w:rPr>
      </w:pPr>
      <w:r w:rsidRPr="00A5661A">
        <w:t xml:space="preserve">Działanie 7.8  Wsparcie procesów adaptacyjnych i modernizacyjnych pracowników oraz przedsiębiorców, </w:t>
      </w:r>
      <w:r w:rsidRPr="00A5661A">
        <w:rPr>
          <w:u w:val="single"/>
        </w:rPr>
        <w:t>dodanie nowych typów projektów</w:t>
      </w:r>
      <w:r w:rsidRPr="00A5661A">
        <w:t>: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bCs/>
          <w:sz w:val="23"/>
          <w:szCs w:val="23"/>
        </w:rPr>
      </w:pPr>
      <w:r w:rsidRPr="00A5661A">
        <w:rPr>
          <w:rFonts w:ascii="Arial" w:hAnsi="Arial" w:cs="Arial"/>
          <w:bCs/>
          <w:sz w:val="23"/>
          <w:szCs w:val="23"/>
        </w:rPr>
        <w:t>nr 3:</w:t>
      </w:r>
      <w:r w:rsidRPr="00A5661A">
        <w:rPr>
          <w:rFonts w:ascii="Arial" w:hAnsi="Arial" w:cs="Arial"/>
          <w:sz w:val="23"/>
          <w:szCs w:val="23"/>
        </w:rPr>
        <w:t xml:space="preserve">  </w:t>
      </w:r>
      <w:r w:rsidRPr="00A5661A">
        <w:rPr>
          <w:rFonts w:ascii="Arial" w:hAnsi="Arial" w:cs="Arial"/>
          <w:bCs/>
          <w:sz w:val="23"/>
          <w:szCs w:val="23"/>
        </w:rPr>
        <w:t>wsparcie potencjału partnerów społecznych,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bCs/>
          <w:sz w:val="23"/>
          <w:szCs w:val="23"/>
        </w:rPr>
      </w:pPr>
      <w:r w:rsidRPr="00A5661A">
        <w:rPr>
          <w:rFonts w:ascii="Arial" w:hAnsi="Arial" w:cs="Arial"/>
          <w:bCs/>
          <w:sz w:val="23"/>
          <w:szCs w:val="23"/>
        </w:rPr>
        <w:t xml:space="preserve">nr 4: </w:t>
      </w:r>
      <w:r w:rsidRPr="00A5661A">
        <w:rPr>
          <w:rFonts w:ascii="Arial" w:hAnsi="Arial" w:cs="Arial"/>
          <w:sz w:val="23"/>
          <w:szCs w:val="23"/>
        </w:rPr>
        <w:t xml:space="preserve"> </w:t>
      </w:r>
      <w:r w:rsidRPr="00A5661A">
        <w:rPr>
          <w:rFonts w:ascii="Arial" w:hAnsi="Arial" w:cs="Arial"/>
          <w:bCs/>
          <w:sz w:val="23"/>
          <w:szCs w:val="23"/>
        </w:rPr>
        <w:t>wsparcie organizacji społeczeństwa obywatelskiego;</w:t>
      </w:r>
    </w:p>
    <w:p w:rsidR="008F5804" w:rsidRPr="00A5661A" w:rsidRDefault="008F5804" w:rsidP="00F87226">
      <w:pPr>
        <w:pStyle w:val="Nagwek4"/>
      </w:pPr>
      <w:r w:rsidRPr="00A5661A">
        <w:rPr>
          <w:bCs/>
        </w:rPr>
        <w:t>Działanie 7.18</w:t>
      </w:r>
      <w:r w:rsidRPr="00A5661A">
        <w:t xml:space="preserve"> Usługi społeczne i zdrowotne świadczone w społeczności lokalnej</w:t>
      </w:r>
    </w:p>
    <w:p w:rsidR="008F5804" w:rsidRPr="00A5661A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b/>
          <w:sz w:val="23"/>
          <w:szCs w:val="23"/>
        </w:rPr>
      </w:pPr>
      <w:r w:rsidRPr="00A5661A">
        <w:rPr>
          <w:rFonts w:ascii="Arial" w:hAnsi="Arial" w:cs="Arial"/>
          <w:sz w:val="23"/>
          <w:szCs w:val="23"/>
          <w:u w:val="single"/>
        </w:rPr>
        <w:t>dodanie nowych typów projektów</w:t>
      </w:r>
      <w:r w:rsidRPr="00A5661A">
        <w:rPr>
          <w:rFonts w:ascii="Arial" w:hAnsi="Arial" w:cs="Arial"/>
          <w:sz w:val="23"/>
          <w:szCs w:val="23"/>
        </w:rPr>
        <w:t xml:space="preserve"> nr 9-13 w zakresie usług zdrowotnych </w:t>
      </w:r>
      <w:r w:rsidRPr="00A5661A">
        <w:rPr>
          <w:rFonts w:ascii="Arial" w:hAnsi="Arial" w:cs="Arial"/>
          <w:sz w:val="23"/>
          <w:szCs w:val="23"/>
        </w:rPr>
        <w:br/>
        <w:t xml:space="preserve">i odpowiednich zapisów z nich wynikających tj. w limitach i ograniczeniach, typach beneficjentów, grupach docelowych, słowach kluczowych. </w:t>
      </w:r>
    </w:p>
    <w:p w:rsidR="008F5804" w:rsidRPr="00A5661A" w:rsidRDefault="008F5804" w:rsidP="00F87226">
      <w:pPr>
        <w:pStyle w:val="Nagwek4"/>
      </w:pPr>
      <w:r w:rsidRPr="00A5661A">
        <w:t>Działanie 7.19 Integracja społeczna</w:t>
      </w:r>
    </w:p>
    <w:p w:rsidR="008F5804" w:rsidRDefault="008F5804" w:rsidP="00AC087D">
      <w:pPr>
        <w:numPr>
          <w:ilvl w:val="0"/>
          <w:numId w:val="1"/>
        </w:numPr>
        <w:suppressAutoHyphens/>
        <w:autoSpaceDN w:val="0"/>
        <w:spacing w:after="160" w:line="276" w:lineRule="auto"/>
        <w:ind w:left="993" w:hanging="284"/>
        <w:contextualSpacing/>
        <w:textAlignment w:val="baseline"/>
        <w:rPr>
          <w:rFonts w:ascii="Arial" w:hAnsi="Arial" w:cs="Arial"/>
          <w:bCs/>
          <w:sz w:val="23"/>
          <w:szCs w:val="23"/>
        </w:rPr>
      </w:pPr>
      <w:r w:rsidRPr="00A5661A">
        <w:rPr>
          <w:rFonts w:ascii="Arial" w:hAnsi="Arial" w:cs="Arial"/>
          <w:bCs/>
          <w:sz w:val="23"/>
          <w:szCs w:val="23"/>
        </w:rPr>
        <w:t xml:space="preserve">aktualizacja treści zapisu pkt. 6 w </w:t>
      </w:r>
      <w:r w:rsidRPr="00A5661A">
        <w:rPr>
          <w:rFonts w:ascii="Arial" w:hAnsi="Arial" w:cs="Arial"/>
          <w:bCs/>
          <w:i/>
          <w:iCs/>
          <w:sz w:val="23"/>
          <w:szCs w:val="23"/>
        </w:rPr>
        <w:t>Limitach i ograniczeniach</w:t>
      </w:r>
      <w:r w:rsidRPr="00A5661A">
        <w:rPr>
          <w:rFonts w:ascii="Arial" w:hAnsi="Arial" w:cs="Arial"/>
          <w:bCs/>
          <w:sz w:val="23"/>
          <w:szCs w:val="23"/>
        </w:rPr>
        <w:t xml:space="preserve">. </w:t>
      </w:r>
    </w:p>
    <w:p w:rsidR="001C4567" w:rsidRDefault="001C4567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E65A6E" w:rsidRDefault="00E65A6E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Rzeszów, </w:t>
      </w:r>
      <w:r w:rsidR="007141EF">
        <w:rPr>
          <w:rFonts w:ascii="Arial" w:eastAsia="Calibri" w:hAnsi="Arial" w:cs="Arial"/>
          <w:color w:val="000000"/>
          <w:sz w:val="22"/>
          <w:szCs w:val="22"/>
        </w:rPr>
        <w:t>2</w:t>
      </w:r>
      <w:r w:rsidR="00E675E2">
        <w:rPr>
          <w:rFonts w:ascii="Arial" w:eastAsia="Calibri" w:hAnsi="Arial" w:cs="Arial"/>
          <w:color w:val="000000"/>
          <w:sz w:val="22"/>
          <w:szCs w:val="22"/>
        </w:rPr>
        <w:t>4</w:t>
      </w:r>
      <w:r w:rsidR="007141EF">
        <w:rPr>
          <w:rFonts w:ascii="Arial" w:eastAsia="Calibri" w:hAnsi="Arial" w:cs="Arial"/>
          <w:color w:val="000000"/>
          <w:sz w:val="22"/>
          <w:szCs w:val="22"/>
        </w:rPr>
        <w:t>.0</w:t>
      </w:r>
      <w:r w:rsidR="001C4567">
        <w:rPr>
          <w:rFonts w:ascii="Arial" w:eastAsia="Calibri" w:hAnsi="Arial" w:cs="Arial"/>
          <w:color w:val="000000"/>
          <w:sz w:val="22"/>
          <w:szCs w:val="22"/>
        </w:rPr>
        <w:t>9</w:t>
      </w:r>
      <w:r>
        <w:rPr>
          <w:rFonts w:ascii="Arial" w:eastAsia="Calibri" w:hAnsi="Arial" w:cs="Arial"/>
          <w:color w:val="000000"/>
          <w:sz w:val="22"/>
          <w:szCs w:val="22"/>
        </w:rPr>
        <w:t>.202</w:t>
      </w:r>
      <w:r w:rsidR="002A5812">
        <w:rPr>
          <w:rFonts w:ascii="Arial" w:eastAsia="Calibri" w:hAnsi="Arial" w:cs="Arial"/>
          <w:color w:val="000000"/>
          <w:sz w:val="22"/>
          <w:szCs w:val="22"/>
        </w:rPr>
        <w:t>4</w:t>
      </w:r>
      <w:bookmarkStart w:id="6" w:name="_GoBack"/>
      <w:bookmarkEnd w:id="6"/>
      <w:r>
        <w:rPr>
          <w:rFonts w:ascii="Arial" w:eastAsia="Calibri" w:hAnsi="Arial" w:cs="Arial"/>
          <w:color w:val="000000"/>
          <w:sz w:val="22"/>
          <w:szCs w:val="22"/>
        </w:rPr>
        <w:t xml:space="preserve"> r. </w:t>
      </w:r>
    </w:p>
    <w:sectPr w:rsidR="00E65A6E" w:rsidSect="006E1707">
      <w:footerReference w:type="default" r:id="rId9"/>
      <w:headerReference w:type="first" r:id="rId10"/>
      <w:pgSz w:w="11906" w:h="16838"/>
      <w:pgMar w:top="1134" w:right="1361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01" w:rsidRDefault="002B6901" w:rsidP="00491AC1">
      <w:r>
        <w:separator/>
      </w:r>
    </w:p>
  </w:endnote>
  <w:endnote w:type="continuationSeparator" w:id="0">
    <w:p w:rsidR="002B6901" w:rsidRDefault="002B6901" w:rsidP="004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1" w:rsidRDefault="00491AC1">
    <w:pPr>
      <w:pStyle w:val="Stopka"/>
      <w:jc w:val="right"/>
    </w:pPr>
    <w:r w:rsidRPr="00B44623">
      <w:rPr>
        <w:rFonts w:ascii="Arial" w:hAnsi="Arial" w:cs="Arial"/>
        <w:sz w:val="22"/>
        <w:szCs w:val="22"/>
      </w:rPr>
      <w:t>Strona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</w:p>
  <w:p w:rsidR="00491AC1" w:rsidRDefault="0049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01" w:rsidRDefault="002B6901" w:rsidP="00491AC1">
      <w:r>
        <w:separator/>
      </w:r>
    </w:p>
  </w:footnote>
  <w:footnote w:type="continuationSeparator" w:id="0">
    <w:p w:rsidR="002B6901" w:rsidRDefault="002B6901" w:rsidP="004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60" w:rsidRDefault="00A76E60" w:rsidP="00A76E60">
    <w:pPr>
      <w:pStyle w:val="Miejsceidata"/>
      <w:spacing w:line="360" w:lineRule="auto"/>
      <w:rPr>
        <w:b/>
        <w:noProof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47E"/>
    <w:multiLevelType w:val="hybridMultilevel"/>
    <w:tmpl w:val="F4EC98BA"/>
    <w:lvl w:ilvl="0" w:tplc="BE1004F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876E44"/>
    <w:multiLevelType w:val="hybridMultilevel"/>
    <w:tmpl w:val="4FE21A9C"/>
    <w:lvl w:ilvl="0" w:tplc="041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238B4F32"/>
    <w:multiLevelType w:val="hybridMultilevel"/>
    <w:tmpl w:val="E53CB5A8"/>
    <w:lvl w:ilvl="0" w:tplc="C9EAD0D0">
      <w:start w:val="1"/>
      <w:numFmt w:val="bullet"/>
      <w:pStyle w:val="Nagwek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643"/>
    <w:multiLevelType w:val="hybridMultilevel"/>
    <w:tmpl w:val="C360D99C"/>
    <w:lvl w:ilvl="0" w:tplc="E0B4D3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D0F0F45"/>
    <w:multiLevelType w:val="hybridMultilevel"/>
    <w:tmpl w:val="54D6EA30"/>
    <w:lvl w:ilvl="0" w:tplc="DEBA3EEA">
      <w:start w:val="1"/>
      <w:numFmt w:val="bullet"/>
      <w:pStyle w:val="Nagwek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7"/>
    <w:rsid w:val="00003055"/>
    <w:rsid w:val="00024D0F"/>
    <w:rsid w:val="00033ECB"/>
    <w:rsid w:val="000425C3"/>
    <w:rsid w:val="00046F0E"/>
    <w:rsid w:val="00051AC8"/>
    <w:rsid w:val="00052B5B"/>
    <w:rsid w:val="00060B4D"/>
    <w:rsid w:val="00072100"/>
    <w:rsid w:val="00072E90"/>
    <w:rsid w:val="00075BD9"/>
    <w:rsid w:val="000961F6"/>
    <w:rsid w:val="000A57F8"/>
    <w:rsid w:val="000C3C91"/>
    <w:rsid w:val="000D14A1"/>
    <w:rsid w:val="000D6204"/>
    <w:rsid w:val="000E180E"/>
    <w:rsid w:val="00102C7D"/>
    <w:rsid w:val="00103144"/>
    <w:rsid w:val="001078B5"/>
    <w:rsid w:val="00111966"/>
    <w:rsid w:val="0013050B"/>
    <w:rsid w:val="001328FA"/>
    <w:rsid w:val="00154A93"/>
    <w:rsid w:val="00162091"/>
    <w:rsid w:val="001642EF"/>
    <w:rsid w:val="00164D06"/>
    <w:rsid w:val="00172B6E"/>
    <w:rsid w:val="00172B88"/>
    <w:rsid w:val="00183C84"/>
    <w:rsid w:val="00184A41"/>
    <w:rsid w:val="001916EC"/>
    <w:rsid w:val="00195AB7"/>
    <w:rsid w:val="001966C0"/>
    <w:rsid w:val="001A25F8"/>
    <w:rsid w:val="001A3174"/>
    <w:rsid w:val="001A6A82"/>
    <w:rsid w:val="001B4727"/>
    <w:rsid w:val="001C1E59"/>
    <w:rsid w:val="001C4567"/>
    <w:rsid w:val="001C4E0F"/>
    <w:rsid w:val="001D0265"/>
    <w:rsid w:val="001E3640"/>
    <w:rsid w:val="001E4CB4"/>
    <w:rsid w:val="001F1D14"/>
    <w:rsid w:val="001F42CA"/>
    <w:rsid w:val="002049C5"/>
    <w:rsid w:val="0021255D"/>
    <w:rsid w:val="0021782B"/>
    <w:rsid w:val="002275B0"/>
    <w:rsid w:val="002335E1"/>
    <w:rsid w:val="002455DA"/>
    <w:rsid w:val="00245C5B"/>
    <w:rsid w:val="002473B0"/>
    <w:rsid w:val="002564AD"/>
    <w:rsid w:val="002622D5"/>
    <w:rsid w:val="00270FCB"/>
    <w:rsid w:val="002870FF"/>
    <w:rsid w:val="00291830"/>
    <w:rsid w:val="00296AD4"/>
    <w:rsid w:val="002A358B"/>
    <w:rsid w:val="002A4004"/>
    <w:rsid w:val="002A5812"/>
    <w:rsid w:val="002B6901"/>
    <w:rsid w:val="002B6BE2"/>
    <w:rsid w:val="002C1097"/>
    <w:rsid w:val="002D6A72"/>
    <w:rsid w:val="002D7960"/>
    <w:rsid w:val="002E1836"/>
    <w:rsid w:val="002E39A1"/>
    <w:rsid w:val="002E5A02"/>
    <w:rsid w:val="002F1449"/>
    <w:rsid w:val="00304BD9"/>
    <w:rsid w:val="003073AF"/>
    <w:rsid w:val="003106B1"/>
    <w:rsid w:val="00315D74"/>
    <w:rsid w:val="0032169E"/>
    <w:rsid w:val="00322CA0"/>
    <w:rsid w:val="00323509"/>
    <w:rsid w:val="00333F43"/>
    <w:rsid w:val="0034130A"/>
    <w:rsid w:val="003545DE"/>
    <w:rsid w:val="00366219"/>
    <w:rsid w:val="0037337A"/>
    <w:rsid w:val="00381F03"/>
    <w:rsid w:val="0038271D"/>
    <w:rsid w:val="003857A7"/>
    <w:rsid w:val="00390969"/>
    <w:rsid w:val="00392DDF"/>
    <w:rsid w:val="00394138"/>
    <w:rsid w:val="003970E0"/>
    <w:rsid w:val="003A0665"/>
    <w:rsid w:val="003B0683"/>
    <w:rsid w:val="003B1D95"/>
    <w:rsid w:val="003B22F5"/>
    <w:rsid w:val="003B2C43"/>
    <w:rsid w:val="003C4EEC"/>
    <w:rsid w:val="003D1511"/>
    <w:rsid w:val="003E54AC"/>
    <w:rsid w:val="003F013C"/>
    <w:rsid w:val="003F16EB"/>
    <w:rsid w:val="003F7D34"/>
    <w:rsid w:val="00403BD3"/>
    <w:rsid w:val="004119C6"/>
    <w:rsid w:val="00415BF0"/>
    <w:rsid w:val="00424789"/>
    <w:rsid w:val="004261BD"/>
    <w:rsid w:val="00453EED"/>
    <w:rsid w:val="004603B1"/>
    <w:rsid w:val="00461CF4"/>
    <w:rsid w:val="00463121"/>
    <w:rsid w:val="00467FA0"/>
    <w:rsid w:val="004713D5"/>
    <w:rsid w:val="004809B8"/>
    <w:rsid w:val="0048102C"/>
    <w:rsid w:val="00486888"/>
    <w:rsid w:val="00491AC1"/>
    <w:rsid w:val="0049483D"/>
    <w:rsid w:val="00495603"/>
    <w:rsid w:val="004A44FD"/>
    <w:rsid w:val="004A4644"/>
    <w:rsid w:val="004B4FFD"/>
    <w:rsid w:val="004B654E"/>
    <w:rsid w:val="004C1704"/>
    <w:rsid w:val="004C21D8"/>
    <w:rsid w:val="004C5E2F"/>
    <w:rsid w:val="004D029D"/>
    <w:rsid w:val="004D20C6"/>
    <w:rsid w:val="004D5024"/>
    <w:rsid w:val="004D5661"/>
    <w:rsid w:val="004E21CE"/>
    <w:rsid w:val="004E6E64"/>
    <w:rsid w:val="004E70BD"/>
    <w:rsid w:val="004E716C"/>
    <w:rsid w:val="004E79B5"/>
    <w:rsid w:val="004F216B"/>
    <w:rsid w:val="004F6750"/>
    <w:rsid w:val="00501ED3"/>
    <w:rsid w:val="005166E4"/>
    <w:rsid w:val="00521551"/>
    <w:rsid w:val="00527550"/>
    <w:rsid w:val="005362DC"/>
    <w:rsid w:val="00540117"/>
    <w:rsid w:val="00544A41"/>
    <w:rsid w:val="00562C50"/>
    <w:rsid w:val="00592A36"/>
    <w:rsid w:val="00594309"/>
    <w:rsid w:val="00596DC4"/>
    <w:rsid w:val="005B429C"/>
    <w:rsid w:val="005D1F81"/>
    <w:rsid w:val="005D2832"/>
    <w:rsid w:val="005E2EE2"/>
    <w:rsid w:val="005F2058"/>
    <w:rsid w:val="00600349"/>
    <w:rsid w:val="006034B5"/>
    <w:rsid w:val="0060487F"/>
    <w:rsid w:val="00605EBE"/>
    <w:rsid w:val="00606061"/>
    <w:rsid w:val="006075FD"/>
    <w:rsid w:val="00610AC8"/>
    <w:rsid w:val="00610E87"/>
    <w:rsid w:val="0061250F"/>
    <w:rsid w:val="00617C76"/>
    <w:rsid w:val="00623CDA"/>
    <w:rsid w:val="00631C31"/>
    <w:rsid w:val="0064399A"/>
    <w:rsid w:val="00644D3C"/>
    <w:rsid w:val="00644D47"/>
    <w:rsid w:val="0065042E"/>
    <w:rsid w:val="00653EFC"/>
    <w:rsid w:val="0066029B"/>
    <w:rsid w:val="0066150C"/>
    <w:rsid w:val="0067539C"/>
    <w:rsid w:val="0067614B"/>
    <w:rsid w:val="00686830"/>
    <w:rsid w:val="0069506C"/>
    <w:rsid w:val="006A2250"/>
    <w:rsid w:val="006A5BB1"/>
    <w:rsid w:val="006B068A"/>
    <w:rsid w:val="006B36FC"/>
    <w:rsid w:val="006C039F"/>
    <w:rsid w:val="006C197D"/>
    <w:rsid w:val="006C393C"/>
    <w:rsid w:val="006C485F"/>
    <w:rsid w:val="006C4E5E"/>
    <w:rsid w:val="006C6C41"/>
    <w:rsid w:val="006D69EB"/>
    <w:rsid w:val="006D6AF1"/>
    <w:rsid w:val="006D75B3"/>
    <w:rsid w:val="006E1707"/>
    <w:rsid w:val="006E7020"/>
    <w:rsid w:val="007141EF"/>
    <w:rsid w:val="007239B6"/>
    <w:rsid w:val="0073178D"/>
    <w:rsid w:val="0073379C"/>
    <w:rsid w:val="007373DA"/>
    <w:rsid w:val="00746159"/>
    <w:rsid w:val="00754BAE"/>
    <w:rsid w:val="00760097"/>
    <w:rsid w:val="00767E0D"/>
    <w:rsid w:val="00777BA5"/>
    <w:rsid w:val="00797E05"/>
    <w:rsid w:val="007B275C"/>
    <w:rsid w:val="007B571D"/>
    <w:rsid w:val="007B66B9"/>
    <w:rsid w:val="007B6B83"/>
    <w:rsid w:val="007D0149"/>
    <w:rsid w:val="007D39C9"/>
    <w:rsid w:val="007D79C6"/>
    <w:rsid w:val="007E2FC6"/>
    <w:rsid w:val="007E3706"/>
    <w:rsid w:val="007E46A1"/>
    <w:rsid w:val="007F2ACC"/>
    <w:rsid w:val="008028EE"/>
    <w:rsid w:val="00802A98"/>
    <w:rsid w:val="00804CE0"/>
    <w:rsid w:val="008129B3"/>
    <w:rsid w:val="0081413E"/>
    <w:rsid w:val="008162B4"/>
    <w:rsid w:val="0083299F"/>
    <w:rsid w:val="00833A3F"/>
    <w:rsid w:val="008365B6"/>
    <w:rsid w:val="0084050C"/>
    <w:rsid w:val="00847149"/>
    <w:rsid w:val="00853143"/>
    <w:rsid w:val="008571B0"/>
    <w:rsid w:val="00862373"/>
    <w:rsid w:val="00863E02"/>
    <w:rsid w:val="00865D9D"/>
    <w:rsid w:val="0086753D"/>
    <w:rsid w:val="008712E6"/>
    <w:rsid w:val="008724A2"/>
    <w:rsid w:val="00872CF4"/>
    <w:rsid w:val="008753C5"/>
    <w:rsid w:val="00875475"/>
    <w:rsid w:val="00883DFC"/>
    <w:rsid w:val="00884D9E"/>
    <w:rsid w:val="00895225"/>
    <w:rsid w:val="008A289D"/>
    <w:rsid w:val="008A5534"/>
    <w:rsid w:val="008A6A02"/>
    <w:rsid w:val="008B7829"/>
    <w:rsid w:val="008C21AB"/>
    <w:rsid w:val="008E7ECD"/>
    <w:rsid w:val="008F2326"/>
    <w:rsid w:val="008F5804"/>
    <w:rsid w:val="008F7A05"/>
    <w:rsid w:val="00900832"/>
    <w:rsid w:val="00901F8A"/>
    <w:rsid w:val="00904B11"/>
    <w:rsid w:val="00921506"/>
    <w:rsid w:val="00922363"/>
    <w:rsid w:val="00944007"/>
    <w:rsid w:val="0095004D"/>
    <w:rsid w:val="009551EF"/>
    <w:rsid w:val="0096747E"/>
    <w:rsid w:val="00970466"/>
    <w:rsid w:val="009806D1"/>
    <w:rsid w:val="00980D04"/>
    <w:rsid w:val="00994F56"/>
    <w:rsid w:val="009959F1"/>
    <w:rsid w:val="009A00BE"/>
    <w:rsid w:val="009A2DC8"/>
    <w:rsid w:val="009A4864"/>
    <w:rsid w:val="009A7BF5"/>
    <w:rsid w:val="009B6517"/>
    <w:rsid w:val="009B6DC2"/>
    <w:rsid w:val="009B7457"/>
    <w:rsid w:val="009C25F4"/>
    <w:rsid w:val="009C366A"/>
    <w:rsid w:val="009D2A2F"/>
    <w:rsid w:val="00A00B66"/>
    <w:rsid w:val="00A01CB8"/>
    <w:rsid w:val="00A02357"/>
    <w:rsid w:val="00A042D2"/>
    <w:rsid w:val="00A101B3"/>
    <w:rsid w:val="00A115ED"/>
    <w:rsid w:val="00A12826"/>
    <w:rsid w:val="00A13D88"/>
    <w:rsid w:val="00A15364"/>
    <w:rsid w:val="00A21578"/>
    <w:rsid w:val="00A21F40"/>
    <w:rsid w:val="00A25D9C"/>
    <w:rsid w:val="00A25E2A"/>
    <w:rsid w:val="00A3072F"/>
    <w:rsid w:val="00A33ADC"/>
    <w:rsid w:val="00A3587B"/>
    <w:rsid w:val="00A44487"/>
    <w:rsid w:val="00A51428"/>
    <w:rsid w:val="00A6177E"/>
    <w:rsid w:val="00A63B32"/>
    <w:rsid w:val="00A7004D"/>
    <w:rsid w:val="00A711C9"/>
    <w:rsid w:val="00A719F8"/>
    <w:rsid w:val="00A725CC"/>
    <w:rsid w:val="00A76E60"/>
    <w:rsid w:val="00A83F92"/>
    <w:rsid w:val="00A90BE0"/>
    <w:rsid w:val="00A910BE"/>
    <w:rsid w:val="00AB12CB"/>
    <w:rsid w:val="00AB59C1"/>
    <w:rsid w:val="00AB685B"/>
    <w:rsid w:val="00AB76FA"/>
    <w:rsid w:val="00AC087D"/>
    <w:rsid w:val="00AC1F92"/>
    <w:rsid w:val="00AC3AAC"/>
    <w:rsid w:val="00AC4A7B"/>
    <w:rsid w:val="00AC6BE3"/>
    <w:rsid w:val="00AF4F81"/>
    <w:rsid w:val="00AF5820"/>
    <w:rsid w:val="00AF6D30"/>
    <w:rsid w:val="00B024A0"/>
    <w:rsid w:val="00B0489F"/>
    <w:rsid w:val="00B053A9"/>
    <w:rsid w:val="00B05865"/>
    <w:rsid w:val="00B22F92"/>
    <w:rsid w:val="00B23F21"/>
    <w:rsid w:val="00B3703D"/>
    <w:rsid w:val="00B3708A"/>
    <w:rsid w:val="00B4299A"/>
    <w:rsid w:val="00B43119"/>
    <w:rsid w:val="00B44623"/>
    <w:rsid w:val="00B44C5C"/>
    <w:rsid w:val="00B74367"/>
    <w:rsid w:val="00B745A9"/>
    <w:rsid w:val="00B76519"/>
    <w:rsid w:val="00B9071B"/>
    <w:rsid w:val="00BA4C55"/>
    <w:rsid w:val="00BA759F"/>
    <w:rsid w:val="00BD0C87"/>
    <w:rsid w:val="00BE0768"/>
    <w:rsid w:val="00BE1DFE"/>
    <w:rsid w:val="00BE319A"/>
    <w:rsid w:val="00BE507D"/>
    <w:rsid w:val="00BE5819"/>
    <w:rsid w:val="00C07948"/>
    <w:rsid w:val="00C079BB"/>
    <w:rsid w:val="00C113CF"/>
    <w:rsid w:val="00C25302"/>
    <w:rsid w:val="00C2744E"/>
    <w:rsid w:val="00C42C53"/>
    <w:rsid w:val="00C572C9"/>
    <w:rsid w:val="00C760D8"/>
    <w:rsid w:val="00C77EE1"/>
    <w:rsid w:val="00CA5336"/>
    <w:rsid w:val="00CA6CF8"/>
    <w:rsid w:val="00CB2E89"/>
    <w:rsid w:val="00CB5D12"/>
    <w:rsid w:val="00CC086F"/>
    <w:rsid w:val="00CD62CB"/>
    <w:rsid w:val="00CE591A"/>
    <w:rsid w:val="00CE5973"/>
    <w:rsid w:val="00CF19B0"/>
    <w:rsid w:val="00CF5A69"/>
    <w:rsid w:val="00CF671E"/>
    <w:rsid w:val="00D0340B"/>
    <w:rsid w:val="00D051D6"/>
    <w:rsid w:val="00D07B9F"/>
    <w:rsid w:val="00D13DBA"/>
    <w:rsid w:val="00D163DA"/>
    <w:rsid w:val="00D24FEC"/>
    <w:rsid w:val="00D252B4"/>
    <w:rsid w:val="00D32C41"/>
    <w:rsid w:val="00D34C9E"/>
    <w:rsid w:val="00D40E0E"/>
    <w:rsid w:val="00D41A41"/>
    <w:rsid w:val="00D52184"/>
    <w:rsid w:val="00D53C69"/>
    <w:rsid w:val="00D603FD"/>
    <w:rsid w:val="00D736C9"/>
    <w:rsid w:val="00DB0BC1"/>
    <w:rsid w:val="00DB2F55"/>
    <w:rsid w:val="00DC179B"/>
    <w:rsid w:val="00DC31BE"/>
    <w:rsid w:val="00DE5DEB"/>
    <w:rsid w:val="00DF09BD"/>
    <w:rsid w:val="00DF2002"/>
    <w:rsid w:val="00E03696"/>
    <w:rsid w:val="00E12223"/>
    <w:rsid w:val="00E24B41"/>
    <w:rsid w:val="00E2736B"/>
    <w:rsid w:val="00E3630B"/>
    <w:rsid w:val="00E40E71"/>
    <w:rsid w:val="00E455F0"/>
    <w:rsid w:val="00E52ACB"/>
    <w:rsid w:val="00E650CE"/>
    <w:rsid w:val="00E65A6E"/>
    <w:rsid w:val="00E675E2"/>
    <w:rsid w:val="00E71A66"/>
    <w:rsid w:val="00E76984"/>
    <w:rsid w:val="00E80007"/>
    <w:rsid w:val="00E8233E"/>
    <w:rsid w:val="00E85450"/>
    <w:rsid w:val="00E9027D"/>
    <w:rsid w:val="00E95800"/>
    <w:rsid w:val="00EA68DD"/>
    <w:rsid w:val="00EB2FB0"/>
    <w:rsid w:val="00EB3239"/>
    <w:rsid w:val="00EB5BAB"/>
    <w:rsid w:val="00EC4BCF"/>
    <w:rsid w:val="00ED109D"/>
    <w:rsid w:val="00ED578B"/>
    <w:rsid w:val="00EE2C61"/>
    <w:rsid w:val="00EF2352"/>
    <w:rsid w:val="00EF3B99"/>
    <w:rsid w:val="00EF3D2C"/>
    <w:rsid w:val="00EF4A61"/>
    <w:rsid w:val="00EF4DF5"/>
    <w:rsid w:val="00EF5D64"/>
    <w:rsid w:val="00EF77F7"/>
    <w:rsid w:val="00EF782B"/>
    <w:rsid w:val="00EF7C9F"/>
    <w:rsid w:val="00F06B8B"/>
    <w:rsid w:val="00F1129C"/>
    <w:rsid w:val="00F1700E"/>
    <w:rsid w:val="00F317CE"/>
    <w:rsid w:val="00F329A6"/>
    <w:rsid w:val="00F34454"/>
    <w:rsid w:val="00F3780A"/>
    <w:rsid w:val="00F471A7"/>
    <w:rsid w:val="00F54315"/>
    <w:rsid w:val="00F64125"/>
    <w:rsid w:val="00F64736"/>
    <w:rsid w:val="00F65E4B"/>
    <w:rsid w:val="00F65FB5"/>
    <w:rsid w:val="00F67AD6"/>
    <w:rsid w:val="00F708F9"/>
    <w:rsid w:val="00F87226"/>
    <w:rsid w:val="00F95445"/>
    <w:rsid w:val="00F95DCE"/>
    <w:rsid w:val="00FB16D1"/>
    <w:rsid w:val="00FB3FFE"/>
    <w:rsid w:val="00FB59AA"/>
    <w:rsid w:val="00FB726B"/>
    <w:rsid w:val="00FD1A1A"/>
    <w:rsid w:val="00FD3EDF"/>
    <w:rsid w:val="00FE37CF"/>
    <w:rsid w:val="00FE48E0"/>
    <w:rsid w:val="00FE7C8E"/>
    <w:rsid w:val="00FF0F57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3592"/>
  <w15:chartTrackingRefBased/>
  <w15:docId w15:val="{CC530CF5-1C96-41CA-B66D-992E8F5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804"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2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804"/>
    <w:pPr>
      <w:keepNext/>
      <w:keepLines/>
      <w:numPr>
        <w:numId w:val="4"/>
      </w:numPr>
      <w:spacing w:before="40" w:line="360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7226"/>
    <w:pPr>
      <w:keepNext/>
      <w:keepLines/>
      <w:numPr>
        <w:numId w:val="5"/>
      </w:numPr>
      <w:spacing w:before="40" w:line="360" w:lineRule="auto"/>
      <w:ind w:left="1068"/>
      <w:outlineLvl w:val="3"/>
    </w:pPr>
    <w:rPr>
      <w:rFonts w:ascii="Arial" w:eastAsiaTheme="majorEastAsia" w:hAnsi="Arial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rsid w:val="008F5804"/>
    <w:rPr>
      <w:rFonts w:ascii="Arial" w:eastAsia="Times New Roman" w:hAnsi="Arial"/>
      <w:b/>
      <w:bCs/>
      <w:iCs/>
      <w:sz w:val="22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AC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650CE"/>
    <w:rPr>
      <w:rFonts w:ascii="Times New Roman" w:eastAsia="Times New Roman" w:hAnsi="Times New Roman"/>
      <w:sz w:val="24"/>
      <w:szCs w:val="24"/>
    </w:rPr>
  </w:style>
  <w:style w:type="paragraph" w:customStyle="1" w:styleId="Miejsceidata">
    <w:name w:val="Miejsce i data"/>
    <w:basedOn w:val="Normalny"/>
    <w:next w:val="Normalny"/>
    <w:rsid w:val="00A76E60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F378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4BD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F205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5804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7226"/>
    <w:rPr>
      <w:rFonts w:ascii="Arial" w:eastAsiaTheme="majorEastAsia" w:hAnsi="Arial" w:cstheme="majorBidi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E207-B285-414A-B294-B3DA9BF4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</vt:lpstr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</dc:title>
  <dc:subject/>
  <dc:creator>UMWP</dc:creator>
  <cp:keywords/>
  <cp:lastModifiedBy>Zarzyczny Agnieszka</cp:lastModifiedBy>
  <cp:revision>4</cp:revision>
  <cp:lastPrinted>2023-11-07T10:50:00Z</cp:lastPrinted>
  <dcterms:created xsi:type="dcterms:W3CDTF">2024-09-25T07:07:00Z</dcterms:created>
  <dcterms:modified xsi:type="dcterms:W3CDTF">2024-09-25T10:57:00Z</dcterms:modified>
</cp:coreProperties>
</file>