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46F81" w14:textId="77777777" w:rsidR="00004263" w:rsidRPr="00721FFB" w:rsidRDefault="00004263" w:rsidP="00D101E1">
      <w:pPr>
        <w:spacing w:after="0" w:line="276" w:lineRule="auto"/>
        <w:rPr>
          <w:rFonts w:ascii="Arial" w:hAnsi="Arial" w:cs="Arial"/>
        </w:rPr>
      </w:pPr>
    </w:p>
    <w:p w14:paraId="54769CC0" w14:textId="77777777" w:rsidR="00004263" w:rsidRPr="00721FFB" w:rsidRDefault="00004263" w:rsidP="00D101E1">
      <w:pPr>
        <w:spacing w:after="0" w:line="276" w:lineRule="auto"/>
        <w:rPr>
          <w:rFonts w:ascii="Arial" w:hAnsi="Arial" w:cs="Arial"/>
        </w:rPr>
      </w:pPr>
    </w:p>
    <w:p w14:paraId="65685960" w14:textId="347517BF" w:rsidR="0013445F" w:rsidRPr="00721FFB" w:rsidRDefault="00CF3FDB" w:rsidP="00E85C4D">
      <w:pPr>
        <w:spacing w:after="0" w:line="276" w:lineRule="auto"/>
        <w:rPr>
          <w:rFonts w:ascii="Arial" w:hAnsi="Arial" w:cs="Arial"/>
        </w:rPr>
      </w:pPr>
      <w:r w:rsidRPr="00721FFB">
        <w:rPr>
          <w:rFonts w:ascii="Arial" w:hAnsi="Arial" w:cs="Arial"/>
        </w:rPr>
        <w:t>Załącznik nr 6</w:t>
      </w:r>
      <w:r w:rsidR="00EF03BF" w:rsidRPr="00721FFB">
        <w:rPr>
          <w:rFonts w:ascii="Arial" w:hAnsi="Arial" w:cs="Arial"/>
        </w:rPr>
        <w:t xml:space="preserve"> </w:t>
      </w:r>
    </w:p>
    <w:p w14:paraId="66C99F1D" w14:textId="34242341" w:rsidR="00B85E15" w:rsidRPr="005C5E62" w:rsidRDefault="00EF03BF" w:rsidP="00E85C4D">
      <w:pPr>
        <w:spacing w:after="0" w:line="276" w:lineRule="auto"/>
        <w:rPr>
          <w:rFonts w:ascii="Arial" w:hAnsi="Arial" w:cs="Arial"/>
        </w:rPr>
      </w:pPr>
      <w:r w:rsidRPr="005C5E62">
        <w:rPr>
          <w:rFonts w:ascii="Arial" w:hAnsi="Arial" w:cs="Arial"/>
        </w:rPr>
        <w:t xml:space="preserve">do </w:t>
      </w:r>
      <w:r w:rsidR="00B85E15" w:rsidRPr="005C5E62">
        <w:rPr>
          <w:rFonts w:ascii="Arial" w:hAnsi="Arial" w:cs="Arial"/>
        </w:rPr>
        <w:t xml:space="preserve">Regulamin </w:t>
      </w:r>
      <w:r w:rsidR="00E85C4D" w:rsidRPr="005C5E62">
        <w:rPr>
          <w:rFonts w:ascii="Arial" w:hAnsi="Arial" w:cs="Arial"/>
        </w:rPr>
        <w:t>naboru wniosków</w:t>
      </w:r>
      <w:r w:rsidR="00897B6D">
        <w:rPr>
          <w:rFonts w:ascii="Arial" w:hAnsi="Arial" w:cs="Arial"/>
        </w:rPr>
        <w:t xml:space="preserve"> o wsparcie</w:t>
      </w:r>
      <w:r w:rsidR="00E85C4D" w:rsidRPr="005C5E62">
        <w:rPr>
          <w:rFonts w:ascii="Arial" w:hAnsi="Arial" w:cs="Arial"/>
        </w:rPr>
        <w:t xml:space="preserve"> nr </w:t>
      </w:r>
      <w:r w:rsidR="005C5E62" w:rsidRPr="005C5E62">
        <w:rPr>
          <w:rFonts w:ascii="Arial" w:hAnsi="Arial" w:cs="Arial"/>
        </w:rPr>
        <w:t>FEPK.08.01-IZ.00-001/24</w:t>
      </w:r>
    </w:p>
    <w:p w14:paraId="41DC904F" w14:textId="77777777" w:rsidR="00CF3FDB" w:rsidRPr="00721FFB" w:rsidRDefault="00CF3FDB" w:rsidP="00CF3FDB">
      <w:pPr>
        <w:spacing w:after="0" w:line="276" w:lineRule="auto"/>
        <w:rPr>
          <w:rFonts w:ascii="Arial" w:hAnsi="Arial" w:cs="Arial"/>
        </w:rPr>
      </w:pPr>
    </w:p>
    <w:p w14:paraId="4599088E" w14:textId="77777777" w:rsidR="00CF3FDB" w:rsidRPr="00721FFB" w:rsidRDefault="00CF3FDB" w:rsidP="00CF3FDB">
      <w:pPr>
        <w:spacing w:after="0" w:line="276" w:lineRule="auto"/>
        <w:jc w:val="center"/>
        <w:rPr>
          <w:rFonts w:ascii="Arial" w:hAnsi="Arial" w:cs="Arial"/>
        </w:rPr>
      </w:pPr>
      <w:r w:rsidRPr="00721FFB">
        <w:rPr>
          <w:rFonts w:ascii="Arial" w:hAnsi="Arial" w:cs="Arial"/>
          <w:b/>
          <w:bCs/>
        </w:rPr>
        <w:t>Lista wskaźników (EFS+)</w:t>
      </w:r>
    </w:p>
    <w:p w14:paraId="71BC1BE9" w14:textId="1DF138B4" w:rsidR="00CF3FDB" w:rsidRPr="00721FFB" w:rsidRDefault="00CF3FDB" w:rsidP="00CF3FDB">
      <w:pPr>
        <w:keepNext/>
        <w:keepLines/>
        <w:spacing w:before="240" w:after="0"/>
        <w:outlineLvl w:val="0"/>
        <w:rPr>
          <w:rFonts w:ascii="Arial" w:eastAsiaTheme="majorEastAsia" w:hAnsi="Arial" w:cs="Arial"/>
        </w:rPr>
      </w:pPr>
      <w:bookmarkStart w:id="0" w:name="_Hlk125701456"/>
    </w:p>
    <w:tbl>
      <w:tblPr>
        <w:tblStyle w:val="Tabelasiatki1jasna1"/>
        <w:tblW w:w="0" w:type="auto"/>
        <w:jc w:val="center"/>
        <w:tblLook w:val="04A0" w:firstRow="1" w:lastRow="0" w:firstColumn="1" w:lastColumn="0" w:noHBand="0" w:noVBand="1"/>
        <w:tblCaption w:val="Lista wskaźników produktu"/>
      </w:tblPr>
      <w:tblGrid>
        <w:gridCol w:w="1340"/>
        <w:gridCol w:w="1845"/>
        <w:gridCol w:w="3245"/>
        <w:gridCol w:w="5018"/>
        <w:gridCol w:w="1471"/>
        <w:gridCol w:w="1471"/>
      </w:tblGrid>
      <w:tr w:rsidR="001E60E4" w:rsidRPr="00721FFB" w14:paraId="4F6674E9" w14:textId="0504911C" w:rsidTr="00D841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  <w:vMerge w:val="restart"/>
          </w:tcPr>
          <w:bookmarkEnd w:id="0"/>
          <w:p w14:paraId="5887A098" w14:textId="77777777" w:rsidR="001E60E4" w:rsidRPr="00721FFB" w:rsidRDefault="001E60E4" w:rsidP="00CF3FDB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Kod wskaźnika </w:t>
            </w:r>
          </w:p>
        </w:tc>
        <w:tc>
          <w:tcPr>
            <w:tcW w:w="1845" w:type="dxa"/>
            <w:vMerge w:val="restart"/>
          </w:tcPr>
          <w:p w14:paraId="6628D73C" w14:textId="77777777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Rodzaj wskaźnika </w:t>
            </w:r>
          </w:p>
        </w:tc>
        <w:tc>
          <w:tcPr>
            <w:tcW w:w="3245" w:type="dxa"/>
            <w:vMerge w:val="restart"/>
          </w:tcPr>
          <w:p w14:paraId="47D607D7" w14:textId="77777777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Nazwa wskaźnika (jednostka miary) </w:t>
            </w:r>
          </w:p>
        </w:tc>
        <w:tc>
          <w:tcPr>
            <w:tcW w:w="5018" w:type="dxa"/>
            <w:vMerge w:val="restart"/>
          </w:tcPr>
          <w:p w14:paraId="78F7A449" w14:textId="0CE6233E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Definicja operacyjna/kontekst prawny</w:t>
            </w:r>
            <w:r w:rsidR="005448D3">
              <w:rPr>
                <w:rFonts w:ascii="Arial" w:hAnsi="Arial" w:cs="Arial"/>
              </w:rPr>
              <w:t xml:space="preserve"> (Definicje wskaźników produktu i rezultatu są zgodne z definicjami zawartymi na Liście Wskaźników Kluczowych 2021-2027 dla EFS+ (LWK))</w:t>
            </w:r>
          </w:p>
        </w:tc>
        <w:tc>
          <w:tcPr>
            <w:tcW w:w="2942" w:type="dxa"/>
            <w:gridSpan w:val="2"/>
          </w:tcPr>
          <w:p w14:paraId="1B3F8E4E" w14:textId="625F573A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Wskaźnik obligatoryjny</w:t>
            </w:r>
          </w:p>
        </w:tc>
      </w:tr>
      <w:tr w:rsidR="001E60E4" w:rsidRPr="00721FFB" w14:paraId="5FA262E2" w14:textId="77777777" w:rsidTr="00D841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  <w:vMerge/>
          </w:tcPr>
          <w:p w14:paraId="6519BA6C" w14:textId="77777777" w:rsidR="001E60E4" w:rsidRPr="00721FFB" w:rsidRDefault="001E60E4" w:rsidP="00CF3FDB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vMerge/>
          </w:tcPr>
          <w:p w14:paraId="2711A6D7" w14:textId="77777777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45" w:type="dxa"/>
            <w:vMerge/>
          </w:tcPr>
          <w:p w14:paraId="6B3A4545" w14:textId="77777777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018" w:type="dxa"/>
            <w:vMerge/>
          </w:tcPr>
          <w:p w14:paraId="358046A0" w14:textId="77777777" w:rsidR="001E60E4" w:rsidRPr="00721FFB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14:paraId="495A2043" w14:textId="1438264F" w:rsidR="001E60E4" w:rsidRPr="001E60E4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TAK</w:t>
            </w:r>
          </w:p>
        </w:tc>
        <w:tc>
          <w:tcPr>
            <w:tcW w:w="1471" w:type="dxa"/>
          </w:tcPr>
          <w:p w14:paraId="15224AF5" w14:textId="32892687" w:rsidR="001E60E4" w:rsidRDefault="001E60E4" w:rsidP="00CF3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</w:t>
            </w:r>
          </w:p>
        </w:tc>
      </w:tr>
      <w:tr w:rsidR="001E60E4" w:rsidRPr="00721FFB" w14:paraId="2B318B04" w14:textId="7043037A" w:rsidTr="00D84132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289FFA2B" w14:textId="62F91CE1" w:rsidR="001E60E4" w:rsidRPr="00721FFB" w:rsidRDefault="001E60E4" w:rsidP="00CF3FDB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WLWK-PLFCO09 </w:t>
            </w:r>
          </w:p>
        </w:tc>
        <w:tc>
          <w:tcPr>
            <w:tcW w:w="1845" w:type="dxa"/>
          </w:tcPr>
          <w:p w14:paraId="1C4D1033" w14:textId="77777777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5373406E" w14:textId="5F20EAB9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dzieci lub uczniów o specjalnych potrzebach rozwojowych i edukacyjnych, którzy zostali objęci usługami asystenta</w:t>
            </w:r>
          </w:p>
        </w:tc>
        <w:tc>
          <w:tcPr>
            <w:tcW w:w="5018" w:type="dxa"/>
          </w:tcPr>
          <w:p w14:paraId="619F70E3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Wskaźnik mierzy liczbę dzieci i uczniów, którzy zostali objęci opieką asystenta/ skorzystali z usług asystenckich. </w:t>
            </w:r>
          </w:p>
          <w:p w14:paraId="3CBA90C7" w14:textId="77777777" w:rsidR="001E60E4" w:rsidRPr="00721FFB" w:rsidRDefault="001E60E4" w:rsidP="00FE3FA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  <w:p w14:paraId="0FFFF324" w14:textId="77777777" w:rsidR="00B317FB" w:rsidRDefault="001E60E4" w:rsidP="001219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Wskaźnik mierzony jest w momencie, gdy dziecko lub uczeń pierwszy raz skorzysta z usług asystenta.</w:t>
            </w:r>
            <w:r w:rsidR="00B317FB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077B95E1" w14:textId="275065E0" w:rsidR="00B317FB" w:rsidRPr="005448D3" w:rsidRDefault="00B317FB" w:rsidP="005448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48D3">
              <w:rPr>
                <w:rFonts w:ascii="Arial" w:eastAsia="Times New Roman" w:hAnsi="Arial" w:cs="Arial"/>
                <w:lang w:eastAsia="pl-PL"/>
              </w:rPr>
              <w:t>Wskaźnik jest wskaźnikiem podrzędnym w stosunku do PLFCO08.</w:t>
            </w:r>
          </w:p>
        </w:tc>
        <w:tc>
          <w:tcPr>
            <w:tcW w:w="1471" w:type="dxa"/>
          </w:tcPr>
          <w:p w14:paraId="5B0E6853" w14:textId="77777777" w:rsidR="001E60E4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  <w:p w14:paraId="04C9AB1D" w14:textId="77777777" w:rsidR="001E60E4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  <w:p w14:paraId="5B723B5F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1" w:type="dxa"/>
          </w:tcPr>
          <w:p w14:paraId="55E9418D" w14:textId="28483A26" w:rsidR="001E60E4" w:rsidRPr="00721FFB" w:rsidRDefault="00D84132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1E60E4" w:rsidRPr="00721FFB" w14:paraId="6AE52076" w14:textId="70849D27" w:rsidTr="00D84132">
        <w:trPr>
          <w:trHeight w:val="1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2947F493" w14:textId="7DD9260F" w:rsidR="001E60E4" w:rsidRPr="00721FFB" w:rsidRDefault="001E60E4" w:rsidP="00CF3FDB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WLWK-PLFCO08</w:t>
            </w:r>
          </w:p>
        </w:tc>
        <w:tc>
          <w:tcPr>
            <w:tcW w:w="1845" w:type="dxa"/>
          </w:tcPr>
          <w:p w14:paraId="487E6B9E" w14:textId="55F759ED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34F3596D" w14:textId="634DEF4B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dzieci/uczniów o specjalnych potrzebach rozwojowych i edukacyjnych, objętych wsparciem</w:t>
            </w:r>
          </w:p>
        </w:tc>
        <w:tc>
          <w:tcPr>
            <w:tcW w:w="5018" w:type="dxa"/>
          </w:tcPr>
          <w:p w14:paraId="03DDFED5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Wskaźnik mierzy liczbę dzieci/uczniów objętych w ramach programu wsparciem w zakresie zidentyfikowanych specjalnych potrzeb rozwojowych i edukacyjnych, w tym wynikających z niepełnosprawności.</w:t>
            </w:r>
          </w:p>
          <w:p w14:paraId="7685E54D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  <w:p w14:paraId="7446E7D4" w14:textId="77777777" w:rsidR="001E60E4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Jako specjalne potrzeby rozwojowe i edukacyjne należy rozumieć indywidualne potrzeby oraz możliwości psychofizyczne dzieci w wieku przedszkolnym oraz uczniów, o których mowa w rozporządzeniu Ministra Edukacji Narodowej z dnia 9 sierpnia 2017 r. </w:t>
            </w:r>
            <w:r w:rsidRPr="00721FFB">
              <w:rPr>
                <w:rFonts w:ascii="Arial" w:eastAsia="Times New Roman" w:hAnsi="Arial" w:cs="Arial"/>
                <w:i/>
                <w:iCs/>
                <w:lang w:eastAsia="pl-PL"/>
              </w:rPr>
              <w:t>w sprawie zasad organizacji i udzielania pomocy psychologiczno-pedagogicznej w publicznych przedszkolach, szkołach i placówkach</w:t>
            </w:r>
            <w:r w:rsidRPr="00721FFB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76BA79F2" w14:textId="24832B25" w:rsidR="00B317FB" w:rsidRPr="00721FFB" w:rsidRDefault="00B317FB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B317FB">
              <w:rPr>
                <w:rFonts w:ascii="Arial" w:eastAsia="Times New Roman" w:hAnsi="Arial" w:cs="Arial"/>
                <w:lang w:eastAsia="pl-PL"/>
              </w:rPr>
              <w:t>Wskaźnik jest wskaźnikiem podrzędnym w stosunku do PLFCO01, 03, 04 i 05.</w:t>
            </w:r>
          </w:p>
        </w:tc>
        <w:tc>
          <w:tcPr>
            <w:tcW w:w="1471" w:type="dxa"/>
          </w:tcPr>
          <w:p w14:paraId="29503314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1" w:type="dxa"/>
          </w:tcPr>
          <w:p w14:paraId="2A8DE6B1" w14:textId="59BC8D36" w:rsidR="001E60E4" w:rsidRPr="00721FFB" w:rsidRDefault="00D84132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1E60E4" w:rsidRPr="00721FFB" w14:paraId="34C3DF66" w14:textId="20D7E227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1A87271D" w14:textId="67FDA0FD" w:rsidR="001E60E4" w:rsidRPr="00721FFB" w:rsidRDefault="001E60E4" w:rsidP="00CF3FDB">
            <w:pPr>
              <w:rPr>
                <w:rFonts w:ascii="Arial" w:hAnsi="Arial" w:cs="Arial"/>
              </w:rPr>
            </w:pPr>
            <w:bookmarkStart w:id="1" w:name="_Hlk176514120"/>
            <w:r w:rsidRPr="00721FFB">
              <w:rPr>
                <w:rFonts w:ascii="Arial" w:hAnsi="Arial" w:cs="Arial"/>
              </w:rPr>
              <w:lastRenderedPageBreak/>
              <w:t>WLWK-PL0CO02</w:t>
            </w:r>
          </w:p>
        </w:tc>
        <w:tc>
          <w:tcPr>
            <w:tcW w:w="1845" w:type="dxa"/>
          </w:tcPr>
          <w:p w14:paraId="4DF44027" w14:textId="383E4907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2E4DEFFC" w14:textId="24069D21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obiektów dostosowanych do potrzeb osób z niepełnosprawnościami</w:t>
            </w:r>
          </w:p>
        </w:tc>
        <w:tc>
          <w:tcPr>
            <w:tcW w:w="5018" w:type="dxa"/>
          </w:tcPr>
          <w:p w14:paraId="59F9877E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bookmarkStart w:id="2" w:name="_Hlk176514096"/>
            <w:r w:rsidRPr="00721FFB">
              <w:rPr>
                <w:rFonts w:ascii="Arial" w:hAnsi="Arial" w:cs="Arial"/>
              </w:rPr>
              <w:t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</w:t>
            </w:r>
            <w:r w:rsidRPr="00721FFB">
              <w:rPr>
                <w:rFonts w:ascii="Arial" w:hAnsi="Arial" w:cs="Arial"/>
              </w:rPr>
              <w:br/>
            </w:r>
          </w:p>
          <w:p w14:paraId="54CFC0D8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Jako obiekty należy rozumieć konstrukcje połączone z gruntem w sposób trwały, wykonane z materiałów budowlanych i elementów składowych, będące wynikiem prac budowlanych (wg. def. PKOB).</w:t>
            </w:r>
          </w:p>
          <w:p w14:paraId="4125F0AA" w14:textId="77777777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7EFC6BE3" w14:textId="678E8D8F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Wskaźnik mierzony w momencie rozliczenia wydatku związanego z wyposażeniem obiektów w rozwiązania służące osobom z niepełnosprawnościami w ramach danego projektu.</w:t>
            </w:r>
            <w:bookmarkEnd w:id="2"/>
          </w:p>
        </w:tc>
        <w:tc>
          <w:tcPr>
            <w:tcW w:w="1471" w:type="dxa"/>
          </w:tcPr>
          <w:p w14:paraId="31DD66E8" w14:textId="7C549541" w:rsidR="001E60E4" w:rsidRPr="00721FFB" w:rsidRDefault="001E60E4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14:paraId="150BC172" w14:textId="6BC90F33" w:rsidR="001E60E4" w:rsidRPr="00721FFB" w:rsidRDefault="00D84132" w:rsidP="00FE3F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1E60E4" w:rsidRPr="00721FFB" w14:paraId="299E1763" w14:textId="7F08ECA1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595E1050" w14:textId="42BA7293" w:rsidR="001E60E4" w:rsidRPr="00721FFB" w:rsidRDefault="001E60E4" w:rsidP="00CF3FDB">
            <w:pPr>
              <w:rPr>
                <w:rFonts w:ascii="Arial" w:hAnsi="Arial" w:cs="Arial"/>
              </w:rPr>
            </w:pPr>
            <w:bookmarkStart w:id="3" w:name="_Hlk176514348"/>
            <w:bookmarkEnd w:id="1"/>
            <w:r w:rsidRPr="00721FFB">
              <w:rPr>
                <w:rFonts w:ascii="Arial" w:hAnsi="Arial" w:cs="Arial"/>
              </w:rPr>
              <w:t>WLWK-EECO15</w:t>
            </w:r>
          </w:p>
        </w:tc>
        <w:tc>
          <w:tcPr>
            <w:tcW w:w="1845" w:type="dxa"/>
          </w:tcPr>
          <w:p w14:paraId="08A4B91D" w14:textId="301F99EB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325E3E2A" w14:textId="58AA87A1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5018" w:type="dxa"/>
          </w:tcPr>
          <w:p w14:paraId="0983F7FD" w14:textId="77777777" w:rsidR="001E60E4" w:rsidRPr="00721FFB" w:rsidRDefault="001E60E4" w:rsidP="008C6D7B">
            <w:pPr>
              <w:pStyle w:val="Akapitzlist"/>
              <w:spacing w:before="120"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Wskaźnik obejmuje osoby należące do mniejszości narodowych i etnicznych biorące udział w projektach EFS+.</w:t>
            </w:r>
          </w:p>
          <w:p w14:paraId="26CD6607" w14:textId="77777777" w:rsidR="001E60E4" w:rsidRPr="00721FFB" w:rsidRDefault="001E60E4" w:rsidP="008C6D7B">
            <w:pPr>
              <w:pStyle w:val="Akapitzlist"/>
              <w:spacing w:before="120"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Zgodnie z prawem krajowym mniejszości narodowe to mniejszość: białoruska, czeska, litewska, niemiecka, ormiańska, rosyjska, słowacka, ukraińska, żydowska. Mniejszości etniczne: karaimska, łemkowska, romska,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tatarska.</w:t>
            </w:r>
            <w:r w:rsidRPr="00721FFB">
              <w:rPr>
                <w:rFonts w:ascii="Arial" w:eastAsia="Times New Roman" w:hAnsi="Arial" w:cs="Arial"/>
                <w:lang w:eastAsia="pl-PL"/>
              </w:rPr>
              <w:br/>
              <w:t>Definicja opracowana na podstawie ustawy z dnia 6 stycznia 2005 r. o mniejszościach narodowych i etnicznych oraz o języku regionalnym.</w:t>
            </w:r>
          </w:p>
          <w:p w14:paraId="30CFDF18" w14:textId="77777777" w:rsidR="001E60E4" w:rsidRPr="00721FFB" w:rsidRDefault="001E60E4" w:rsidP="008C6D7B">
            <w:pPr>
              <w:pStyle w:val="Akapitzlist"/>
              <w:spacing w:before="120"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Przynależność do grupy osób należących do mniejszości określana jest w momencie rozpoczęcia udziału w projekcie, tj. w chwili rozpoczęcia udziału w pierwszej formie wsparcia w projekcie.</w:t>
            </w:r>
          </w:p>
          <w:p w14:paraId="31AE6E07" w14:textId="77777777" w:rsidR="001E60E4" w:rsidRPr="00721FFB" w:rsidRDefault="001E60E4" w:rsidP="008C6D7B">
            <w:pPr>
              <w:pStyle w:val="Akapitzlist"/>
              <w:spacing w:after="120" w:line="259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W przypadku, gdy przynależność do mniejszości jest kryterium umożliwiającym udział w danej interwencji (np. grupa docelowa wskazana została we wniosku o dofinansowanie, kryteriach wyboru projektu lub dokumentach programowych), należy dane pozyskiwać bezpośrednio od wszystkich jej uczestników. W pozostałych przypadkach dane osobowe dot. tej cechy nie muszą być zbierane od poszczególnych uczestników. Wskaźnik należy jednak monitorować, nawet w przypadku, gdy powiązane z nim dane osobowe nie są zbierane od uczestników. Beneficjent stosuje wtedy szacunki. Najlepiej, by szacunki dotyczące uczestników należących do mniejszości w ogólnej liczbie uczestników w podziale na płeć były uzyskiwane za pomocą metod, które można statystycznie uzasadnić. Jeśli nie jest to możliwe, należy wykorzystać tzw. wiarygodne szacunki (różne metody szacowania opisano w załączniku do Wytycznych). Wybraną metodę szacowania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należy udokumentować. Uwaga: w danym projekcie może być stosowana wyłącznie jedna metoda monitorowania tego wskaźnika tj. szacowanie lub zbieranie danych osobowych dot. tego wskaźnika od uczestników.</w:t>
            </w:r>
          </w:p>
          <w:p w14:paraId="6483A6AD" w14:textId="0BBFDD9F" w:rsidR="001E60E4" w:rsidRPr="00721FFB" w:rsidRDefault="001E60E4" w:rsidP="008C6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Zasady dotyczące możliwości wykorzystania wiarygodnych szacunków przez beneficjentów w danym naborze określane są przez właściwą dla programu Instytucję Zarządzającą</w:t>
            </w:r>
          </w:p>
        </w:tc>
        <w:tc>
          <w:tcPr>
            <w:tcW w:w="1471" w:type="dxa"/>
          </w:tcPr>
          <w:p w14:paraId="380480FD" w14:textId="2CB439FA" w:rsidR="001E60E4" w:rsidRPr="00D84132" w:rsidRDefault="00D84132" w:rsidP="008C6D7B">
            <w:pPr>
              <w:pStyle w:val="Akapitzlist"/>
              <w:spacing w:before="120"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val="pl-PL" w:eastAsia="pl-PL"/>
              </w:rPr>
            </w:pPr>
            <w:r>
              <w:rPr>
                <w:rFonts w:ascii="Arial" w:eastAsia="Times New Roman" w:hAnsi="Arial" w:cs="Arial"/>
                <w:lang w:val="pl-PL" w:eastAsia="pl-PL"/>
              </w:rPr>
              <w:lastRenderedPageBreak/>
              <w:t>X</w:t>
            </w:r>
          </w:p>
        </w:tc>
        <w:tc>
          <w:tcPr>
            <w:tcW w:w="1471" w:type="dxa"/>
          </w:tcPr>
          <w:p w14:paraId="146AE1DD" w14:textId="5691F22D" w:rsidR="001E60E4" w:rsidRPr="00721FFB" w:rsidRDefault="001E60E4" w:rsidP="008C6D7B">
            <w:pPr>
              <w:pStyle w:val="Akapitzlist"/>
              <w:spacing w:before="120"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</w:tr>
      <w:bookmarkEnd w:id="3"/>
      <w:tr w:rsidR="001E60E4" w:rsidRPr="00721FFB" w14:paraId="69E7C492" w14:textId="63679B0C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0F3F0F4" w14:textId="7B40B8B9" w:rsidR="001E60E4" w:rsidRPr="00721FFB" w:rsidRDefault="001E60E4" w:rsidP="00CF3FDB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lastRenderedPageBreak/>
              <w:t>WLWK-EECO14</w:t>
            </w:r>
          </w:p>
        </w:tc>
        <w:tc>
          <w:tcPr>
            <w:tcW w:w="1845" w:type="dxa"/>
          </w:tcPr>
          <w:p w14:paraId="196F9F21" w14:textId="7BBD375A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6A386A56" w14:textId="2522B2DB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osób obcego pochodzenia objętych wsparciem w programie</w:t>
            </w:r>
          </w:p>
        </w:tc>
        <w:tc>
          <w:tcPr>
            <w:tcW w:w="5018" w:type="dxa"/>
          </w:tcPr>
          <w:p w14:paraId="6DAD09B7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Osoby obcego pochodzenia to cudzoziemcy - każda osoba, która nie posiada polskiego obywatelstwa, bez względu na fakt posiadania lub nie obywatelstwa (obywatelstw) innych krajów. </w:t>
            </w:r>
          </w:p>
          <w:p w14:paraId="225AACAA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nie obejmuje osób należących do mniejszości, których udział w projektach monitorowany jest wskaźnikiem </w:t>
            </w:r>
            <w:r w:rsidRPr="00721FFB">
              <w:rPr>
                <w:rFonts w:ascii="Arial" w:hAnsi="Arial" w:cs="Arial"/>
                <w:i/>
              </w:rPr>
              <w:t>liczba osób należących do mniejszości, w tym społeczności marginalizowanych takich jak Romowie, objętych wsparciem w programie</w:t>
            </w:r>
            <w:r w:rsidRPr="00721FFB">
              <w:rPr>
                <w:rFonts w:ascii="Arial" w:hAnsi="Arial" w:cs="Arial"/>
              </w:rPr>
              <w:t>.</w:t>
            </w:r>
          </w:p>
          <w:p w14:paraId="0B9EC0EA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Przynależność do grupy osób obcego pochodzenia określana jest w momencie rozpoczęcia udziału w projekcie, tj. w chwili rozpoczęcia udziału w pierwszej formie wsparcia w projekcie.</w:t>
            </w:r>
          </w:p>
          <w:p w14:paraId="645B8B9A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W przypadku, gdy fakt bycia cudzoziemcem (osobą obcego pochodzenia) jest kryterium umożliwiającym udział w danej interwencji (np. grupa docelowa wskazana została we wniosku o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dofinansowanie, kryteriach wyboru projektu lub dokumentach programowych), należy dane pozyskiwać bezpośrednio od wszystkich jej uczestników. W pozostałych przypadkach dane osobowe dot. tej cechy nie muszą być zbierane od poszczególnych uczestników. Wskaźnik należy jednak monitorować, nawet w przypadku, gdy powiązane z nim dane osobowe nie są zbierane od uczestników. Beneficjent stosuje wtedy szacunki. Najlepiej, by szacunki dotyczące uczestników obcego pochodzenia w ogólnej liczbie uczestników w podziale na płeć były uzyskiwane za pomocą metod, które można statystycznie uzasadnić. Jeśli nie jest to możliwe, należy wykorzystać tzw. wiarygodne szacunki (różne metody szacowania opisano w załączniku do Wytycznych). Wybraną metodę szacowania należy udokumentować. Uwaga: w danym projekcie może być stosowana wyłącznie jedna metoda monitorowania tego wskaźnika tj. szacowanie lub zbieranie danych osobowych dot. tego wskaźnika od uczestników.</w:t>
            </w:r>
            <w:r w:rsidRPr="00721FFB" w:rsidDel="001852A9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27076E6F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Informacje dodatkowe: Wskaźnik będzie obejmował zawsze osoby </w:t>
            </w:r>
            <w:r w:rsidRPr="00721FFB">
              <w:rPr>
                <w:rFonts w:ascii="Arial" w:hAnsi="Arial" w:cs="Arial"/>
              </w:rPr>
              <w:t xml:space="preserve">z krajów trzecich, zliczane we wskaźniku </w:t>
            </w:r>
            <w:r w:rsidRPr="00721FFB">
              <w:rPr>
                <w:rFonts w:ascii="Arial" w:hAnsi="Arial" w:cs="Arial"/>
                <w:i/>
              </w:rPr>
              <w:t>liczba osób z krajów trzecich objętych wsparciem w programie</w:t>
            </w:r>
            <w:r w:rsidRPr="00721FFB">
              <w:rPr>
                <w:rFonts w:ascii="Arial" w:hAnsi="Arial" w:cs="Arial"/>
              </w:rPr>
              <w:t>.</w:t>
            </w:r>
          </w:p>
          <w:p w14:paraId="11544BAC" w14:textId="632469D8" w:rsidR="001E60E4" w:rsidRPr="00721FFB" w:rsidRDefault="001E60E4" w:rsidP="008C6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Zasady dotyczące możliwości wykorzystania wiarygodnych szacunków przez beneficjentów w danym naborze określane są przez właściwą dla programu Instytucję Zarządzającą.</w:t>
            </w:r>
          </w:p>
        </w:tc>
        <w:tc>
          <w:tcPr>
            <w:tcW w:w="1471" w:type="dxa"/>
          </w:tcPr>
          <w:p w14:paraId="6DA8A9D0" w14:textId="408D88C5" w:rsidR="001E60E4" w:rsidRPr="00D84132" w:rsidRDefault="00D84132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lastRenderedPageBreak/>
              <w:t>X</w:t>
            </w:r>
          </w:p>
        </w:tc>
        <w:tc>
          <w:tcPr>
            <w:tcW w:w="1471" w:type="dxa"/>
          </w:tcPr>
          <w:p w14:paraId="18B40B4E" w14:textId="146B264A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E60E4" w:rsidRPr="00721FFB" w14:paraId="17D55B3F" w14:textId="4E22710C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7B6D12FD" w14:textId="47778D30" w:rsidR="001E60E4" w:rsidRPr="00721FFB" w:rsidRDefault="001E60E4" w:rsidP="00CF3FDB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lastRenderedPageBreak/>
              <w:t>WLWK-EECO16</w:t>
            </w:r>
          </w:p>
        </w:tc>
        <w:tc>
          <w:tcPr>
            <w:tcW w:w="1845" w:type="dxa"/>
          </w:tcPr>
          <w:p w14:paraId="227E8114" w14:textId="530F257C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6A2A97D5" w14:textId="5745EB8B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5018" w:type="dxa"/>
          </w:tcPr>
          <w:p w14:paraId="24A5CCB4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bookmarkStart w:id="4" w:name="_Hlk176514427"/>
            <w:r w:rsidRPr="00721FFB">
              <w:rPr>
                <w:rFonts w:ascii="Arial" w:eastAsia="Times New Roman" w:hAnsi="Arial" w:cs="Arial"/>
                <w:lang w:eastAsia="pl-PL"/>
              </w:rPr>
              <w:t>We wskaźniku wykazywane są osoby w kryzysie bezdomności lub dotknięte wykluczeniem z dostępu do mieszkań.</w:t>
            </w:r>
            <w:r w:rsidRPr="00721FFB">
              <w:rPr>
                <w:rFonts w:ascii="Arial" w:eastAsia="Times New Roman" w:hAnsi="Arial" w:cs="Arial"/>
                <w:lang w:eastAsia="pl-PL"/>
              </w:rPr>
              <w:br w:type="page"/>
            </w:r>
          </w:p>
          <w:p w14:paraId="07AAE6C4" w14:textId="77777777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Bezdomność i wykluczenie mieszkaniowe definiowane są zgodnie z Europejską typologią bezdomności i wykluczenia mieszkaniowego ETHOS, w której wskazuje się okoliczności życia w bezdomności lub ekstremalne formy wykluczenia mieszkaniowego oraz ustawą z dnia 12 marca 2004 r.  o pomocy społecznej:</w:t>
            </w:r>
            <w:r w:rsidRPr="00721FFB">
              <w:rPr>
                <w:rFonts w:ascii="Arial" w:eastAsia="Times New Roman" w:hAnsi="Arial" w:cs="Arial"/>
                <w:lang w:eastAsia="pl-PL"/>
              </w:rPr>
              <w:br w:type="page"/>
              <w:t xml:space="preserve"> </w:t>
            </w:r>
          </w:p>
          <w:p w14:paraId="4263AAB8" w14:textId="77777777" w:rsidR="001E60E4" w:rsidRPr="00721FFB" w:rsidRDefault="001E60E4" w:rsidP="008C6D7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Bez dachu nad głową, w tym osoby żyjące w przestrzeni publicznej lub zakwaterowane interwencyjnie;</w:t>
            </w:r>
          </w:p>
          <w:p w14:paraId="0499338F" w14:textId="77777777" w:rsidR="001E60E4" w:rsidRPr="00721FFB" w:rsidRDefault="001E60E4" w:rsidP="008C6D7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br w:type="page"/>
              <w:t xml:space="preserve">Bez mieszkania, w tym osoby zakwaterowane w placówkach dla bezdomnych, w schroniskach dla kobiet, schroniskach dla imigrantów, osoby opuszczające instytucje penitencjarne/karne/medyczne, instytucje opiekuńcze, osoby otrzymujące długookresowe wsparcie z powodu bezdomności - specjalistyczne zakwaterowanie wspierane); </w:t>
            </w:r>
          </w:p>
          <w:p w14:paraId="045B98D8" w14:textId="77777777" w:rsidR="001E60E4" w:rsidRPr="00721FFB" w:rsidRDefault="001E60E4" w:rsidP="008C6D7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Niezabezpieczone zakwaterowanie, w tym osoby w lokalach niezabezpieczonych – przebywające czasowo u rodziny/przyjaciół, tj. przebywające w konwencjonalnych warunkach lokalowych, ale nie w stałym miejscu zamieszkania ze względu na brak posiadania takiego, wynajmujący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nielegalnie lub nielegalnie zajmujące ziemie, osoby posiadające niepewny najem z nakazem eksmisji, osoby zagrożone przemocą;</w:t>
            </w:r>
          </w:p>
          <w:p w14:paraId="49034A2B" w14:textId="77777777" w:rsidR="001E60E4" w:rsidRPr="00721FFB" w:rsidRDefault="001E60E4" w:rsidP="008C6D7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br w:type="page"/>
              <w:t>Nieodpowiednie warunki mieszkaniowe, w tym osoby zamieszkujące konstrukcje tymczasowe/nietrwałe, mieszkania substandardowe - lokale nienadające się do zamieszkania wg standardu krajowego, w warunkach skrajnego przeludnienia;</w:t>
            </w:r>
          </w:p>
          <w:p w14:paraId="1E413A33" w14:textId="77777777" w:rsidR="001E60E4" w:rsidRPr="00721FFB" w:rsidRDefault="001E60E4" w:rsidP="008C6D7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ind w:left="714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</w:t>
            </w:r>
          </w:p>
          <w:p w14:paraId="4762838E" w14:textId="77777777" w:rsidR="001E60E4" w:rsidRPr="00721FFB" w:rsidRDefault="001E60E4" w:rsidP="008C6D7B">
            <w:pPr>
              <w:pStyle w:val="Akapitzlist"/>
              <w:spacing w:after="120" w:line="259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Osoby dorosłe mieszkające z rodzicami nie powinny być wykazywane we wskaźniku, chyba że wszystkie te osoby są w kryzysie bezdomności lub mieszkają w nieodpowiednich i niebezpiecznych warunkach.</w:t>
            </w:r>
          </w:p>
          <w:p w14:paraId="295DADF0" w14:textId="77777777" w:rsidR="001E60E4" w:rsidRPr="00721FFB" w:rsidRDefault="001E60E4" w:rsidP="008C6D7B">
            <w:pPr>
              <w:pStyle w:val="Akapitzlist"/>
              <w:spacing w:after="120" w:line="259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W przypadku, gdy bezdomność / wykluczenie z dostępu do mieszkań jest kryterium umożliwiającym udział w danej interwencji (np. grupa docelowa wskazana została we wniosku o dofinansowanie, kryteriach wyboru projektu lub dokumentach programowych), należy dane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pozyskiwać bezpośrednio od wszystkich jej uczestników. W pozostałych przypadkach dane osobowe dot. tej cechy nie muszą być zbierane od poszczególnych uczestników. Wskaźnik należy jednak monitorować, nawet w przypadku, gdy powiązane z nim dane osobowe nie są zbierane od uczestników. Beneficjent stosuje wtedy szacunki. Najlepiej, by szacunki dotyczące uczestników bezdomnych / wykluczonych z dostępu do mieszkań w ogólnej liczbie uczestników w podziale na płeć były uzyskiwane za pomocą metod, które można statystycznie uzasadnić. Jeśli nie jest to możliwe, należy wykorzystać tzw. wiarygodne szacunki (różne metody szacowania opisano w załączniku do Wytycznych). Wybraną metodę szacowania należy udokumentować. Uwaga: w danym projekcie może być stosowana wyłącznie jedna metoda monitorowania tego wskaźnika tj. szacowanie lub zbieranie danych osobowych dot. tego wskaźnika od uczestników.</w:t>
            </w:r>
            <w:r w:rsidRPr="00721FFB" w:rsidDel="001852A9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09E69161" w14:textId="77777777" w:rsidR="001E60E4" w:rsidRPr="00721FFB" w:rsidRDefault="001E60E4" w:rsidP="008C6D7B">
            <w:pPr>
              <w:pStyle w:val="Akapitzlist"/>
              <w:spacing w:after="120" w:line="259" w:lineRule="auto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Przynależność do grupy osób w kryzysie bezdomności lub dotkniętych wykluczeniem z dostępu do mieszkań określana jest w momencie rozpoczęcia udziału w projekcie, tj. w chwili rozpoczęcia udziału w pierwszej formie wsparcia w projekcie. </w:t>
            </w:r>
          </w:p>
          <w:p w14:paraId="7F0FAFB9" w14:textId="6D63EAC3" w:rsidR="001E60E4" w:rsidRPr="00721FFB" w:rsidRDefault="001E60E4" w:rsidP="008C6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Zasady dotyczące możliwości wykorzystania wiarygodnych szacunków przez beneficjentów w danym naborze określane są przez właściwą dla programu Instytucję Zarządzającą</w:t>
            </w:r>
            <w:bookmarkEnd w:id="4"/>
          </w:p>
        </w:tc>
        <w:tc>
          <w:tcPr>
            <w:tcW w:w="1471" w:type="dxa"/>
          </w:tcPr>
          <w:p w14:paraId="6DB8C5A9" w14:textId="3F88EE9B" w:rsidR="001E60E4" w:rsidRPr="00D84132" w:rsidRDefault="00D84132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val="pl-PL" w:eastAsia="pl-PL"/>
              </w:rPr>
            </w:pPr>
            <w:r>
              <w:rPr>
                <w:rFonts w:ascii="Arial" w:eastAsia="Times New Roman" w:hAnsi="Arial" w:cs="Arial"/>
                <w:lang w:val="pl-PL" w:eastAsia="pl-PL"/>
              </w:rPr>
              <w:lastRenderedPageBreak/>
              <w:t>X</w:t>
            </w:r>
          </w:p>
        </w:tc>
        <w:tc>
          <w:tcPr>
            <w:tcW w:w="1471" w:type="dxa"/>
          </w:tcPr>
          <w:p w14:paraId="1A57BEAA" w14:textId="3394C791" w:rsidR="001E60E4" w:rsidRPr="00721FFB" w:rsidRDefault="001E60E4" w:rsidP="008C6D7B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E60E4" w:rsidRPr="00721FFB" w14:paraId="3007650F" w14:textId="333A496A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F1A5048" w14:textId="6D1184DF" w:rsidR="001E60E4" w:rsidRPr="00721FFB" w:rsidRDefault="001E60E4" w:rsidP="00CF3FDB">
            <w:pPr>
              <w:rPr>
                <w:rFonts w:ascii="Arial" w:hAnsi="Arial" w:cs="Arial"/>
              </w:rPr>
            </w:pPr>
            <w:bookmarkStart w:id="5" w:name="_Hlk176514499"/>
            <w:r w:rsidRPr="00721FFB">
              <w:rPr>
                <w:rFonts w:ascii="Arial" w:hAnsi="Arial" w:cs="Arial"/>
              </w:rPr>
              <w:lastRenderedPageBreak/>
              <w:t>WLWK-EECO13</w:t>
            </w:r>
          </w:p>
        </w:tc>
        <w:tc>
          <w:tcPr>
            <w:tcW w:w="1845" w:type="dxa"/>
          </w:tcPr>
          <w:p w14:paraId="5F86D689" w14:textId="71279D78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52E133B0" w14:textId="77B56F18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osób z krajów trzecich objętych wsparciem w programie</w:t>
            </w:r>
          </w:p>
        </w:tc>
        <w:tc>
          <w:tcPr>
            <w:tcW w:w="5018" w:type="dxa"/>
          </w:tcPr>
          <w:p w14:paraId="0CE18C9E" w14:textId="77777777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Osoby, które są obywatelami krajów spoza UE. Do wskaźnika wlicza się też bezpaństwowców zgodnie z Konwencją o statusie bezpaństwowców z 1954 r. i osoby bez ustalonego obywatelstwa. </w:t>
            </w:r>
          </w:p>
          <w:p w14:paraId="43DC450B" w14:textId="77777777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Przynależność do grupy osób z krajów trzecich określana jest w momencie rozpoczęcia udziału w projekcie, tj. w chwili rozpoczęcia udziału w pierwszej formie wsparcia w projekcie.</w:t>
            </w:r>
          </w:p>
          <w:p w14:paraId="745180F3" w14:textId="77777777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W przypadku, gdy obywatelstwo państw trzecich jest kryterium umożliwiającym udział w danej interwencji (np. grupa docelowa wskazana została we wniosku o dofinansowanie, kryteriach wyboru projektu lub dokumentach programowych), należy dane pozyskiwać bezpośrednio od wszystkich jej uczestników. W pozostałych przypadkach dane osobowe dot. tej cechy nie muszą być zbierane od poszczególnych uczestników. Wskaźnik należy jednak monitorować, nawet w przypadku, gdy powiązane z nim dane osobowe nie są zbierane od uczestników. Beneficjent stosuje wtedy szacunki. Najlepiej, by szacunki dotyczące uczestników z krajów trzecich w ogólnej liczbie uczestników w podziale na płeć były uzyskiwane za pomocą metod, które można statystycznie uzasadnić. Jeśli nie jest to możliwe, należy wykorzystać tzw. wiarygodne szacunki (różne metody szacowania opisano w załączniku do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Wytycznych). Wybraną metodę szacowania należy udokumentować. Uwaga: w danym projekcie może być stosowana wyłącznie jedna metoda monitorowania tego wskaźnika tj. szacowanie lub zbieranie danych osobowych dot. tego wskaźnika od uczestników.</w:t>
            </w:r>
            <w:r w:rsidRPr="00721FFB" w:rsidDel="001852A9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2488D2B0" w14:textId="75CCCED4" w:rsidR="001E60E4" w:rsidRPr="00721FFB" w:rsidRDefault="001E60E4" w:rsidP="00121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721FFB">
              <w:rPr>
                <w:rFonts w:ascii="Arial" w:hAnsi="Arial" w:cs="Arial"/>
              </w:rPr>
              <w:t>Zasady dotyczące możliwości wykorzystania wiarygodnych szacunków przez beneficjentów w danym naborze określane są przez właściwą dla programu Instytucję Zarządzającą.</w:t>
            </w:r>
          </w:p>
        </w:tc>
        <w:tc>
          <w:tcPr>
            <w:tcW w:w="1471" w:type="dxa"/>
          </w:tcPr>
          <w:p w14:paraId="5A79218F" w14:textId="46C4931C" w:rsidR="001E60E4" w:rsidRPr="00D84132" w:rsidRDefault="00D84132" w:rsidP="00121943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lastRenderedPageBreak/>
              <w:t>X</w:t>
            </w:r>
          </w:p>
        </w:tc>
        <w:tc>
          <w:tcPr>
            <w:tcW w:w="1471" w:type="dxa"/>
          </w:tcPr>
          <w:p w14:paraId="5E1F3030" w14:textId="38601E5A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E60E4" w:rsidRPr="00721FFB" w14:paraId="7D91F097" w14:textId="6D88829E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26BCAFFE" w14:textId="7AF28177" w:rsidR="001E60E4" w:rsidRPr="00721FFB" w:rsidRDefault="001E60E4" w:rsidP="00CF3FDB">
            <w:pPr>
              <w:rPr>
                <w:rFonts w:ascii="Arial" w:hAnsi="Arial" w:cs="Arial"/>
              </w:rPr>
            </w:pPr>
            <w:bookmarkStart w:id="6" w:name="_Hlk176514568"/>
            <w:bookmarkEnd w:id="5"/>
            <w:r w:rsidRPr="00721FFB">
              <w:rPr>
                <w:rFonts w:ascii="Arial" w:hAnsi="Arial" w:cs="Arial"/>
              </w:rPr>
              <w:t>WLWK-EECO12</w:t>
            </w:r>
          </w:p>
        </w:tc>
        <w:tc>
          <w:tcPr>
            <w:tcW w:w="1845" w:type="dxa"/>
          </w:tcPr>
          <w:p w14:paraId="2FB857F3" w14:textId="4592C1AB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4E12D35A" w14:textId="06E6A7BA" w:rsidR="001E60E4" w:rsidRPr="00721FFB" w:rsidRDefault="001E60E4" w:rsidP="00CF3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osób z niepełnosprawnościami objętych wsparciem w programie</w:t>
            </w:r>
          </w:p>
        </w:tc>
        <w:tc>
          <w:tcPr>
            <w:tcW w:w="5018" w:type="dxa"/>
          </w:tcPr>
          <w:p w14:paraId="35B28788" w14:textId="77777777" w:rsidR="001E60E4" w:rsidRPr="00721FFB" w:rsidRDefault="001E60E4" w:rsidP="0012194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Za osoby z niepełnosprawnościami uznaje się osoby niepełnosprawne w świetle przepisów ustawy z dnia 27 sierpnia 1997 r. o rehabilitacji zawodowej i społecznej oraz zatrudnianiu osób niepełnosprawnych, a także osoby z zaburzeniami psychicznymi, o których mowa w ustawie z dnia 19 sierpnia 1994 r. o ochronie zdrowia psychicznego tj. osoby z odpowiednim orzeczeniem lub innym dokumentem poświadczającym stan zdrowia. </w:t>
            </w:r>
          </w:p>
          <w:p w14:paraId="1D062F2B" w14:textId="77777777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Osoby z niepełnosprawnościami to też uczniowie albo dzieci w wieku przedszkolnym posiadające orzeczenie o potrzebie kształcenia specjalnego wydane ze względu na dany rodzaj niepełnosprawności lub dzieci i młodzież posiadające orzeczenie o potrzebie zajęć rewalidacyjno-wychowawczych wydawane ze względu na niepełnosprawność intelektualną w stopniu głębokim. Orzeczenia uczniów, dzieci lub młodzieży są wydawane przez zespół orzekający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 xml:space="preserve">działający w publicznej poradni psychologiczno-pedagogicznej, w tym poradni specjalistycznej. </w:t>
            </w:r>
          </w:p>
          <w:p w14:paraId="114C5865" w14:textId="77777777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Przynależność do grupy osób z niepełnosprawnościami określana jest w momencie rozpoczęcia udziału w projekcie, tj. w chwili rozpoczęcia udziału w pierwszej formie wsparcia w projekcie.</w:t>
            </w:r>
          </w:p>
          <w:p w14:paraId="38E7D104" w14:textId="77777777" w:rsidR="001E60E4" w:rsidRPr="00721FFB" w:rsidRDefault="001E60E4" w:rsidP="00121943">
            <w:pPr>
              <w:pStyle w:val="Akapitzlist"/>
              <w:spacing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 xml:space="preserve">W przypadku, gdy niepełnosprawność jest kryterium umożliwiającym udział w danej interwencji (np. grupa docelowa wskazana została we wniosku o dofinansowanie, kryteriach wyboru projektu lub dokumentach programowych), należy dane pozyskiwać bezpośrednio od wszystkich jej uczestników. W pozostałych przypadkach dane osobowe dot. tej cechy nie muszą być zbierane od poszczególnych uczestników. Wskaźnik należy jednak monitorować, nawet w przypadku, gdy powiązane z nim dane osobowe nie są zbierane od uczestników. Beneficjent stosuje wtedy szacunki. Najlepiej, by szacunki dotyczące uczestników z niepełnosprawnościami w ogólnej liczbie uczestników w podziale na płeć były uzyskiwane za pomocą metod, które można statystycznie uzasadnić. Jeśli nie jest to możliwe, należy wykorzystać tzw. wiarygodne szacunki (różne metody szacowania opisano w załączniku do Wytycznych monitorowania). Wybraną metodę szacowania należy udokumentować. </w:t>
            </w:r>
            <w:r w:rsidRPr="00721FFB">
              <w:rPr>
                <w:rFonts w:ascii="Arial" w:eastAsia="Times New Roman" w:hAnsi="Arial" w:cs="Arial"/>
                <w:lang w:eastAsia="pl-PL"/>
              </w:rPr>
              <w:lastRenderedPageBreak/>
              <w:t>Uwaga: w danym projekcie może być stosowana wyłącznie jedna metoda monitorowania tego wskaźnika tj. szacowanie lub zbieranie danych osobowych dot. tego wskaźnika od uczestników.</w:t>
            </w:r>
            <w:r w:rsidRPr="00721FFB" w:rsidDel="001852A9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434307E0" w14:textId="304A5461" w:rsidR="001E60E4" w:rsidRPr="00721FFB" w:rsidRDefault="001E60E4" w:rsidP="00121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Zasady dotyczące możliwości wykorzystania wiarygodnych szacunków przez beneficjentów w danym naborze określane są przez właściwą dla programu Instytucję Zarządzającą.</w:t>
            </w:r>
          </w:p>
        </w:tc>
        <w:tc>
          <w:tcPr>
            <w:tcW w:w="1471" w:type="dxa"/>
          </w:tcPr>
          <w:p w14:paraId="141775BC" w14:textId="35413963" w:rsidR="001E60E4" w:rsidRPr="00721FFB" w:rsidRDefault="00D84132" w:rsidP="0012194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X</w:t>
            </w:r>
          </w:p>
        </w:tc>
        <w:tc>
          <w:tcPr>
            <w:tcW w:w="1471" w:type="dxa"/>
          </w:tcPr>
          <w:p w14:paraId="2907D7CB" w14:textId="55B822AF" w:rsidR="001E60E4" w:rsidRPr="00721FFB" w:rsidRDefault="001E60E4" w:rsidP="0012194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E60E4" w:rsidRPr="00721FFB" w14:paraId="6C060024" w14:textId="2CEE4BE8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2C7D75A" w14:textId="48AFF53F" w:rsidR="001E60E4" w:rsidRPr="00721FFB" w:rsidRDefault="001E60E4" w:rsidP="00CB2DE3">
            <w:pPr>
              <w:rPr>
                <w:rFonts w:ascii="Arial" w:hAnsi="Arial" w:cs="Arial"/>
              </w:rPr>
            </w:pPr>
            <w:bookmarkStart w:id="7" w:name="_Hlk176514657"/>
            <w:bookmarkEnd w:id="6"/>
            <w:r w:rsidRPr="00721FFB">
              <w:rPr>
                <w:rFonts w:ascii="Arial" w:hAnsi="Arial" w:cs="Arial"/>
              </w:rPr>
              <w:lastRenderedPageBreak/>
              <w:t>WLWK-PL0CO01</w:t>
            </w:r>
          </w:p>
        </w:tc>
        <w:tc>
          <w:tcPr>
            <w:tcW w:w="1845" w:type="dxa"/>
          </w:tcPr>
          <w:p w14:paraId="279D7356" w14:textId="2E659E69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5E5E6356" w14:textId="684E6F17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projektów, w których sfinansowano koszty racjonalnych usprawnień dla osób z niepełnosprawnościami</w:t>
            </w:r>
          </w:p>
        </w:tc>
        <w:tc>
          <w:tcPr>
            <w:tcW w:w="5018" w:type="dxa"/>
          </w:tcPr>
          <w:p w14:paraId="2943622A" w14:textId="77777777" w:rsidR="00B317FB" w:rsidRPr="00B317FB" w:rsidRDefault="00B317FB" w:rsidP="00B317F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317FB">
              <w:rPr>
                <w:rFonts w:ascii="Arial" w:hAnsi="Arial" w:cs="Arial"/>
              </w:rPr>
              <w:t>Racjonalne usprawnienie oznacza konieczne i odpowiednie zmiany oraz dostosowania, nie nakładające nieproporcjonalnego lub nadmiernego obciążenia, rozpatrywane osobno dla każdego konkretnego przypadku, w celu zapewnienia osobom z niepełnosprawnościami możliwości korzystania z wszelkich praw człowieka i podstawowych wolności oraz ich wykonywania na zasadzie równości z innymi osobami</w:t>
            </w:r>
          </w:p>
          <w:p w14:paraId="1919A5EC" w14:textId="77777777" w:rsidR="00B317FB" w:rsidRPr="00B317FB" w:rsidRDefault="00B317FB" w:rsidP="00B317F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317FB">
              <w:rPr>
                <w:rFonts w:ascii="Arial" w:hAnsi="Arial" w:cs="Arial"/>
              </w:rPr>
              <w:t>Wskaźnik mierzony jest w momencie rozliczenia wydatku związanego z racjonalnymi usprawnieniami w ramach danego projektu. Tym samym, jego wartość początkowa wynosi 0.</w:t>
            </w:r>
          </w:p>
          <w:p w14:paraId="07FF1F36" w14:textId="77777777" w:rsidR="00B317FB" w:rsidRPr="00B317FB" w:rsidRDefault="00B317FB" w:rsidP="00B317F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317FB">
              <w:rPr>
                <w:rFonts w:ascii="Arial" w:hAnsi="Arial" w:cs="Arial"/>
              </w:rPr>
              <w:t>Przykłady racjonalnych usprawnień: tłumacz języka migowego, transport niskopodłogowy, dostosowanie infrastruktury (nie tylko budynku, ale też dostosowanie infrastruktury komputerowej np. programy powiększające, mówiące, drukarki materiałów w alfabecie Braille'a), osoby asystujące,.</w:t>
            </w:r>
          </w:p>
          <w:p w14:paraId="615D113D" w14:textId="77777777" w:rsidR="00B317FB" w:rsidRPr="00B317FB" w:rsidRDefault="00B317FB" w:rsidP="00B317F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317FB">
              <w:rPr>
                <w:rFonts w:ascii="Arial" w:hAnsi="Arial" w:cs="Arial"/>
              </w:rPr>
              <w:t xml:space="preserve">Do wskaźnika powinny zostać wliczone zarówno projekty ogólnodostępne, w których sfinansowano koszty racjonalnych usprawnień, </w:t>
            </w:r>
            <w:r w:rsidRPr="00B317FB">
              <w:rPr>
                <w:rFonts w:ascii="Arial" w:hAnsi="Arial" w:cs="Arial"/>
              </w:rPr>
              <w:lastRenderedPageBreak/>
              <w:t xml:space="preserve">jak i te ukierunkowane na zwalczanie i zapobieganie wszelkim formom dyskryminacji w stosunku do osób na nią narażonych, a także zwiększanie dostępności dla osób z niepełnosprawnościami. </w:t>
            </w:r>
          </w:p>
          <w:p w14:paraId="4A6B3AF5" w14:textId="77777777" w:rsidR="00B317FB" w:rsidRPr="00B317FB" w:rsidRDefault="00B317FB" w:rsidP="00B317F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317FB">
              <w:rPr>
                <w:rFonts w:ascii="Arial" w:hAnsi="Arial" w:cs="Arial"/>
              </w:rPr>
              <w:t>Na poziomie projektu wskaźnik może przyjmować maksymalną wartość 1 - co oznacza jeden projekt, w którym sfinansowano koszty racjonalnych usprawnień dla osób z niepełnosprawnościami. Liczba sfinansowanych racjonalnych usprawnień, w ramach projektu, nie ma znaczenia dla wartości wykazywanej we wskaźniku.</w:t>
            </w:r>
          </w:p>
          <w:p w14:paraId="6615C3D0" w14:textId="58AE0141" w:rsidR="001E60E4" w:rsidRPr="00721FFB" w:rsidRDefault="00B317FB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317FB">
              <w:rPr>
                <w:rFonts w:ascii="Arial" w:hAnsi="Arial" w:cs="Arial"/>
              </w:rPr>
              <w:t>Definicja na podstawie: Wytyczne w zakresie realizacji zasad równościowych w ramach funduszy unijnych na lata 2021-2027.</w:t>
            </w:r>
          </w:p>
        </w:tc>
        <w:tc>
          <w:tcPr>
            <w:tcW w:w="1471" w:type="dxa"/>
          </w:tcPr>
          <w:p w14:paraId="4DC5BB09" w14:textId="61A5C000" w:rsidR="001E60E4" w:rsidRPr="00721FFB" w:rsidRDefault="00D84132" w:rsidP="00CB2DE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1471" w:type="dxa"/>
          </w:tcPr>
          <w:p w14:paraId="4CE2CFDC" w14:textId="305526FE" w:rsidR="001E60E4" w:rsidRPr="00721FFB" w:rsidRDefault="001E60E4" w:rsidP="00CB2DE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bookmarkEnd w:id="7"/>
      <w:tr w:rsidR="001E60E4" w:rsidRPr="00721FFB" w14:paraId="0B7D9EF0" w14:textId="344CF6D3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D404F67" w14:textId="221E04B8" w:rsidR="001E60E4" w:rsidRPr="00721FFB" w:rsidRDefault="001E60E4" w:rsidP="00CB2DE3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WLWK-PLFCO04</w:t>
            </w:r>
          </w:p>
        </w:tc>
        <w:tc>
          <w:tcPr>
            <w:tcW w:w="1845" w:type="dxa"/>
          </w:tcPr>
          <w:p w14:paraId="6732F2AA" w14:textId="44B1D15E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3BCF3298" w14:textId="77777777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721FFB">
              <w:rPr>
                <w:rFonts w:ascii="Arial" w:hAnsi="Arial" w:cs="Arial"/>
              </w:rPr>
              <w:t>Liczba uczniów i słuchaczy szkół i placówek kształcenia zawodowego objętych wsparciem</w:t>
            </w:r>
          </w:p>
          <w:p w14:paraId="28945234" w14:textId="77777777" w:rsidR="001E60E4" w:rsidRPr="00721FFB" w:rsidRDefault="001E60E4" w:rsidP="00CB2DE3">
            <w:pPr>
              <w:ind w:firstLine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018" w:type="dxa"/>
          </w:tcPr>
          <w:p w14:paraId="5D2264B0" w14:textId="0F667B7B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bookmarkStart w:id="8" w:name="_Hlk176516481"/>
            <w:r w:rsidRPr="00721FFB">
              <w:rPr>
                <w:rFonts w:ascii="Arial" w:eastAsia="Times New Roman" w:hAnsi="Arial" w:cs="Arial"/>
                <w:lang w:eastAsia="pl-PL"/>
              </w:rPr>
              <w:t>Wskaźnik mierzy liczbę uczniów i słuchaczy szkół i placówek systemu oświaty prowadzących kształcenie zawodowe, w tym oferujących kursy/szkolenia (pozaszkolne formy kształcenia) objętych wsparciem w ramach programu.</w:t>
            </w:r>
            <w:bookmarkEnd w:id="8"/>
          </w:p>
        </w:tc>
        <w:tc>
          <w:tcPr>
            <w:tcW w:w="1471" w:type="dxa"/>
          </w:tcPr>
          <w:p w14:paraId="0A3D620D" w14:textId="77777777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1" w:type="dxa"/>
          </w:tcPr>
          <w:p w14:paraId="07A5D692" w14:textId="5E03EFBA" w:rsidR="001E60E4" w:rsidRPr="00721FFB" w:rsidRDefault="00D84132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1E60E4" w:rsidRPr="00721FFB" w14:paraId="38FF0798" w14:textId="00255152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D471F59" w14:textId="47CABA6C" w:rsidR="001E60E4" w:rsidRPr="00721FFB" w:rsidRDefault="001E60E4" w:rsidP="00CB2DE3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WLWK-PLFCO03</w:t>
            </w:r>
          </w:p>
        </w:tc>
        <w:tc>
          <w:tcPr>
            <w:tcW w:w="1845" w:type="dxa"/>
          </w:tcPr>
          <w:p w14:paraId="5C8A8215" w14:textId="0410CFF5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48AD3712" w14:textId="46C98CD2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uczniów szkół i placówek systemu oświaty prowadzących kształcenie ogólne objętych wsparciem</w:t>
            </w:r>
          </w:p>
        </w:tc>
        <w:tc>
          <w:tcPr>
            <w:tcW w:w="5018" w:type="dxa"/>
          </w:tcPr>
          <w:p w14:paraId="6F85758D" w14:textId="77777777" w:rsidR="001E60E4" w:rsidRPr="00721FFB" w:rsidRDefault="001E60E4" w:rsidP="00121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bookmarkStart w:id="9" w:name="_Hlk176516556"/>
            <w:r w:rsidRPr="00721FFB">
              <w:rPr>
                <w:rFonts w:ascii="Arial" w:eastAsia="Times New Roman" w:hAnsi="Arial" w:cs="Arial"/>
                <w:lang w:eastAsia="pl-PL"/>
              </w:rPr>
              <w:t>Wskaźnik mierzy liczbę uczniów szkół i placówek systemu oświaty prowadzących kształcenie ogólne objętych wsparciem w ramach programu</w:t>
            </w:r>
            <w:bookmarkEnd w:id="9"/>
            <w:r w:rsidRPr="00721FFB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38268668" w14:textId="0B727544" w:rsidR="001E60E4" w:rsidRPr="00721FFB" w:rsidRDefault="001E60E4" w:rsidP="00121943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Wskaźnik nie obejmuje dzieci objętych wychowaniem przedszkolnym lub uczniów/słuchaczy szkół i placówek systemu oświaty prowadzących kształcenie zawodowe, w tym oferujących kursy/szkolenia (pozaszkolne formy kształcenia).</w:t>
            </w:r>
          </w:p>
        </w:tc>
        <w:tc>
          <w:tcPr>
            <w:tcW w:w="1471" w:type="dxa"/>
          </w:tcPr>
          <w:p w14:paraId="2BCC6629" w14:textId="77777777" w:rsidR="001E60E4" w:rsidRPr="00721FFB" w:rsidRDefault="001E60E4" w:rsidP="00121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1" w:type="dxa"/>
          </w:tcPr>
          <w:p w14:paraId="32AD65B2" w14:textId="517A5AB3" w:rsidR="001E60E4" w:rsidRPr="00721FFB" w:rsidRDefault="00D84132" w:rsidP="00121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1E60E4" w:rsidRPr="00721FFB" w14:paraId="56F20E73" w14:textId="41232C44" w:rsidTr="00D84132">
        <w:trPr>
          <w:trHeight w:val="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2AD31475" w14:textId="67552815" w:rsidR="001E60E4" w:rsidRPr="00721FFB" w:rsidRDefault="001E60E4" w:rsidP="00CB2DE3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WLWK-PL0CO03</w:t>
            </w:r>
          </w:p>
        </w:tc>
        <w:tc>
          <w:tcPr>
            <w:tcW w:w="1845" w:type="dxa"/>
          </w:tcPr>
          <w:p w14:paraId="7EC495DB" w14:textId="37C92FC2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56B5EC17" w14:textId="3CB3992B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721FFB">
              <w:rPr>
                <w:rFonts w:ascii="Arial" w:hAnsi="Arial" w:cs="Arial"/>
              </w:rPr>
              <w:t xml:space="preserve">Ludność objęta projektami w ramach strategii </w:t>
            </w:r>
            <w:r w:rsidRPr="00721FFB">
              <w:rPr>
                <w:rFonts w:ascii="Arial" w:hAnsi="Arial" w:cs="Arial"/>
              </w:rPr>
              <w:lastRenderedPageBreak/>
              <w:t>zintegrowanego rozwoju terytorialnego</w:t>
            </w:r>
          </w:p>
        </w:tc>
        <w:tc>
          <w:tcPr>
            <w:tcW w:w="5018" w:type="dxa"/>
          </w:tcPr>
          <w:p w14:paraId="1C2F202D" w14:textId="0CDD407B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lastRenderedPageBreak/>
              <w:t>Liczba osób objętych projektami wspieranymi przez fundusze w ramach strategii zintegrowanego rozwoju terytorialnego.</w:t>
            </w:r>
          </w:p>
        </w:tc>
        <w:tc>
          <w:tcPr>
            <w:tcW w:w="1471" w:type="dxa"/>
          </w:tcPr>
          <w:p w14:paraId="61DEAE7B" w14:textId="0AE63198" w:rsidR="001E60E4" w:rsidRPr="00721FFB" w:rsidRDefault="00D84132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71" w:type="dxa"/>
          </w:tcPr>
          <w:p w14:paraId="7D660351" w14:textId="4E530474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E60E4" w:rsidRPr="00721FFB" w14:paraId="16FDA68F" w14:textId="4D9A39BA" w:rsidTr="00D84132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1F214325" w14:textId="3E185891" w:rsidR="001E60E4" w:rsidRPr="00721FFB" w:rsidRDefault="001E60E4" w:rsidP="00CB2DE3">
            <w:pPr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WLWK-PL0CO04</w:t>
            </w:r>
          </w:p>
        </w:tc>
        <w:tc>
          <w:tcPr>
            <w:tcW w:w="1845" w:type="dxa"/>
          </w:tcPr>
          <w:p w14:paraId="5A19B576" w14:textId="6C3AE57D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produktu  </w:t>
            </w:r>
          </w:p>
        </w:tc>
        <w:tc>
          <w:tcPr>
            <w:tcW w:w="3245" w:type="dxa"/>
          </w:tcPr>
          <w:p w14:paraId="27535399" w14:textId="20E5915F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Wspierane strategie rozwoju lokalnego kierowanego przez społeczność</w:t>
            </w:r>
          </w:p>
        </w:tc>
        <w:tc>
          <w:tcPr>
            <w:tcW w:w="5018" w:type="dxa"/>
          </w:tcPr>
          <w:p w14:paraId="42BAE55B" w14:textId="6B9B7B7E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>Liczba wkładów w strategie rozwoju lokalnego kierowanego przez społeczność według każdego celu szczegółowego wnoszonych z funduszy zgodnie z art. 28 lit. b) CPR. Wartości wskaźnika uwzględniają, zatem, na poziomie celu szczegółowego, oddzielną liczbę wkładów finansowych w strategie RLKS.</w:t>
            </w:r>
          </w:p>
        </w:tc>
        <w:tc>
          <w:tcPr>
            <w:tcW w:w="1471" w:type="dxa"/>
          </w:tcPr>
          <w:p w14:paraId="3C0CA589" w14:textId="624883EE" w:rsidR="001E60E4" w:rsidRPr="00721FFB" w:rsidRDefault="00D84132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71" w:type="dxa"/>
          </w:tcPr>
          <w:p w14:paraId="30A585CA" w14:textId="523450CD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E60E4" w:rsidRPr="00721FFB" w14:paraId="56D2EA66" w14:textId="590A5B77" w:rsidTr="00D84132">
        <w:trPr>
          <w:trHeight w:val="9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0C2F8224" w14:textId="1E13B25E" w:rsidR="001E60E4" w:rsidRPr="00721FFB" w:rsidRDefault="001E60E4" w:rsidP="00CB2DE3">
            <w:pPr>
              <w:rPr>
                <w:rFonts w:ascii="Arial" w:hAnsi="Arial" w:cs="Arial"/>
              </w:rPr>
            </w:pPr>
            <w:bookmarkStart w:id="10" w:name="_Hlk176516621"/>
            <w:r w:rsidRPr="00721FFB">
              <w:rPr>
                <w:rFonts w:ascii="Arial" w:hAnsi="Arial" w:cs="Arial"/>
              </w:rPr>
              <w:t>WLWK-PLFCR01</w:t>
            </w:r>
          </w:p>
        </w:tc>
        <w:tc>
          <w:tcPr>
            <w:tcW w:w="1845" w:type="dxa"/>
          </w:tcPr>
          <w:p w14:paraId="15A0534E" w14:textId="7DDB7D56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Wskaźnik rezultatu </w:t>
            </w:r>
          </w:p>
        </w:tc>
        <w:tc>
          <w:tcPr>
            <w:tcW w:w="3245" w:type="dxa"/>
          </w:tcPr>
          <w:p w14:paraId="42A8A1F7" w14:textId="7B3E9FBE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  <w:lang w:eastAsia="pl-PL"/>
              </w:rPr>
              <w:t xml:space="preserve">Liczba uczniów, którzy nabyli kwalifikacje po opuszczeniu programu </w:t>
            </w:r>
            <w:bookmarkStart w:id="11" w:name="_GoBack"/>
            <w:bookmarkEnd w:id="11"/>
          </w:p>
        </w:tc>
        <w:tc>
          <w:tcPr>
            <w:tcW w:w="5018" w:type="dxa"/>
          </w:tcPr>
          <w:p w14:paraId="5F179654" w14:textId="77777777" w:rsidR="001E60E4" w:rsidRPr="00721FFB" w:rsidRDefault="001E60E4" w:rsidP="00BB6F3E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721FFB">
              <w:rPr>
                <w:color w:val="auto"/>
                <w:sz w:val="22"/>
                <w:szCs w:val="22"/>
              </w:rPr>
              <w:t xml:space="preserve">Wskaźnik mierzy liczbę uczniów, którzy dzięki wsparciu z EFS+ nabyli kwalifikacje, kompetencje kluczowe, </w:t>
            </w:r>
            <w:r w:rsidRPr="00721FFB">
              <w:rPr>
                <w:bCs/>
                <w:color w:val="auto"/>
                <w:sz w:val="22"/>
                <w:szCs w:val="22"/>
              </w:rPr>
              <w:t>społeczne lub społeczno-emocjonalne</w:t>
            </w:r>
            <w:r w:rsidRPr="00721FFB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21FFB">
              <w:rPr>
                <w:bCs/>
                <w:color w:val="auto"/>
                <w:sz w:val="22"/>
                <w:szCs w:val="22"/>
              </w:rPr>
              <w:t>lub</w:t>
            </w:r>
            <w:r w:rsidRPr="00721FFB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21FFB">
              <w:rPr>
                <w:bCs/>
                <w:color w:val="auto"/>
                <w:sz w:val="22"/>
                <w:szCs w:val="22"/>
              </w:rPr>
              <w:t>umiejętności/kompetencje</w:t>
            </w:r>
            <w:r w:rsidRPr="00721FFB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21FFB">
              <w:rPr>
                <w:bCs/>
                <w:color w:val="auto"/>
                <w:sz w:val="22"/>
                <w:szCs w:val="22"/>
              </w:rPr>
              <w:t>podstawowe, przekrojowe lub zawodowe.</w:t>
            </w:r>
            <w:r w:rsidRPr="00721FFB">
              <w:rPr>
                <w:color w:val="auto"/>
                <w:sz w:val="22"/>
                <w:szCs w:val="22"/>
              </w:rPr>
              <w:t xml:space="preserve"> </w:t>
            </w:r>
          </w:p>
          <w:p w14:paraId="26EEF9D2" w14:textId="77777777" w:rsidR="001E60E4" w:rsidRPr="00721FFB" w:rsidRDefault="001E60E4" w:rsidP="00BB6F3E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2"/>
                <w:szCs w:val="22"/>
                <w:lang w:eastAsia="pl-PL"/>
              </w:rPr>
            </w:pPr>
            <w:r w:rsidRPr="00721FFB">
              <w:rPr>
                <w:rFonts w:eastAsia="Times New Roman"/>
                <w:sz w:val="22"/>
                <w:szCs w:val="22"/>
                <w:lang w:eastAsia="pl-PL"/>
              </w:rPr>
              <w:t>Wskaźnik ma zastosowanie do uczniów i słuchaczy szkół i placówek prowadzących kształcenie ogólne oraz szkół i placówek prowadzących kształcenie zawodowe, w tym kursy/szkolenia (pozaszkolne formy kształcenia ustawicznego). Wskaźnik odnosi się do szkół i placówek publicznych i niepublicznych.</w:t>
            </w:r>
          </w:p>
          <w:p w14:paraId="38F2B6F2" w14:textId="77777777" w:rsidR="001E60E4" w:rsidRPr="00721FFB" w:rsidRDefault="001E60E4" w:rsidP="00BB6F3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pl-PL"/>
              </w:rPr>
            </w:pPr>
            <w:r w:rsidRPr="00721FFB">
              <w:rPr>
                <w:rFonts w:ascii="Arial" w:eastAsia="Times New Roman" w:hAnsi="Arial" w:cs="Arial"/>
                <w:lang w:eastAsia="pl-PL"/>
              </w:rPr>
              <w:t>Wskaźnik nie obejmuje dzieci objętych wychowaniem przedszkolnym.</w:t>
            </w:r>
          </w:p>
          <w:p w14:paraId="52612A98" w14:textId="77777777" w:rsidR="001E60E4" w:rsidRPr="00721FFB" w:rsidRDefault="001E60E4" w:rsidP="00BB6F3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Definicja kompetencji kluczowych, społecznych i społeczno-emocjonalnych oraz umiejętności/kompetencji podstawowych, przekrojowych i zawodowych jak w Zintegrowanej Strategii Umiejętności 2030 (część ogólna i szczegółowa). </w:t>
            </w:r>
          </w:p>
          <w:p w14:paraId="74ABEA66" w14:textId="77777777" w:rsidR="001E60E4" w:rsidRPr="00721FFB" w:rsidRDefault="001E60E4" w:rsidP="00BB6F3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21FFB">
              <w:rPr>
                <w:rFonts w:ascii="Arial" w:hAnsi="Arial" w:cs="Arial"/>
              </w:rPr>
              <w:t xml:space="preserve">Definicja kwalifikacji/kompetencji i sposób pomiaru jak we wskaźniku wspólnym </w:t>
            </w:r>
            <w:r w:rsidRPr="00721FFB">
              <w:rPr>
                <w:rFonts w:ascii="Arial" w:hAnsi="Arial" w:cs="Arial"/>
                <w:i/>
                <w:iCs/>
              </w:rPr>
              <w:t xml:space="preserve">liczba osób, które uzyskały kwalifikacje po opuszczeniu </w:t>
            </w:r>
            <w:r w:rsidRPr="00721FFB">
              <w:rPr>
                <w:rFonts w:ascii="Arial" w:hAnsi="Arial" w:cs="Arial"/>
                <w:i/>
                <w:iCs/>
              </w:rPr>
              <w:lastRenderedPageBreak/>
              <w:t>program(osoby)</w:t>
            </w:r>
            <w:r w:rsidRPr="00721FFB">
              <w:rPr>
                <w:rFonts w:ascii="Arial" w:hAnsi="Arial" w:cs="Arial"/>
              </w:rPr>
              <w:t xml:space="preserve">, przy czym walidacja może być przeprowadzona przez nauczyciela/osobę prowadzącą zajęcia. </w:t>
            </w:r>
          </w:p>
          <w:p w14:paraId="5A5A5745" w14:textId="77777777" w:rsidR="001E60E4" w:rsidRPr="00721FFB" w:rsidRDefault="001E60E4" w:rsidP="00CB2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14:paraId="1A4819B1" w14:textId="12FA37C7" w:rsidR="001E60E4" w:rsidRPr="00721FFB" w:rsidRDefault="00D84132" w:rsidP="00BB6F3E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X</w:t>
            </w:r>
          </w:p>
        </w:tc>
        <w:tc>
          <w:tcPr>
            <w:tcW w:w="1471" w:type="dxa"/>
          </w:tcPr>
          <w:p w14:paraId="7D63D033" w14:textId="3244F3C2" w:rsidR="001E60E4" w:rsidRPr="00721FFB" w:rsidRDefault="001E60E4" w:rsidP="00BB6F3E">
            <w:pPr>
              <w:pStyle w:val="Default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</w:p>
        </w:tc>
      </w:tr>
      <w:bookmarkEnd w:id="10"/>
    </w:tbl>
    <w:p w14:paraId="50499832" w14:textId="4D4CB5AE" w:rsidR="004B5F85" w:rsidRDefault="004B5F85" w:rsidP="00BB6F3E">
      <w:pPr>
        <w:spacing w:after="120"/>
        <w:rPr>
          <w:rFonts w:ascii="Arial" w:hAnsi="Arial" w:cs="Arial"/>
        </w:rPr>
      </w:pPr>
    </w:p>
    <w:p w14:paraId="1A638055" w14:textId="6FD6C177" w:rsidR="00570440" w:rsidRPr="00CD7D48" w:rsidRDefault="00570440" w:rsidP="005704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UWAGA. </w:t>
      </w:r>
    </w:p>
    <w:p w14:paraId="763EFCF1" w14:textId="77777777" w:rsidR="00570440" w:rsidRPr="00CD7D48" w:rsidRDefault="00570440" w:rsidP="00570440">
      <w:pPr>
        <w:rPr>
          <w:rFonts w:ascii="Arial" w:hAnsi="Arial" w:cs="Arial"/>
          <w:b/>
          <w:bCs/>
          <w:u w:val="single"/>
        </w:rPr>
      </w:pPr>
      <w:r w:rsidRPr="00CD7D48">
        <w:rPr>
          <w:rFonts w:ascii="Arial" w:hAnsi="Arial" w:cs="Arial"/>
          <w:b/>
          <w:bCs/>
          <w:u w:val="single"/>
        </w:rPr>
        <w:t>1.</w:t>
      </w:r>
      <w:r w:rsidRPr="00CD7D48">
        <w:rPr>
          <w:rFonts w:ascii="Arial" w:hAnsi="Arial" w:cs="Arial"/>
          <w:b/>
          <w:bCs/>
          <w:u w:val="single"/>
        </w:rPr>
        <w:tab/>
        <w:t>Wskaźniki monitorowane we wszystkich CS:</w:t>
      </w:r>
    </w:p>
    <w:p w14:paraId="697A8F00" w14:textId="77777777" w:rsidR="00570440" w:rsidRDefault="00570440" w:rsidP="00570440">
      <w:pPr>
        <w:pStyle w:val="Akapitzlist"/>
        <w:numPr>
          <w:ilvl w:val="0"/>
          <w:numId w:val="20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>Liczba projektów, w których sfinansowano koszty racjonalnych usprawnień dla osób z niepełnosprawnościami PL0CO01,</w:t>
      </w:r>
    </w:p>
    <w:p w14:paraId="1DCCF11B" w14:textId="77777777" w:rsidR="00570440" w:rsidRPr="00CD7D48" w:rsidRDefault="00570440" w:rsidP="00570440">
      <w:pPr>
        <w:pStyle w:val="Akapitzlist"/>
        <w:numPr>
          <w:ilvl w:val="0"/>
          <w:numId w:val="20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>Liczba obiektów dostosowanych do potrzeb osób z niepełnosprawnościami PL0CO02.</w:t>
      </w:r>
    </w:p>
    <w:p w14:paraId="5A4A672F" w14:textId="77777777" w:rsidR="00570440" w:rsidRPr="00CD7D48" w:rsidRDefault="00570440" w:rsidP="00570440">
      <w:pPr>
        <w:rPr>
          <w:rFonts w:ascii="Arial" w:hAnsi="Arial" w:cs="Arial"/>
        </w:rPr>
      </w:pPr>
      <w:r w:rsidRPr="00CD7D48">
        <w:rPr>
          <w:rFonts w:ascii="Arial" w:hAnsi="Arial" w:cs="Arial"/>
        </w:rPr>
        <w:t xml:space="preserve">Zaleca się aby wskaźnik Liczba projektów, w których sfinansowano koszty racjonalnych usprawnień dla osób z niepełnosprawnościami PL0CO01 był wybierany każdorazowo na etapie planowania wniosku o dofinasowanie z wartością docelową „0”, a na etapie realizacji projektu we wnioskach o płatność należy odnotowywać jego faktyczną realizację. Natomiast wskaźnik Liczba obiektów dostosowanych do potrzeb osób z niepełnosprawnościami PL0CO02, wybierany i monitorowany powinien być w projektach, w których faktycznie przewiduje się tego typu wsparcie. </w:t>
      </w:r>
    </w:p>
    <w:p w14:paraId="73654FC3" w14:textId="77777777" w:rsidR="00570440" w:rsidRPr="00CD7D48" w:rsidRDefault="00570440" w:rsidP="00570440">
      <w:pPr>
        <w:rPr>
          <w:rFonts w:ascii="Arial" w:hAnsi="Arial" w:cs="Arial"/>
        </w:rPr>
      </w:pPr>
    </w:p>
    <w:p w14:paraId="10B1D5F1" w14:textId="77777777" w:rsidR="00570440" w:rsidRPr="00CD7D48" w:rsidRDefault="00570440" w:rsidP="00570440">
      <w:pPr>
        <w:rPr>
          <w:rFonts w:ascii="Arial" w:hAnsi="Arial" w:cs="Arial"/>
          <w:b/>
          <w:bCs/>
          <w:u w:val="single"/>
        </w:rPr>
      </w:pPr>
      <w:r w:rsidRPr="00CD7D48">
        <w:rPr>
          <w:rFonts w:ascii="Arial" w:hAnsi="Arial" w:cs="Arial"/>
          <w:b/>
          <w:bCs/>
          <w:u w:val="single"/>
        </w:rPr>
        <w:t>3.</w:t>
      </w:r>
      <w:r w:rsidRPr="00CD7D48">
        <w:rPr>
          <w:rFonts w:ascii="Arial" w:hAnsi="Arial" w:cs="Arial"/>
          <w:b/>
          <w:bCs/>
          <w:u w:val="single"/>
        </w:rPr>
        <w:tab/>
        <w:t>Wskaźniki wspólne produktu monitorujące cechy wrażliwe:</w:t>
      </w:r>
    </w:p>
    <w:p w14:paraId="116939D2" w14:textId="77777777" w:rsidR="00570440" w:rsidRPr="00CD7D48" w:rsidRDefault="00570440" w:rsidP="00570440">
      <w:pPr>
        <w:rPr>
          <w:rFonts w:ascii="Arial" w:hAnsi="Arial" w:cs="Arial"/>
        </w:rPr>
      </w:pPr>
    </w:p>
    <w:p w14:paraId="0CDBFAC5" w14:textId="77777777" w:rsidR="00570440" w:rsidRDefault="00570440" w:rsidP="00570440">
      <w:pPr>
        <w:pStyle w:val="Akapitzlist"/>
        <w:numPr>
          <w:ilvl w:val="0"/>
          <w:numId w:val="21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>Liczba osób z niepełnosprawnościami objętych wsparciem w programie EECO12,</w:t>
      </w:r>
    </w:p>
    <w:p w14:paraId="6E3003FF" w14:textId="77777777" w:rsidR="00570440" w:rsidRDefault="00570440" w:rsidP="00570440">
      <w:pPr>
        <w:pStyle w:val="Akapitzlist"/>
        <w:numPr>
          <w:ilvl w:val="0"/>
          <w:numId w:val="21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>Liczba osób z krajów trzecich objętych wsparciem w programie EECO13,</w:t>
      </w:r>
    </w:p>
    <w:p w14:paraId="431642D3" w14:textId="77777777" w:rsidR="00570440" w:rsidRDefault="00570440" w:rsidP="00570440">
      <w:pPr>
        <w:pStyle w:val="Akapitzlist"/>
        <w:numPr>
          <w:ilvl w:val="0"/>
          <w:numId w:val="21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>Liczba osób obcego pochodzenia objętych wsparciem w programie EECO14,</w:t>
      </w:r>
    </w:p>
    <w:p w14:paraId="480E75CA" w14:textId="77777777" w:rsidR="00570440" w:rsidRDefault="00570440" w:rsidP="00570440">
      <w:pPr>
        <w:pStyle w:val="Akapitzlist"/>
        <w:numPr>
          <w:ilvl w:val="0"/>
          <w:numId w:val="21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 xml:space="preserve">Liczba osób należących do mniejszości, w tym społeczności marginalizowanych takich jak Romowie, objętych wsparciem w programie EECO15, </w:t>
      </w:r>
    </w:p>
    <w:p w14:paraId="6DC997C1" w14:textId="77777777" w:rsidR="00570440" w:rsidRPr="00CD7D48" w:rsidRDefault="00570440" w:rsidP="00570440">
      <w:pPr>
        <w:pStyle w:val="Akapitzlist"/>
        <w:numPr>
          <w:ilvl w:val="0"/>
          <w:numId w:val="21"/>
        </w:numPr>
        <w:spacing w:after="160" w:line="259" w:lineRule="auto"/>
        <w:rPr>
          <w:rFonts w:ascii="Arial" w:hAnsi="Arial" w:cs="Arial"/>
        </w:rPr>
      </w:pPr>
      <w:r w:rsidRPr="00CD7D48">
        <w:rPr>
          <w:rFonts w:ascii="Arial" w:hAnsi="Arial" w:cs="Arial"/>
        </w:rPr>
        <w:t>Liczba osób w kryzysie bezdomności lub dotkniętych wykluczeniem z dostępu do mieszkań, objętych wsparciem w programie EECO16.</w:t>
      </w:r>
    </w:p>
    <w:p w14:paraId="69CFAAFE" w14:textId="68B9F0A2" w:rsidR="00570440" w:rsidRPr="003F5640" w:rsidRDefault="00570440" w:rsidP="00570440">
      <w:pPr>
        <w:rPr>
          <w:rFonts w:ascii="Arial" w:hAnsi="Arial" w:cs="Arial"/>
          <w:i/>
          <w:iCs/>
          <w:color w:val="FF0000"/>
        </w:rPr>
      </w:pPr>
      <w:r w:rsidRPr="003F5640">
        <w:rPr>
          <w:rFonts w:ascii="Arial" w:hAnsi="Arial" w:cs="Arial"/>
        </w:rPr>
        <w:t xml:space="preserve">Wskaźniki należy wybierać i monitorować we wszystkich projektach, w których będą występować uczestnicy projektów. </w:t>
      </w:r>
    </w:p>
    <w:p w14:paraId="5EDFB10E" w14:textId="77777777" w:rsidR="00570440" w:rsidRPr="003F5640" w:rsidRDefault="00570440" w:rsidP="00570440">
      <w:pPr>
        <w:rPr>
          <w:rFonts w:ascii="Arial" w:hAnsi="Arial" w:cs="Arial"/>
        </w:rPr>
      </w:pPr>
      <w:r w:rsidRPr="003F5640">
        <w:rPr>
          <w:rFonts w:ascii="Arial" w:hAnsi="Arial" w:cs="Arial"/>
        </w:rPr>
        <w:t xml:space="preserve">W przypadku projektów gdzie np. niepełnosprawność jest kryterium umożliwiającym udział w danej interwencji (np. grupa docelowa wskazana została we wniosku o dofinansowanie, kryteriach wyboru projektu lub dokumentach programowych) należy dane pozyskiwać bezpośrednio od </w:t>
      </w:r>
      <w:r w:rsidRPr="003F5640">
        <w:rPr>
          <w:rFonts w:ascii="Arial" w:hAnsi="Arial" w:cs="Arial"/>
        </w:rPr>
        <w:lastRenderedPageBreak/>
        <w:t>wszystkich uczestników. W związku z powyższym dany wskaźnik powinien zostać wprowadzony do projektu wraz z oszacowaną wartością docelową.</w:t>
      </w:r>
    </w:p>
    <w:p w14:paraId="46985DAC" w14:textId="77777777" w:rsidR="00570440" w:rsidRDefault="00570440" w:rsidP="00570440">
      <w:pPr>
        <w:rPr>
          <w:rFonts w:ascii="Arial" w:hAnsi="Arial" w:cs="Arial"/>
        </w:rPr>
      </w:pPr>
      <w:r w:rsidRPr="003F5640">
        <w:rPr>
          <w:rFonts w:ascii="Arial" w:hAnsi="Arial" w:cs="Arial"/>
        </w:rPr>
        <w:t>W pozostałych przypadkach należy wybrać ww. wskaźniki wspólne do projektów jako tzw. „wskaźniki informacyjne” – dla wartości docelowej należy wpisać „0”, natomiast na etapie realizacji projektu we wnioskach o płatność należy odnotowywać faktyczną realizację wskaźników.</w:t>
      </w:r>
    </w:p>
    <w:p w14:paraId="5E4E656D" w14:textId="77777777" w:rsidR="00570440" w:rsidRPr="00CD7D48" w:rsidRDefault="00570440" w:rsidP="00570440">
      <w:pPr>
        <w:rPr>
          <w:rFonts w:ascii="Arial" w:hAnsi="Arial" w:cs="Arial"/>
        </w:rPr>
      </w:pPr>
    </w:p>
    <w:p w14:paraId="0095ED8E" w14:textId="77777777" w:rsidR="00570440" w:rsidRPr="003F5640" w:rsidRDefault="00570440" w:rsidP="00570440">
      <w:pPr>
        <w:rPr>
          <w:rFonts w:ascii="Arial" w:hAnsi="Arial" w:cs="Arial"/>
          <w:b/>
          <w:bCs/>
          <w:u w:val="single"/>
        </w:rPr>
      </w:pPr>
      <w:r w:rsidRPr="003F5640">
        <w:rPr>
          <w:rFonts w:ascii="Arial" w:hAnsi="Arial" w:cs="Arial"/>
          <w:b/>
          <w:bCs/>
          <w:u w:val="single"/>
        </w:rPr>
        <w:t>4.</w:t>
      </w:r>
      <w:r w:rsidRPr="003F5640">
        <w:rPr>
          <w:rFonts w:ascii="Arial" w:hAnsi="Arial" w:cs="Arial"/>
          <w:b/>
          <w:bCs/>
          <w:u w:val="single"/>
        </w:rPr>
        <w:tab/>
        <w:t xml:space="preserve">Monitorowanie wskaźników z podziałem na płeć </w:t>
      </w:r>
    </w:p>
    <w:p w14:paraId="12C703BB" w14:textId="77777777" w:rsidR="00570440" w:rsidRPr="00CD7D48" w:rsidRDefault="00570440" w:rsidP="00570440">
      <w:pPr>
        <w:rPr>
          <w:rFonts w:ascii="Arial" w:hAnsi="Arial" w:cs="Arial"/>
        </w:rPr>
      </w:pPr>
      <w:r w:rsidRPr="00CD7D48">
        <w:rPr>
          <w:rFonts w:ascii="Arial" w:hAnsi="Arial" w:cs="Arial"/>
        </w:rPr>
        <w:t xml:space="preserve">Mając na uwadze zapisy Rozdziału 5, Podrozdział 5.2, pkt 5. Wytycznych dotyczących realizacji zasad równościowych w ramach funduszy unijnych na lata 2021-2027, należy pamiętać, iż zgodnie z „załącznikiem nr I do rozporządzenia EFS+, wszystkie wskaźniki wspólne dotyczące osób powinny być monitorowane z podziałem na płeć. Podejście to jest rekomendowane również w stosunku do monitorowania wskaźników specyficznych dla programu i wskaźników kluczowych zawartych na Liście Wskaźników Kluczowych, w tym także w przypadku EFRR, FS i FST.” </w:t>
      </w:r>
    </w:p>
    <w:p w14:paraId="77E6D7AD" w14:textId="77777777" w:rsidR="00570440" w:rsidRDefault="00570440" w:rsidP="00570440">
      <w:pPr>
        <w:autoSpaceDE w:val="0"/>
        <w:autoSpaceDN w:val="0"/>
        <w:spacing w:before="120" w:after="120"/>
        <w:jc w:val="both"/>
      </w:pPr>
    </w:p>
    <w:p w14:paraId="6DECFCC5" w14:textId="77777777" w:rsidR="00570440" w:rsidRDefault="00570440" w:rsidP="00570440">
      <w:pPr>
        <w:pStyle w:val="Tekstkomentarza"/>
      </w:pPr>
    </w:p>
    <w:p w14:paraId="7CAC0EAD" w14:textId="37AA0FF9" w:rsidR="00570440" w:rsidRPr="00721FFB" w:rsidRDefault="00570440" w:rsidP="00570440">
      <w:pPr>
        <w:spacing w:after="120"/>
        <w:rPr>
          <w:rFonts w:ascii="Arial" w:hAnsi="Arial" w:cs="Arial"/>
        </w:rPr>
      </w:pPr>
      <w:r>
        <w:rPr>
          <w:rStyle w:val="Odwoaniedokomentarza"/>
        </w:rPr>
        <w:t/>
      </w:r>
    </w:p>
    <w:sectPr w:rsidR="00570440" w:rsidRPr="00721FFB" w:rsidSect="00CF3FDB">
      <w:headerReference w:type="default" r:id="rId8"/>
      <w:footerReference w:type="default" r:id="rId9"/>
      <w:pgSz w:w="15840" w:h="12240" w:orient="landscape"/>
      <w:pgMar w:top="720" w:right="720" w:bottom="720" w:left="720" w:header="708" w:footer="261" w:gutter="0"/>
      <w:cols w:space="708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857767" w16cex:dateUtc="2024-09-06T10:43:00Z"/>
  <w16cex:commentExtensible w16cex:durableId="2A856B2E" w16cex:dateUtc="2024-09-06T09:51:00Z"/>
  <w16cex:commentExtensible w16cex:durableId="2A8572EE" w16cex:dateUtc="2024-09-06T10:24:00Z"/>
  <w16cex:commentExtensible w16cex:durableId="2A8562AC" w16cex:dateUtc="2024-09-06T09:14:00Z"/>
  <w16cex:commentExtensible w16cex:durableId="2A856388" w16cex:dateUtc="2024-09-06T09:18:00Z"/>
  <w16cex:commentExtensible w16cex:durableId="2A856724" w16cex:dateUtc="2024-09-06T09:33:00Z"/>
  <w16cex:commentExtensible w16cex:durableId="63B225CB" w16cex:dateUtc="2024-09-09T0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9267125" w16cid:durableId="2A857767"/>
  <w16cid:commentId w16cid:paraId="77AE4B79" w16cid:durableId="2A856B2E"/>
  <w16cid:commentId w16cid:paraId="1527FA0A" w16cid:durableId="2A8572EE"/>
  <w16cid:commentId w16cid:paraId="1B232FCA" w16cid:durableId="2A8562AC"/>
  <w16cid:commentId w16cid:paraId="20D03B57" w16cid:durableId="2A856388"/>
  <w16cid:commentId w16cid:paraId="384E6A96" w16cid:durableId="2A856724"/>
  <w16cid:commentId w16cid:paraId="5C678962" w16cid:durableId="63B225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F0B72" w14:textId="77777777" w:rsidR="005D5B39" w:rsidRDefault="005D5B39" w:rsidP="006D1D6B">
      <w:pPr>
        <w:spacing w:after="0" w:line="240" w:lineRule="auto"/>
      </w:pPr>
      <w:r>
        <w:separator/>
      </w:r>
    </w:p>
  </w:endnote>
  <w:endnote w:type="continuationSeparator" w:id="0">
    <w:p w14:paraId="5E283C3B" w14:textId="77777777" w:rsidR="005D5B39" w:rsidRDefault="005D5B39" w:rsidP="006D1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eastAsiaTheme="majorEastAsia" w:hAnsi="Arial" w:cs="Arial"/>
        <w:sz w:val="16"/>
        <w:szCs w:val="16"/>
      </w:rPr>
      <w:id w:val="202081451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B660135" w14:textId="77777777" w:rsidR="00BB5BB4" w:rsidRPr="00796AA6" w:rsidRDefault="00BB5BB4">
        <w:pPr>
          <w:pStyle w:val="Stopka"/>
          <w:jc w:val="right"/>
          <w:rPr>
            <w:rFonts w:eastAsiaTheme="majorEastAsia" w:cstheme="minorHAnsi"/>
          </w:rPr>
        </w:pPr>
        <w:r w:rsidRPr="00796AA6">
          <w:rPr>
            <w:rFonts w:eastAsiaTheme="majorEastAsia" w:cstheme="minorHAnsi"/>
          </w:rPr>
          <w:t xml:space="preserve">str. </w:t>
        </w:r>
        <w:r w:rsidRPr="00796AA6">
          <w:rPr>
            <w:rFonts w:eastAsiaTheme="minorEastAsia" w:cstheme="minorHAnsi"/>
          </w:rPr>
          <w:fldChar w:fldCharType="begin"/>
        </w:r>
        <w:r w:rsidRPr="00796AA6">
          <w:rPr>
            <w:rFonts w:cstheme="minorHAnsi"/>
          </w:rPr>
          <w:instrText>PAGE    \* MERGEFORMAT</w:instrText>
        </w:r>
        <w:r w:rsidRPr="00796AA6">
          <w:rPr>
            <w:rFonts w:eastAsiaTheme="minorEastAsia" w:cstheme="minorHAnsi"/>
          </w:rPr>
          <w:fldChar w:fldCharType="separate"/>
        </w:r>
        <w:r w:rsidR="005448D3" w:rsidRPr="005448D3">
          <w:rPr>
            <w:rFonts w:eastAsiaTheme="majorEastAsia" w:cstheme="minorHAnsi"/>
            <w:noProof/>
          </w:rPr>
          <w:t>2</w:t>
        </w:r>
        <w:r w:rsidRPr="00796AA6">
          <w:rPr>
            <w:rFonts w:eastAsiaTheme="majorEastAsia" w:cstheme="minorHAnsi"/>
          </w:rPr>
          <w:fldChar w:fldCharType="end"/>
        </w:r>
      </w:p>
    </w:sdtContent>
  </w:sdt>
  <w:p w14:paraId="33491044" w14:textId="77777777" w:rsidR="00BB5BB4" w:rsidRDefault="00BB5B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434D6" w14:textId="77777777" w:rsidR="005D5B39" w:rsidRDefault="005D5B39" w:rsidP="006D1D6B">
      <w:pPr>
        <w:spacing w:after="0" w:line="240" w:lineRule="auto"/>
      </w:pPr>
      <w:r>
        <w:separator/>
      </w:r>
    </w:p>
  </w:footnote>
  <w:footnote w:type="continuationSeparator" w:id="0">
    <w:p w14:paraId="3D443277" w14:textId="77777777" w:rsidR="005D5B39" w:rsidRDefault="005D5B39" w:rsidP="006D1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D45E4" w14:textId="77777777" w:rsidR="00BB5BB4" w:rsidRDefault="00BB5BB4">
    <w:pPr>
      <w:pStyle w:val="Nagwek"/>
    </w:pPr>
    <w:r>
      <w:rPr>
        <w:rFonts w:ascii="Cambria" w:hAnsi="Cambria"/>
        <w:b/>
        <w:noProof/>
        <w:sz w:val="24"/>
        <w:szCs w:val="32"/>
        <w:lang w:eastAsia="pl-PL"/>
      </w:rPr>
      <w:drawing>
        <wp:anchor distT="0" distB="0" distL="114300" distR="114300" simplePos="0" relativeHeight="251658240" behindDoc="1" locked="0" layoutInCell="1" allowOverlap="1" wp14:anchorId="10EA2398" wp14:editId="01642AF5">
          <wp:simplePos x="0" y="0"/>
          <wp:positionH relativeFrom="margin">
            <wp:align>center</wp:align>
          </wp:positionH>
          <wp:positionV relativeFrom="paragraph">
            <wp:posOffset>-298974</wp:posOffset>
          </wp:positionV>
          <wp:extent cx="5836920" cy="464820"/>
          <wp:effectExtent l="0" t="0" r="0" b="0"/>
          <wp:wrapTopAndBottom/>
          <wp:docPr id="5" name="Obraz 5" descr="fe-rp-ue-pdk-FE-2021-2027-dla-Podkarpacia-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692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B6EA4"/>
    <w:multiLevelType w:val="hybridMultilevel"/>
    <w:tmpl w:val="22F0B276"/>
    <w:lvl w:ilvl="0" w:tplc="04323B7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E30B3"/>
    <w:multiLevelType w:val="hybridMultilevel"/>
    <w:tmpl w:val="FD4286A6"/>
    <w:lvl w:ilvl="0" w:tplc="1B7850A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F934A2"/>
    <w:multiLevelType w:val="hybridMultilevel"/>
    <w:tmpl w:val="E6EC8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4943"/>
    <w:multiLevelType w:val="hybridMultilevel"/>
    <w:tmpl w:val="A4167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15CE"/>
    <w:multiLevelType w:val="hybridMultilevel"/>
    <w:tmpl w:val="4BBCD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21C2E"/>
    <w:multiLevelType w:val="hybridMultilevel"/>
    <w:tmpl w:val="1232731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2031C"/>
    <w:multiLevelType w:val="hybridMultilevel"/>
    <w:tmpl w:val="0240B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D3DC2"/>
    <w:multiLevelType w:val="hybridMultilevel"/>
    <w:tmpl w:val="8828DE42"/>
    <w:lvl w:ilvl="0" w:tplc="1928664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12ED4"/>
    <w:multiLevelType w:val="hybridMultilevel"/>
    <w:tmpl w:val="71762DF4"/>
    <w:lvl w:ilvl="0" w:tplc="E884AF60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D34FA"/>
    <w:multiLevelType w:val="hybridMultilevel"/>
    <w:tmpl w:val="F8FEB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4762D"/>
    <w:multiLevelType w:val="hybridMultilevel"/>
    <w:tmpl w:val="F410BD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54902"/>
    <w:multiLevelType w:val="hybridMultilevel"/>
    <w:tmpl w:val="0D2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202EB"/>
    <w:multiLevelType w:val="hybridMultilevel"/>
    <w:tmpl w:val="DE72461E"/>
    <w:lvl w:ilvl="0" w:tplc="227C54C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8B73E81"/>
    <w:multiLevelType w:val="hybridMultilevel"/>
    <w:tmpl w:val="398AB078"/>
    <w:lvl w:ilvl="0" w:tplc="81CE62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343E1"/>
    <w:multiLevelType w:val="hybridMultilevel"/>
    <w:tmpl w:val="C102F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77A4E"/>
    <w:multiLevelType w:val="hybridMultilevel"/>
    <w:tmpl w:val="6F2C8DE6"/>
    <w:lvl w:ilvl="0" w:tplc="4D20190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B07B8"/>
    <w:multiLevelType w:val="hybridMultilevel"/>
    <w:tmpl w:val="B0B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43713"/>
    <w:multiLevelType w:val="hybridMultilevel"/>
    <w:tmpl w:val="DD8E4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4E1E1E"/>
    <w:multiLevelType w:val="hybridMultilevel"/>
    <w:tmpl w:val="1222262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1173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42053"/>
    <w:multiLevelType w:val="hybridMultilevel"/>
    <w:tmpl w:val="3600EE2A"/>
    <w:lvl w:ilvl="0" w:tplc="5FAE119E">
      <w:start w:val="1"/>
      <w:numFmt w:val="lowerLetter"/>
      <w:lvlText w:val="%1&gt;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E5737C"/>
    <w:multiLevelType w:val="hybridMultilevel"/>
    <w:tmpl w:val="3AF09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5"/>
  </w:num>
  <w:num w:numId="5">
    <w:abstractNumId w:val="5"/>
  </w:num>
  <w:num w:numId="6">
    <w:abstractNumId w:val="18"/>
  </w:num>
  <w:num w:numId="7">
    <w:abstractNumId w:val="19"/>
  </w:num>
  <w:num w:numId="8">
    <w:abstractNumId w:val="9"/>
  </w:num>
  <w:num w:numId="9">
    <w:abstractNumId w:val="17"/>
  </w:num>
  <w:num w:numId="10">
    <w:abstractNumId w:val="12"/>
  </w:num>
  <w:num w:numId="11">
    <w:abstractNumId w:val="8"/>
  </w:num>
  <w:num w:numId="12">
    <w:abstractNumId w:val="0"/>
  </w:num>
  <w:num w:numId="13">
    <w:abstractNumId w:val="1"/>
  </w:num>
  <w:num w:numId="14">
    <w:abstractNumId w:val="2"/>
  </w:num>
  <w:num w:numId="15">
    <w:abstractNumId w:val="11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0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D79"/>
    <w:rsid w:val="00002334"/>
    <w:rsid w:val="00004263"/>
    <w:rsid w:val="000205BC"/>
    <w:rsid w:val="00031928"/>
    <w:rsid w:val="00053864"/>
    <w:rsid w:val="00086E61"/>
    <w:rsid w:val="000B6493"/>
    <w:rsid w:val="000B6CE9"/>
    <w:rsid w:val="000C2029"/>
    <w:rsid w:val="000C251C"/>
    <w:rsid w:val="000C3E70"/>
    <w:rsid w:val="000D318E"/>
    <w:rsid w:val="000E7D06"/>
    <w:rsid w:val="00106707"/>
    <w:rsid w:val="00121943"/>
    <w:rsid w:val="0013445F"/>
    <w:rsid w:val="00140A2F"/>
    <w:rsid w:val="00145A83"/>
    <w:rsid w:val="00147A3B"/>
    <w:rsid w:val="00152A15"/>
    <w:rsid w:val="00155B2E"/>
    <w:rsid w:val="0015644F"/>
    <w:rsid w:val="00182A9F"/>
    <w:rsid w:val="001B30E0"/>
    <w:rsid w:val="001B6995"/>
    <w:rsid w:val="001E60E4"/>
    <w:rsid w:val="001E6676"/>
    <w:rsid w:val="00200C8C"/>
    <w:rsid w:val="002149DF"/>
    <w:rsid w:val="00261FDA"/>
    <w:rsid w:val="0027205D"/>
    <w:rsid w:val="00282441"/>
    <w:rsid w:val="00290A6A"/>
    <w:rsid w:val="002B2D96"/>
    <w:rsid w:val="002D294C"/>
    <w:rsid w:val="003001AC"/>
    <w:rsid w:val="00344568"/>
    <w:rsid w:val="00352539"/>
    <w:rsid w:val="00360EB4"/>
    <w:rsid w:val="00365570"/>
    <w:rsid w:val="00385BD1"/>
    <w:rsid w:val="003A11C9"/>
    <w:rsid w:val="003B0F0F"/>
    <w:rsid w:val="003E5796"/>
    <w:rsid w:val="00405D0B"/>
    <w:rsid w:val="00411040"/>
    <w:rsid w:val="0041431C"/>
    <w:rsid w:val="004324A0"/>
    <w:rsid w:val="004527D3"/>
    <w:rsid w:val="00477B8E"/>
    <w:rsid w:val="004A3E4D"/>
    <w:rsid w:val="004B5F85"/>
    <w:rsid w:val="004F479A"/>
    <w:rsid w:val="004F70B3"/>
    <w:rsid w:val="00502484"/>
    <w:rsid w:val="00505347"/>
    <w:rsid w:val="005172F2"/>
    <w:rsid w:val="00533043"/>
    <w:rsid w:val="005448D3"/>
    <w:rsid w:val="00570440"/>
    <w:rsid w:val="0057471A"/>
    <w:rsid w:val="00580912"/>
    <w:rsid w:val="00581882"/>
    <w:rsid w:val="00581D57"/>
    <w:rsid w:val="00590DD5"/>
    <w:rsid w:val="00594928"/>
    <w:rsid w:val="005A5EED"/>
    <w:rsid w:val="005B1AA5"/>
    <w:rsid w:val="005C5E62"/>
    <w:rsid w:val="005D5B39"/>
    <w:rsid w:val="005F0E55"/>
    <w:rsid w:val="005F2115"/>
    <w:rsid w:val="00630C9F"/>
    <w:rsid w:val="00640650"/>
    <w:rsid w:val="0064679F"/>
    <w:rsid w:val="00651B7E"/>
    <w:rsid w:val="00684FC5"/>
    <w:rsid w:val="00691B4B"/>
    <w:rsid w:val="00692BC5"/>
    <w:rsid w:val="00696E1A"/>
    <w:rsid w:val="00696F50"/>
    <w:rsid w:val="006C17E0"/>
    <w:rsid w:val="006C799C"/>
    <w:rsid w:val="006D105B"/>
    <w:rsid w:val="006D1D6B"/>
    <w:rsid w:val="006E592F"/>
    <w:rsid w:val="006E5B5D"/>
    <w:rsid w:val="00710BAD"/>
    <w:rsid w:val="00720DC1"/>
    <w:rsid w:val="00721FFB"/>
    <w:rsid w:val="00727C71"/>
    <w:rsid w:val="00730486"/>
    <w:rsid w:val="00736EE2"/>
    <w:rsid w:val="00737E6C"/>
    <w:rsid w:val="00740433"/>
    <w:rsid w:val="00756801"/>
    <w:rsid w:val="00760401"/>
    <w:rsid w:val="00763F77"/>
    <w:rsid w:val="00784698"/>
    <w:rsid w:val="00785BEC"/>
    <w:rsid w:val="00792754"/>
    <w:rsid w:val="00796AA6"/>
    <w:rsid w:val="007D31A3"/>
    <w:rsid w:val="00802625"/>
    <w:rsid w:val="00805EA6"/>
    <w:rsid w:val="008121B4"/>
    <w:rsid w:val="008164A7"/>
    <w:rsid w:val="00830C63"/>
    <w:rsid w:val="00834444"/>
    <w:rsid w:val="00853B4A"/>
    <w:rsid w:val="0086474C"/>
    <w:rsid w:val="00893DC2"/>
    <w:rsid w:val="00897B6D"/>
    <w:rsid w:val="008C6D7B"/>
    <w:rsid w:val="008C6F3A"/>
    <w:rsid w:val="008C6F7C"/>
    <w:rsid w:val="008D09EF"/>
    <w:rsid w:val="008D4D3C"/>
    <w:rsid w:val="008F28E9"/>
    <w:rsid w:val="00905CC9"/>
    <w:rsid w:val="00923678"/>
    <w:rsid w:val="00927882"/>
    <w:rsid w:val="009531FD"/>
    <w:rsid w:val="00966F77"/>
    <w:rsid w:val="00981867"/>
    <w:rsid w:val="00990DB9"/>
    <w:rsid w:val="0099177C"/>
    <w:rsid w:val="009B15F5"/>
    <w:rsid w:val="009E471A"/>
    <w:rsid w:val="009E7AB6"/>
    <w:rsid w:val="009F306D"/>
    <w:rsid w:val="00A03A07"/>
    <w:rsid w:val="00A121C2"/>
    <w:rsid w:val="00A15F5F"/>
    <w:rsid w:val="00A27F9D"/>
    <w:rsid w:val="00A517B2"/>
    <w:rsid w:val="00A649CF"/>
    <w:rsid w:val="00A70997"/>
    <w:rsid w:val="00A902C8"/>
    <w:rsid w:val="00AA5718"/>
    <w:rsid w:val="00AB5656"/>
    <w:rsid w:val="00AC165E"/>
    <w:rsid w:val="00AE5559"/>
    <w:rsid w:val="00AF4241"/>
    <w:rsid w:val="00B317FB"/>
    <w:rsid w:val="00B449F0"/>
    <w:rsid w:val="00B4757B"/>
    <w:rsid w:val="00B53E29"/>
    <w:rsid w:val="00B82EC1"/>
    <w:rsid w:val="00B85E15"/>
    <w:rsid w:val="00B8627C"/>
    <w:rsid w:val="00BB5BB4"/>
    <w:rsid w:val="00BB6F3E"/>
    <w:rsid w:val="00C06892"/>
    <w:rsid w:val="00C126E4"/>
    <w:rsid w:val="00C22F9A"/>
    <w:rsid w:val="00C336FA"/>
    <w:rsid w:val="00C55151"/>
    <w:rsid w:val="00C82629"/>
    <w:rsid w:val="00C83302"/>
    <w:rsid w:val="00CA4A87"/>
    <w:rsid w:val="00CB2DE3"/>
    <w:rsid w:val="00CC6324"/>
    <w:rsid w:val="00CD23E3"/>
    <w:rsid w:val="00CE3AA2"/>
    <w:rsid w:val="00CF3FDB"/>
    <w:rsid w:val="00D02D42"/>
    <w:rsid w:val="00D0401E"/>
    <w:rsid w:val="00D101E1"/>
    <w:rsid w:val="00D13189"/>
    <w:rsid w:val="00D15A99"/>
    <w:rsid w:val="00D21A63"/>
    <w:rsid w:val="00D25E33"/>
    <w:rsid w:val="00D32EDA"/>
    <w:rsid w:val="00D374F7"/>
    <w:rsid w:val="00D76FDA"/>
    <w:rsid w:val="00D84132"/>
    <w:rsid w:val="00DE1A5A"/>
    <w:rsid w:val="00DE1D79"/>
    <w:rsid w:val="00DE54CA"/>
    <w:rsid w:val="00E15672"/>
    <w:rsid w:val="00E45A21"/>
    <w:rsid w:val="00E62E15"/>
    <w:rsid w:val="00E658C5"/>
    <w:rsid w:val="00E65B45"/>
    <w:rsid w:val="00E84970"/>
    <w:rsid w:val="00E85C4D"/>
    <w:rsid w:val="00E8645E"/>
    <w:rsid w:val="00E93A29"/>
    <w:rsid w:val="00E97474"/>
    <w:rsid w:val="00EA3B17"/>
    <w:rsid w:val="00EB206C"/>
    <w:rsid w:val="00EB7581"/>
    <w:rsid w:val="00EC5F27"/>
    <w:rsid w:val="00ED5252"/>
    <w:rsid w:val="00EF03BF"/>
    <w:rsid w:val="00F145DF"/>
    <w:rsid w:val="00F42579"/>
    <w:rsid w:val="00F4577B"/>
    <w:rsid w:val="00F92609"/>
    <w:rsid w:val="00FB20CE"/>
    <w:rsid w:val="00FD1AD0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C7471"/>
  <w15:chartTrackingRefBased/>
  <w15:docId w15:val="{E162BD5E-1241-4899-A0E1-FF9661B5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101E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link w:val="Akapitzlist"/>
    <w:locked/>
    <w:rsid w:val="00D101E1"/>
    <w:rPr>
      <w:rFonts w:ascii="Calibri" w:eastAsia="Calibri" w:hAnsi="Calibri" w:cs="Times New Roman"/>
      <w:lang w:val="x-non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rsid w:val="006D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rsid w:val="006D1D6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"/>
    <w:uiPriority w:val="99"/>
    <w:rsid w:val="006D1D6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44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D21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2625"/>
  </w:style>
  <w:style w:type="paragraph" w:styleId="Stopka">
    <w:name w:val="footer"/>
    <w:basedOn w:val="Normalny"/>
    <w:link w:val="StopkaZnak"/>
    <w:uiPriority w:val="99"/>
    <w:unhideWhenUsed/>
    <w:rsid w:val="0080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2625"/>
  </w:style>
  <w:style w:type="character" w:styleId="Odwoaniedokomentarza">
    <w:name w:val="annotation reference"/>
    <w:basedOn w:val="Domylnaczcionkaakapitu"/>
    <w:uiPriority w:val="99"/>
    <w:semiHidden/>
    <w:unhideWhenUsed/>
    <w:rsid w:val="00710B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0B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0B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B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BAD"/>
    <w:rPr>
      <w:b/>
      <w:bCs/>
      <w:sz w:val="20"/>
      <w:szCs w:val="20"/>
    </w:rPr>
  </w:style>
  <w:style w:type="table" w:customStyle="1" w:styleId="Tabelasiatki1jasna1">
    <w:name w:val="Tabela siatki 1 — jasna1"/>
    <w:basedOn w:val="Standardowy"/>
    <w:uiPriority w:val="46"/>
    <w:rsid w:val="00CF3F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5F2115"/>
    <w:pPr>
      <w:spacing w:after="0" w:line="240" w:lineRule="auto"/>
    </w:pPr>
  </w:style>
  <w:style w:type="paragraph" w:customStyle="1" w:styleId="Default">
    <w:name w:val="Default"/>
    <w:rsid w:val="00BB6F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5D05E-237B-4631-9DE5-DE4CCF5F2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3117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6_Lista wskaźników (EFS+)</vt:lpstr>
    </vt:vector>
  </TitlesOfParts>
  <Company/>
  <LinksUpToDate>false</LinksUpToDate>
  <CharactersWithSpaces>21781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6_Lista wskaźników (EFS+)</dc:title>
  <dc:subject/>
  <dc:creator>UMWP</dc:creator>
  <cp:keywords/>
  <dc:description/>
  <cp:lastModifiedBy>Baranowski Wiesław</cp:lastModifiedBy>
  <cp:revision>2</cp:revision>
  <cp:lastPrinted>2023-05-29T09:54:00Z</cp:lastPrinted>
  <dcterms:created xsi:type="dcterms:W3CDTF">2024-09-10T04:55:00Z</dcterms:created>
  <dcterms:modified xsi:type="dcterms:W3CDTF">2024-09-10T04:55:00Z</dcterms:modified>
</cp:coreProperties>
</file>