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427F2" w14:textId="6B952395" w:rsidR="006229D7" w:rsidRPr="002F1EB9" w:rsidRDefault="00556A8D" w:rsidP="00790010">
      <w:pPr>
        <w:pStyle w:val="Nagwek1"/>
        <w:rPr>
          <w:sz w:val="22"/>
          <w:szCs w:val="22"/>
        </w:rPr>
      </w:pPr>
      <w:r w:rsidRPr="002F1EB9">
        <w:rPr>
          <w:sz w:val="22"/>
          <w:szCs w:val="22"/>
        </w:rPr>
        <w:t xml:space="preserve">Załącznik nr </w:t>
      </w:r>
      <w:r w:rsidR="00452E1F" w:rsidRPr="002F1EB9">
        <w:rPr>
          <w:sz w:val="22"/>
          <w:szCs w:val="22"/>
        </w:rPr>
        <w:t>6</w:t>
      </w:r>
      <w:r w:rsidR="003A603E" w:rsidRPr="002F1EB9">
        <w:rPr>
          <w:sz w:val="22"/>
          <w:szCs w:val="22"/>
        </w:rPr>
        <w:t xml:space="preserve"> do Regulaminu wyboru projektów</w:t>
      </w:r>
    </w:p>
    <w:p w14:paraId="690D5E1B" w14:textId="77777777" w:rsidR="00FB5F2B" w:rsidRPr="000D2CEC" w:rsidRDefault="00FB5F2B" w:rsidP="00907707">
      <w:pPr>
        <w:spacing w:line="276" w:lineRule="auto"/>
        <w:jc w:val="both"/>
        <w:rPr>
          <w:rFonts w:ascii="Arial" w:hAnsi="Arial" w:cs="Arial"/>
        </w:rPr>
      </w:pPr>
    </w:p>
    <w:p w14:paraId="40E020ED" w14:textId="1570C04D" w:rsidR="006229D7" w:rsidRPr="002F1EB9" w:rsidRDefault="00A00E09" w:rsidP="00907707">
      <w:pPr>
        <w:pStyle w:val="Nagwek2"/>
        <w:spacing w:line="276" w:lineRule="auto"/>
        <w:jc w:val="center"/>
        <w:rPr>
          <w:rFonts w:ascii="Arial" w:hAnsi="Arial" w:cs="Arial"/>
          <w:b/>
        </w:rPr>
      </w:pPr>
      <w:r w:rsidRPr="002F1EB9">
        <w:rPr>
          <w:rFonts w:ascii="Arial" w:hAnsi="Arial" w:cs="Arial"/>
          <w:b/>
        </w:rPr>
        <w:t xml:space="preserve">Lista wskaźników </w:t>
      </w:r>
      <w:r w:rsidR="003A603E" w:rsidRPr="002F1EB9">
        <w:rPr>
          <w:rFonts w:ascii="Arial" w:hAnsi="Arial" w:cs="Arial"/>
          <w:b/>
        </w:rPr>
        <w:t>(EFRR)</w:t>
      </w:r>
      <w:r w:rsidR="00D16DAF">
        <w:rPr>
          <w:rFonts w:ascii="Arial" w:hAnsi="Arial" w:cs="Arial"/>
          <w:b/>
        </w:rPr>
        <w:t xml:space="preserve"> </w:t>
      </w:r>
      <w:r w:rsidR="00D16DAF">
        <w:rPr>
          <w:rFonts w:ascii="Arial" w:hAnsi="Arial" w:cs="Arial"/>
          <w:b/>
        </w:rPr>
        <w:br/>
        <w:t>d</w:t>
      </w:r>
      <w:r w:rsidR="002F1EB9" w:rsidRPr="002F1EB9">
        <w:rPr>
          <w:rFonts w:ascii="Arial" w:hAnsi="Arial" w:cs="Arial"/>
          <w:b/>
        </w:rPr>
        <w:t xml:space="preserve">la priorytetu </w:t>
      </w:r>
      <w:r w:rsidR="009A515B" w:rsidRPr="009A515B">
        <w:rPr>
          <w:rFonts w:ascii="Arial" w:hAnsi="Arial" w:cs="Arial"/>
          <w:b/>
        </w:rPr>
        <w:t>FEPK.02 ENERGIA I ŚRODOWISKO</w:t>
      </w:r>
      <w:r w:rsidR="00D16DAF">
        <w:rPr>
          <w:rFonts w:ascii="Arial" w:hAnsi="Arial" w:cs="Arial"/>
          <w:b/>
        </w:rPr>
        <w:br/>
      </w:r>
      <w:r w:rsidR="009A515B">
        <w:rPr>
          <w:rFonts w:ascii="Arial" w:hAnsi="Arial" w:cs="Arial"/>
          <w:b/>
        </w:rPr>
        <w:t xml:space="preserve">działanie </w:t>
      </w:r>
      <w:r w:rsidR="009A515B" w:rsidRPr="009A515B">
        <w:rPr>
          <w:rFonts w:ascii="Arial" w:hAnsi="Arial" w:cs="Arial"/>
          <w:b/>
        </w:rPr>
        <w:t xml:space="preserve">FEPK.02.01 </w:t>
      </w:r>
      <w:r w:rsidR="000A48AA" w:rsidRPr="009A515B">
        <w:rPr>
          <w:rFonts w:ascii="Arial" w:hAnsi="Arial" w:cs="Arial"/>
          <w:b/>
        </w:rPr>
        <w:t xml:space="preserve">Poprawa </w:t>
      </w:r>
      <w:r w:rsidR="000A48AA">
        <w:rPr>
          <w:rFonts w:ascii="Arial" w:hAnsi="Arial" w:cs="Arial"/>
          <w:b/>
        </w:rPr>
        <w:t>j</w:t>
      </w:r>
      <w:r w:rsidR="000A48AA" w:rsidRPr="009A515B">
        <w:rPr>
          <w:rFonts w:ascii="Arial" w:hAnsi="Arial" w:cs="Arial"/>
          <w:b/>
        </w:rPr>
        <w:t xml:space="preserve">akości </w:t>
      </w:r>
      <w:r w:rsidR="000A48AA">
        <w:rPr>
          <w:rFonts w:ascii="Arial" w:hAnsi="Arial" w:cs="Arial"/>
          <w:b/>
        </w:rPr>
        <w:t>p</w:t>
      </w:r>
      <w:r w:rsidR="000A48AA" w:rsidRPr="009A515B">
        <w:rPr>
          <w:rFonts w:ascii="Arial" w:hAnsi="Arial" w:cs="Arial"/>
          <w:b/>
        </w:rPr>
        <w:t xml:space="preserve">owietrza – </w:t>
      </w:r>
      <w:r w:rsidR="000A48AA">
        <w:rPr>
          <w:rFonts w:ascii="Arial" w:hAnsi="Arial" w:cs="Arial"/>
          <w:b/>
        </w:rPr>
        <w:t>d</w:t>
      </w:r>
      <w:r w:rsidR="000A48AA" w:rsidRPr="009A515B">
        <w:rPr>
          <w:rFonts w:ascii="Arial" w:hAnsi="Arial" w:cs="Arial"/>
          <w:b/>
        </w:rPr>
        <w:t>otacja</w:t>
      </w:r>
      <w:r w:rsidR="00D16DAF">
        <w:rPr>
          <w:rFonts w:ascii="Arial" w:hAnsi="Arial" w:cs="Arial"/>
          <w:b/>
        </w:rPr>
        <w:br/>
      </w:r>
      <w:r w:rsidR="00097FED" w:rsidRPr="002F1EB9">
        <w:rPr>
          <w:rFonts w:ascii="Arial" w:hAnsi="Arial" w:cs="Arial"/>
          <w:b/>
        </w:rPr>
        <w:t>Programu Regionalnego Fundusze Europejskie dla Podkarpacia 2021-2027</w:t>
      </w:r>
    </w:p>
    <w:p w14:paraId="212B304F" w14:textId="77777777" w:rsidR="00195BFA" w:rsidRPr="00195BFA" w:rsidRDefault="00195BFA" w:rsidP="00907707">
      <w:pPr>
        <w:spacing w:line="276" w:lineRule="auto"/>
        <w:rPr>
          <w:sz w:val="28"/>
          <w:szCs w:val="28"/>
        </w:rPr>
      </w:pPr>
    </w:p>
    <w:p w14:paraId="641C8E28" w14:textId="77777777" w:rsidR="009A515B" w:rsidRPr="009A515B" w:rsidRDefault="00F96221" w:rsidP="00907707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A515B">
        <w:rPr>
          <w:rFonts w:ascii="Arial" w:hAnsi="Arial" w:cs="Arial"/>
          <w:b/>
          <w:bCs/>
          <w:sz w:val="28"/>
          <w:szCs w:val="28"/>
        </w:rPr>
        <w:t>Typ projekt</w:t>
      </w:r>
      <w:r w:rsidR="00123357" w:rsidRPr="009A515B">
        <w:rPr>
          <w:rFonts w:ascii="Arial" w:hAnsi="Arial" w:cs="Arial"/>
          <w:b/>
          <w:bCs/>
          <w:sz w:val="28"/>
          <w:szCs w:val="28"/>
        </w:rPr>
        <w:t>ów:</w:t>
      </w:r>
    </w:p>
    <w:p w14:paraId="5207987E" w14:textId="77777777" w:rsidR="00002296" w:rsidRPr="00002296" w:rsidRDefault="00002296" w:rsidP="00002296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02296">
        <w:rPr>
          <w:rFonts w:ascii="Arial" w:hAnsi="Arial" w:cs="Arial"/>
          <w:b/>
          <w:bCs/>
          <w:sz w:val="24"/>
          <w:szCs w:val="24"/>
        </w:rPr>
        <w:t>Poprawa efektywności energetycznej wielorodzinnych budynków mieszkalnych (zgodnie z art. 2 pkt. 5 Ustawy z dnia 21 listopada 2008 r. o wspieraniu termomodernizacji i remontów oraz o centralnej ewidencji emisyjności budynków) wraz z instalacją urządzeń OZE oraz wymianą/modernizacją źródeł ciepła albo podłączeniem do sieci ciepłowniczej / chłodniczej.</w:t>
      </w:r>
    </w:p>
    <w:p w14:paraId="74BAE36F" w14:textId="7924B7AA" w:rsidR="00F96221" w:rsidRDefault="00F96221" w:rsidP="00EC7BAC">
      <w:pPr>
        <w:jc w:val="center"/>
        <w:rPr>
          <w:rFonts w:ascii="Arial" w:hAnsi="Arial" w:cs="Arial"/>
          <w:sz w:val="28"/>
          <w:szCs w:val="28"/>
        </w:rPr>
      </w:pPr>
    </w:p>
    <w:p w14:paraId="4AC7F12E" w14:textId="4556DB78" w:rsidR="007D49D2" w:rsidRPr="007D49D2" w:rsidRDefault="007D49D2" w:rsidP="007D49D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Toc483552384"/>
      <w:r w:rsidRPr="007D49D2">
        <w:rPr>
          <w:rFonts w:ascii="Arial" w:hAnsi="Arial" w:cs="Arial"/>
          <w:b/>
          <w:bCs/>
          <w:sz w:val="28"/>
          <w:szCs w:val="28"/>
        </w:rPr>
        <w:t xml:space="preserve">Nr naboru </w:t>
      </w:r>
      <w:bookmarkEnd w:id="0"/>
      <w:r w:rsidRPr="007D49D2">
        <w:rPr>
          <w:rFonts w:ascii="Arial" w:hAnsi="Arial" w:cs="Arial"/>
          <w:b/>
          <w:bCs/>
          <w:sz w:val="28"/>
          <w:szCs w:val="28"/>
        </w:rPr>
        <w:t>FEPK.02.01-IZ.00-00</w:t>
      </w:r>
      <w:r w:rsidR="00002296">
        <w:rPr>
          <w:rFonts w:ascii="Arial" w:hAnsi="Arial" w:cs="Arial"/>
          <w:b/>
          <w:bCs/>
          <w:sz w:val="28"/>
          <w:szCs w:val="28"/>
        </w:rPr>
        <w:t>2</w:t>
      </w:r>
      <w:r w:rsidRPr="007D49D2">
        <w:rPr>
          <w:rFonts w:ascii="Arial" w:hAnsi="Arial" w:cs="Arial"/>
          <w:b/>
          <w:bCs/>
          <w:sz w:val="28"/>
          <w:szCs w:val="28"/>
        </w:rPr>
        <w:t>/24</w:t>
      </w:r>
    </w:p>
    <w:p w14:paraId="1E261019" w14:textId="3BC9296D" w:rsidR="00285C8C" w:rsidRDefault="00285C8C" w:rsidP="00097FE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</w:p>
    <w:p w14:paraId="715C0C3F" w14:textId="244B5375" w:rsidR="00FB5F2B" w:rsidRDefault="00D70932" w:rsidP="00195BFA">
      <w:pPr>
        <w:pStyle w:val="Nagwek2"/>
        <w:numPr>
          <w:ilvl w:val="0"/>
          <w:numId w:val="21"/>
        </w:numPr>
        <w:rPr>
          <w:rFonts w:ascii="Arial" w:hAnsi="Arial" w:cs="Arial"/>
        </w:rPr>
      </w:pPr>
      <w:r w:rsidRPr="00195BFA">
        <w:rPr>
          <w:rFonts w:ascii="Arial" w:hAnsi="Arial" w:cs="Arial"/>
        </w:rPr>
        <w:lastRenderedPageBreak/>
        <w:t>Wskaźniki produktu</w:t>
      </w:r>
    </w:p>
    <w:p w14:paraId="78CD67EC" w14:textId="77777777" w:rsidR="002F1EB9" w:rsidRPr="002F1EB9" w:rsidRDefault="002F1EB9" w:rsidP="002F1EB9"/>
    <w:tbl>
      <w:tblPr>
        <w:tblStyle w:val="Tabela-Siatka"/>
        <w:tblW w:w="13887" w:type="dxa"/>
        <w:tblLayout w:type="fixed"/>
        <w:tblLook w:val="01E0" w:firstRow="1" w:lastRow="1" w:firstColumn="1" w:lastColumn="1" w:noHBand="0" w:noVBand="0"/>
        <w:tblCaption w:val="Tabela wskaźniki produktu"/>
        <w:tblDescription w:val="Tabela zawiera listę wskaźników, z uwzględnieniem nazwy, jednostki miary oraz definicji poszczególnych wskaźników."/>
      </w:tblPr>
      <w:tblGrid>
        <w:gridCol w:w="846"/>
        <w:gridCol w:w="2977"/>
        <w:gridCol w:w="1417"/>
        <w:gridCol w:w="8647"/>
      </w:tblGrid>
      <w:tr w:rsidR="00401CB5" w:rsidRPr="000D2CEC" w14:paraId="419230AF" w14:textId="77777777" w:rsidTr="00FE715E">
        <w:trPr>
          <w:tblHeader/>
        </w:trPr>
        <w:tc>
          <w:tcPr>
            <w:tcW w:w="846" w:type="dxa"/>
            <w:vAlign w:val="center"/>
          </w:tcPr>
          <w:p w14:paraId="734EB928" w14:textId="77777777" w:rsidR="00401CB5" w:rsidRPr="000D2CEC" w:rsidRDefault="00401CB5" w:rsidP="00B90E66">
            <w:pPr>
              <w:jc w:val="center"/>
              <w:rPr>
                <w:rFonts w:ascii="Arial" w:hAnsi="Arial" w:cs="Arial"/>
                <w:bCs/>
              </w:rPr>
            </w:pPr>
            <w:r w:rsidRPr="000D2CEC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977" w:type="dxa"/>
            <w:vAlign w:val="center"/>
          </w:tcPr>
          <w:p w14:paraId="45E428E0" w14:textId="77777777" w:rsidR="00401CB5" w:rsidRPr="000D2CEC" w:rsidRDefault="00401CB5" w:rsidP="00B90E66">
            <w:pPr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Nazwa wskaźnika</w:t>
            </w:r>
          </w:p>
        </w:tc>
        <w:tc>
          <w:tcPr>
            <w:tcW w:w="1417" w:type="dxa"/>
            <w:vAlign w:val="center"/>
          </w:tcPr>
          <w:p w14:paraId="5D00F16A" w14:textId="77777777" w:rsidR="00401CB5" w:rsidRPr="000D2CEC" w:rsidRDefault="00401CB5" w:rsidP="00B90E6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Jednostka miary</w:t>
            </w:r>
          </w:p>
        </w:tc>
        <w:tc>
          <w:tcPr>
            <w:tcW w:w="8647" w:type="dxa"/>
            <w:vAlign w:val="center"/>
          </w:tcPr>
          <w:p w14:paraId="083A59C3" w14:textId="6D904768" w:rsidR="00401CB5" w:rsidRPr="000D2CEC" w:rsidRDefault="00285C8C" w:rsidP="00F12EC6">
            <w:pPr>
              <w:keepNext/>
              <w:keepLines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efinicja</w:t>
            </w:r>
          </w:p>
        </w:tc>
      </w:tr>
      <w:tr w:rsidR="006A4BA7" w:rsidRPr="00FD7399" w14:paraId="3C5D28E1" w14:textId="77777777" w:rsidTr="00FE715E">
        <w:trPr>
          <w:trHeight w:val="464"/>
        </w:trPr>
        <w:tc>
          <w:tcPr>
            <w:tcW w:w="846" w:type="dxa"/>
            <w:vAlign w:val="center"/>
          </w:tcPr>
          <w:p w14:paraId="26A53D2B" w14:textId="21F70B24" w:rsidR="006A4BA7" w:rsidRPr="00FE715E" w:rsidRDefault="006A4BA7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3D06AA7" w14:textId="0F96CC0E" w:rsidR="006A4BA7" w:rsidRPr="00FD7399" w:rsidRDefault="006A4BA7" w:rsidP="006A4BA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 w:rsidRPr="00FD7399">
              <w:rPr>
                <w:rFonts w:ascii="Arial" w:hAnsi="Arial" w:cs="Arial"/>
              </w:rPr>
              <w:t xml:space="preserve">Lokale mieszkalne o udoskonalonej charakterystyce energetycznej </w:t>
            </w:r>
          </w:p>
        </w:tc>
        <w:tc>
          <w:tcPr>
            <w:tcW w:w="1417" w:type="dxa"/>
            <w:vAlign w:val="center"/>
          </w:tcPr>
          <w:p w14:paraId="6D983386" w14:textId="69FD34C3" w:rsidR="006A4BA7" w:rsidRPr="00FD7399" w:rsidRDefault="006A4BA7" w:rsidP="006A4BA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647" w:type="dxa"/>
            <w:vAlign w:val="center"/>
          </w:tcPr>
          <w:p w14:paraId="56FB5CB2" w14:textId="77777777" w:rsidR="00A8685A" w:rsidRDefault="006A4BA7" w:rsidP="00A8685A">
            <w:pPr>
              <w:spacing w:line="276" w:lineRule="auto"/>
              <w:rPr>
                <w:rFonts w:ascii="Arial" w:hAnsi="Arial" w:cs="Arial"/>
              </w:rPr>
            </w:pPr>
            <w:r w:rsidRPr="00A8685A">
              <w:rPr>
                <w:rFonts w:ascii="Arial" w:hAnsi="Arial" w:cs="Arial"/>
              </w:rPr>
              <w:t>Liczba lokali mieszkalnych o udoskonalonej charakterystyce energetycznej dzięki udzielonemu wsparciu finansowemu. Udoskonaloną charakterystykę energetyczną należy rozumieć jako poprawę klasyfikacji energetycznej lokalu mieszkalnego o co najmniej jedną klasę energetyczną i należy ją udokumentować na podstawie świadectw charakterystyki energetycznej. Klasyfikacja energetyczna, o której mowa, jest zgodna z definicją zawartą w krajowym świadectwie charakterystyki energetycznej, zgodnie z dyrektywą 2010/31/UE.   Lokal mieszkalny definiuje się jako „pomieszczenie lub zestaw pokoi w budynku stałym lub strukturalnie oddzielonej części budynku, który (…) jest przeznaczony do mieszkania przez jedno prywatne gospodarstwo domowe przez cały rok”. (zob. ESTAT online w odniesieniach). Wskaźnik obejmuje również mieszkalnictwo socjalne w ramach RSO2.1, w którym to przypadku należy również zastosować RCO65 – Inf. społeczna: Pojemność nowych lub zmodernizowanych lokali socjalnych.   Wskaźnik ten nie obejmuje lokali mieszkalnych objętych RCO123 Energia: Lokale mieszkalne z wymienionymi kotłami zasilanymi gazem ziemnym, aby uniknąć konieczności stosowania dwóch wskaźników charakterystyki energetycznej w odniesieniu do operacji objętych wsparciem.</w:t>
            </w:r>
            <w:r w:rsidRPr="00A8685A">
              <w:rPr>
                <w:rFonts w:ascii="Arial" w:hAnsi="Arial" w:cs="Arial"/>
              </w:rPr>
              <w:br/>
              <w:t>Poprawę charakterystyki energetycznej należy wyliczyć metodą obliczeniową, tj. metodą z załącznika nr 1 do Rozporządzenia MINISTRA INFRASTRUKTURY I ROZWOJU z dnia 27 lutego 2015 r. w sprawie metodologii wyznaczania charakterystyki energetycznej budynku lub części budynku oraz świadectw charakterystyki energetycznej (Dz.U. z 2015 r., poz. 376)</w:t>
            </w:r>
            <w:r w:rsidR="00EB40B7" w:rsidRPr="00A8685A">
              <w:rPr>
                <w:rFonts w:ascii="Arial" w:hAnsi="Arial" w:cs="Arial"/>
              </w:rPr>
              <w:t>.</w:t>
            </w:r>
          </w:p>
          <w:p w14:paraId="55BC8593" w14:textId="18E02648" w:rsidR="00A8685A" w:rsidRPr="00FD7399" w:rsidRDefault="00A8685A" w:rsidP="00A8685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 względu na brak w przepisach polskich klas energetycznych dla budynku w czasie przyjmowania Regulaminu, należy przyjąć, że wskaźnik obejmuje wszystkie budynki, w których zużycie energii </w:t>
            </w:r>
            <w:r w:rsidR="00C20657">
              <w:rPr>
                <w:rFonts w:ascii="Arial" w:hAnsi="Arial" w:cs="Arial"/>
              </w:rPr>
              <w:t xml:space="preserve">pierwotnej </w:t>
            </w:r>
            <w:r>
              <w:rPr>
                <w:rFonts w:ascii="Arial" w:hAnsi="Arial" w:cs="Arial"/>
              </w:rPr>
              <w:t>zmniejszy się o 30 % w wyniku realizacji projektu.</w:t>
            </w:r>
          </w:p>
        </w:tc>
      </w:tr>
      <w:tr w:rsidR="00C35579" w:rsidRPr="00FD7399" w14:paraId="4BAE0BEB" w14:textId="77777777" w:rsidTr="00FE715E">
        <w:trPr>
          <w:trHeight w:val="464"/>
        </w:trPr>
        <w:tc>
          <w:tcPr>
            <w:tcW w:w="846" w:type="dxa"/>
            <w:vAlign w:val="center"/>
          </w:tcPr>
          <w:p w14:paraId="7CA1EC97" w14:textId="77777777" w:rsidR="00C35579" w:rsidRPr="00FD7399" w:rsidRDefault="00C35579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6AFE6347" w14:textId="58C3AAF1" w:rsidR="00337669" w:rsidRPr="00FD7399" w:rsidRDefault="00C35579" w:rsidP="000E07F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Liczba zmodernizowanych energetycznie budynków</w:t>
            </w:r>
          </w:p>
        </w:tc>
        <w:tc>
          <w:tcPr>
            <w:tcW w:w="1417" w:type="dxa"/>
            <w:vAlign w:val="center"/>
          </w:tcPr>
          <w:p w14:paraId="3C338677" w14:textId="356E7B65" w:rsidR="00C35579" w:rsidRPr="00FD7399" w:rsidRDefault="00C35579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szt. </w:t>
            </w:r>
          </w:p>
        </w:tc>
        <w:tc>
          <w:tcPr>
            <w:tcW w:w="8647" w:type="dxa"/>
            <w:vAlign w:val="center"/>
          </w:tcPr>
          <w:p w14:paraId="47BF8651" w14:textId="72B9D2CE" w:rsidR="000A48AA" w:rsidRPr="00FD7399" w:rsidRDefault="00C35579" w:rsidP="00C35579">
            <w:pPr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Wskaźnik mierzy liczbę zmodernizowanych energetycznie </w:t>
            </w:r>
            <w:r w:rsidR="00E455CB">
              <w:rPr>
                <w:rFonts w:ascii="Arial" w:hAnsi="Arial" w:cs="Arial"/>
              </w:rPr>
              <w:t xml:space="preserve">wielorodzinnych </w:t>
            </w:r>
            <w:r w:rsidRPr="00FD7399">
              <w:rPr>
                <w:rFonts w:ascii="Arial" w:hAnsi="Arial" w:cs="Arial"/>
              </w:rPr>
              <w:t xml:space="preserve">budynków </w:t>
            </w:r>
            <w:r w:rsidR="00E455CB">
              <w:rPr>
                <w:rFonts w:ascii="Arial" w:hAnsi="Arial" w:cs="Arial"/>
              </w:rPr>
              <w:t xml:space="preserve">mieszkalnych </w:t>
            </w:r>
            <w:r w:rsidRPr="00FD7399">
              <w:rPr>
                <w:rFonts w:ascii="Arial" w:hAnsi="Arial" w:cs="Arial"/>
              </w:rPr>
              <w:t xml:space="preserve">w wyniku realizacji projektu. Modernizacja – obejmuje przebudowę, remont oraz rozbudowę budynków w celu dokonania modernizacji urządzeń energetycznych. </w:t>
            </w:r>
          </w:p>
          <w:p w14:paraId="5519D306" w14:textId="5AC16153" w:rsidR="000A48AA" w:rsidRPr="00FD7399" w:rsidRDefault="00C35579" w:rsidP="00C35579">
            <w:pPr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lastRenderedPageBreak/>
              <w:t xml:space="preserve">Przebudowa – wykonywanie robót budowlanych, w wyniku których następuje zmiana parametrów użytkowych lub technicznych istniejącego obiektu budowlanego, z wyjątkiem charakterystycznych parametrów, jak: kubatura, powierzchnia zabudowy, wysokość, długość, szerokość bądź liczba kondygnacji. </w:t>
            </w:r>
          </w:p>
          <w:p w14:paraId="76EC0309" w14:textId="5BE96327" w:rsidR="00FA7C28" w:rsidRPr="00FD7399" w:rsidRDefault="00C35579" w:rsidP="00FA7C28">
            <w:pPr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Remont – wykonywanie w istniejącym obiekcie budowlanym robót budowlanych polegających na odtworzeniu stanu pierwotnego, a niestanowiących bieżącej konserwacji, przy czym dopuszcza się stosowanie wyrobów budowlanych innych niż użyto w stanie pierwotnym. Rozbudowa – w budownictwie rodzaj budowy, w wyniku którego powstaje nowa część istniejącego już obiektu budowlanego</w:t>
            </w:r>
            <w:r w:rsidR="00337669" w:rsidRPr="00FD7399">
              <w:rPr>
                <w:rFonts w:ascii="Arial" w:hAnsi="Arial" w:cs="Arial"/>
              </w:rPr>
              <w:t>.</w:t>
            </w:r>
            <w:r w:rsidR="008C0DEA" w:rsidRPr="00FD7399">
              <w:rPr>
                <w:rFonts w:ascii="Arial" w:hAnsi="Arial" w:cs="Arial"/>
              </w:rPr>
              <w:t xml:space="preserve"> </w:t>
            </w:r>
            <w:r w:rsidR="008C0DEA" w:rsidRPr="00FD7399">
              <w:rPr>
                <w:rStyle w:val="cf01"/>
                <w:rFonts w:ascii="Arial" w:hAnsi="Arial" w:cs="Arial"/>
                <w:sz w:val="22"/>
                <w:szCs w:val="22"/>
              </w:rPr>
              <w:t>Poprawę charakterystyki energetycznej należy wyliczyć metodą obliczeniową.</w:t>
            </w:r>
          </w:p>
          <w:p w14:paraId="1FBA5DD2" w14:textId="37D43ABD" w:rsidR="00A8685A" w:rsidRPr="00FD7399" w:rsidRDefault="00887BB6" w:rsidP="00A8685A">
            <w:pPr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Style w:val="cf01"/>
                <w:rFonts w:ascii="Arial" w:hAnsi="Arial" w:cs="Arial"/>
                <w:sz w:val="22"/>
                <w:szCs w:val="22"/>
              </w:rPr>
              <w:t>Modernizacja energetyczna budynku to wykonanie działań wskazanych w audycie energetycznym, których efektem ma być oszczędność energii pierwotnej.</w:t>
            </w:r>
            <w:r w:rsidR="00A00521" w:rsidRPr="00FD7399">
              <w:rPr>
                <w:rStyle w:val="cf01"/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F1795" w:rsidRPr="00FD7399" w14:paraId="042C54AC" w14:textId="77777777" w:rsidTr="00FE715E">
        <w:trPr>
          <w:trHeight w:val="464"/>
        </w:trPr>
        <w:tc>
          <w:tcPr>
            <w:tcW w:w="846" w:type="dxa"/>
            <w:vAlign w:val="center"/>
          </w:tcPr>
          <w:p w14:paraId="22166E08" w14:textId="77777777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187E081" w14:textId="7869DB5A" w:rsidR="00BF1795" w:rsidRPr="00FD7399" w:rsidRDefault="00BF1795" w:rsidP="00BF179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A8685A">
              <w:rPr>
                <w:rFonts w:ascii="Arial" w:hAnsi="Arial" w:cs="Arial"/>
              </w:rPr>
              <w:t xml:space="preserve">Lokale mieszkalne wykorzystujące kotły i systemy ciepłownicze zasilane gazem ziemnym zastępujące instalacje zasilane stałymi paliwami kopalnymi </w:t>
            </w:r>
          </w:p>
        </w:tc>
        <w:tc>
          <w:tcPr>
            <w:tcW w:w="1417" w:type="dxa"/>
            <w:vAlign w:val="center"/>
          </w:tcPr>
          <w:p w14:paraId="64BC8629" w14:textId="10111052" w:rsidR="00BF1795" w:rsidRPr="00FD7399" w:rsidRDefault="00BF1795" w:rsidP="00BF17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8685A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8647" w:type="dxa"/>
            <w:vAlign w:val="center"/>
          </w:tcPr>
          <w:p w14:paraId="2F73AFCF" w14:textId="79ABE0BE" w:rsidR="00BF1795" w:rsidRPr="00FD7399" w:rsidRDefault="00BF1795" w:rsidP="00BF1795">
            <w:pPr>
              <w:spacing w:line="276" w:lineRule="auto"/>
              <w:rPr>
                <w:rFonts w:ascii="Arial" w:hAnsi="Arial" w:cs="Arial"/>
              </w:rPr>
            </w:pPr>
            <w:r w:rsidRPr="00A8685A">
              <w:rPr>
                <w:rFonts w:ascii="Arial" w:hAnsi="Arial" w:cs="Arial"/>
              </w:rPr>
              <w:t xml:space="preserve">Wskaźnik ten mierzy  liczbę lokali mieszkalnych objętych wsparciem w celu wykorzystywania kotłów i systemów ciepłowniczych zasilanych gazem ziemnym zastępujących instalacje zasilane stałymi paliwami kopalnymi.   Lokale mieszkalne korzystające z nowych kotłów zasilanych gazem ziemnym powinny osiągnąć lepszą charakterystykę energetyczną dzięki udzielonemu wsparciu finansowemu. Udoskonaloną charakterystykę energetyczną należy rozumieć jako poprawę klasyfikacji energetycznej lokalu mieszkalnego o co najmniej jedną klasę energetyczną i należy ją udokumentować na podstawie świadectw charakterystyki energetycznej. Klasyfikacja energetyczna, o której mowa, jest zgodna z definicją zawartą w krajowym świadectwie charakterystyki energetycznej, zgodnie z dyrektywą 2010/31/UE.   Lokal mieszkalny definiuje się jako „pomieszczenie lub zestaw pokoi w budynku stałym lub strukturalnie oddzielonej części budynku, który (…) jest przeznaczony do mieszkania przez jedno prywatne gospodarstwo domowe przez cały rok. Wskaźnik obejmuje również lokale socjalne.   </w:t>
            </w:r>
            <w:r w:rsidRPr="00580962">
              <w:rPr>
                <w:rFonts w:ascii="Arial" w:hAnsi="Arial" w:cs="Arial"/>
              </w:rPr>
              <w:t>Lokale mieszkalne liczone w ramach tego wskaźnika nie będą liczone w ramach RCO18 Energia: Lokale mieszkalne o lepszej udoskonalonej charakterystyce energetycznej, aby uniknąć konieczności stosowania dwóch wskaźników charakterystyki energetycznej w odniesieniu do operacji objętych wsparciem.</w:t>
            </w:r>
          </w:p>
        </w:tc>
      </w:tr>
      <w:tr w:rsidR="00BF1795" w:rsidRPr="00FD7399" w14:paraId="5B1044F6" w14:textId="77777777" w:rsidTr="00FE715E">
        <w:trPr>
          <w:trHeight w:val="464"/>
        </w:trPr>
        <w:tc>
          <w:tcPr>
            <w:tcW w:w="846" w:type="dxa"/>
            <w:vAlign w:val="center"/>
          </w:tcPr>
          <w:p w14:paraId="1B9F6B4F" w14:textId="77777777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DE47649" w14:textId="648D14C0" w:rsidR="00BF1795" w:rsidRPr="00FD7399" w:rsidRDefault="00BF1795" w:rsidP="00BF179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Powierzchnia użytkowa budynków mieszkalnych poddanych termomodernizacji </w:t>
            </w:r>
          </w:p>
        </w:tc>
        <w:tc>
          <w:tcPr>
            <w:tcW w:w="1417" w:type="dxa"/>
            <w:vAlign w:val="center"/>
          </w:tcPr>
          <w:p w14:paraId="509ABE63" w14:textId="1361E5FD" w:rsidR="00BF1795" w:rsidRPr="00FD7399" w:rsidRDefault="00BF1795" w:rsidP="00BF17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m</w:t>
            </w:r>
            <w:r w:rsidRPr="00FD7399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8647" w:type="dxa"/>
            <w:vAlign w:val="center"/>
          </w:tcPr>
          <w:p w14:paraId="5B86BD12" w14:textId="3D4C0310" w:rsidR="00BF1795" w:rsidRPr="00FD7399" w:rsidRDefault="00BF1795" w:rsidP="00BF1795">
            <w:pPr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Wskaźnik mierzy powierzchnię użytkową  budynków </w:t>
            </w:r>
            <w:r>
              <w:rPr>
                <w:rFonts w:ascii="Arial" w:hAnsi="Arial" w:cs="Arial"/>
              </w:rPr>
              <w:t xml:space="preserve">mieszkalnych </w:t>
            </w:r>
            <w:r w:rsidRPr="00FD7399">
              <w:rPr>
                <w:rFonts w:ascii="Arial" w:hAnsi="Arial" w:cs="Arial"/>
              </w:rPr>
              <w:t xml:space="preserve">poddanych termomodernizacji (wyrażoną w m2).  Termomodernizacja definiowana jest jako przedsięwzięcia służące poprawie efektywności energetycznej budynku.    </w:t>
            </w:r>
          </w:p>
        </w:tc>
      </w:tr>
      <w:tr w:rsidR="00BF1795" w:rsidRPr="00FD7399" w14:paraId="229D9203" w14:textId="77777777" w:rsidTr="00FE715E">
        <w:trPr>
          <w:trHeight w:val="852"/>
        </w:trPr>
        <w:tc>
          <w:tcPr>
            <w:tcW w:w="846" w:type="dxa"/>
            <w:vAlign w:val="center"/>
          </w:tcPr>
          <w:p w14:paraId="5ADB6E28" w14:textId="6373B57B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23DBC1C" w14:textId="331D99A8" w:rsidR="00BF1795" w:rsidRPr="00FD7399" w:rsidRDefault="00BF1795" w:rsidP="00BF179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pl-PL"/>
              </w:rPr>
            </w:pPr>
            <w:r w:rsidRPr="00FD7399">
              <w:rPr>
                <w:rFonts w:ascii="Arial" w:hAnsi="Arial" w:cs="Arial"/>
                <w:bCs/>
              </w:rPr>
              <w:t>Liczba jednostek wysokosprawnej kogeneracji</w:t>
            </w:r>
          </w:p>
        </w:tc>
        <w:tc>
          <w:tcPr>
            <w:tcW w:w="1417" w:type="dxa"/>
            <w:vAlign w:val="center"/>
          </w:tcPr>
          <w:p w14:paraId="45667A2E" w14:textId="048297F0" w:rsidR="00BF1795" w:rsidRPr="00FD7399" w:rsidRDefault="00BF1795" w:rsidP="00BF17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08D65C3F" w14:textId="50633D2F" w:rsidR="00BF1795" w:rsidRPr="00FD7399" w:rsidRDefault="00BF1795" w:rsidP="00BF1795">
            <w:pPr>
              <w:spacing w:line="276" w:lineRule="auto"/>
              <w:rPr>
                <w:rFonts w:ascii="Arial" w:hAnsi="Arial" w:cs="Arial"/>
              </w:rPr>
            </w:pPr>
            <w:r w:rsidRPr="00A950DA">
              <w:rPr>
                <w:rFonts w:ascii="Arial" w:hAnsi="Arial" w:cs="Arial"/>
              </w:rPr>
              <w:t>Liczba wspartych jednostek wysokosprawnej kogeneracji. Wysokosprawna kogeneracja jest definiowana w oparciu o oszczędność energii uzyskaną dzięki wytwarzaniu skojarzonemu, a nie na podstawie produkcji energii cieplnej i energii elektrycznej z osobna. Oszczędność energii przekraczająca 10% kwalifik</w:t>
            </w:r>
            <w:r w:rsidRPr="006856EA">
              <w:rPr>
                <w:rFonts w:ascii="Arial" w:hAnsi="Arial" w:cs="Arial"/>
              </w:rPr>
              <w:t xml:space="preserve">uje </w:t>
            </w:r>
            <w:r w:rsidRPr="00A950DA">
              <w:rPr>
                <w:rFonts w:ascii="Arial" w:hAnsi="Arial" w:cs="Arial"/>
              </w:rPr>
              <w:t>się do określenia „wysokosprawna kogeneracja”.</w:t>
            </w:r>
          </w:p>
        </w:tc>
      </w:tr>
      <w:tr w:rsidR="00BF1795" w:rsidRPr="00FD7399" w14:paraId="29D4EDF7" w14:textId="77777777" w:rsidTr="00FE715E">
        <w:tc>
          <w:tcPr>
            <w:tcW w:w="846" w:type="dxa"/>
            <w:vAlign w:val="center"/>
          </w:tcPr>
          <w:p w14:paraId="26028592" w14:textId="77777777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9CB0595" w14:textId="3FA8DF0F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Dodatkowa zdolność wytwarzania energii elektrycznej ze źródeł OZE</w:t>
            </w:r>
          </w:p>
        </w:tc>
        <w:tc>
          <w:tcPr>
            <w:tcW w:w="1417" w:type="dxa"/>
            <w:vAlign w:val="center"/>
          </w:tcPr>
          <w:p w14:paraId="0CA21347" w14:textId="4C822AAD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MW</w:t>
            </w:r>
          </w:p>
        </w:tc>
        <w:tc>
          <w:tcPr>
            <w:tcW w:w="8647" w:type="dxa"/>
            <w:vAlign w:val="center"/>
          </w:tcPr>
          <w:p w14:paraId="40CA3EB8" w14:textId="4C2749B7" w:rsidR="00BF1795" w:rsidRPr="00FD7399" w:rsidRDefault="00BF1795" w:rsidP="00BF1795">
            <w:pPr>
              <w:spacing w:line="276" w:lineRule="auto"/>
              <w:ind w:left="39"/>
              <w:rPr>
                <w:rFonts w:ascii="Arial" w:eastAsia="PMingLiU" w:hAnsi="Arial" w:cs="Arial"/>
                <w:lang w:eastAsia="zh-TW"/>
              </w:rPr>
            </w:pPr>
            <w:r w:rsidRPr="00FD7399">
              <w:rPr>
                <w:rFonts w:ascii="Arial" w:eastAsia="PMingLiU" w:hAnsi="Arial" w:cs="Arial"/>
                <w:lang w:eastAsia="zh-TW"/>
              </w:rPr>
              <w:t>Wskaźnik obejmuje dodatkową zdolność produkcyjną energii elektrycznej ze źródeł odnawialnych. Zdolność produkcyjna jest rozumiana jako maksymalna moc zainstalowana. Zgodnie z dyrektywą 2018/2011 oraz ustawą z dnia 20 lutego 2015 r. o odnawialnych źródłach energii</w:t>
            </w:r>
            <w:r w:rsidRPr="00FD7399">
              <w:rPr>
                <w:rStyle w:val="Odwoaniedokomentarza"/>
              </w:rPr>
              <w:t xml:space="preserve">, </w:t>
            </w:r>
            <w:r w:rsidRPr="00FD7399">
              <w:rPr>
                <w:rFonts w:ascii="Arial" w:eastAsia="PMingLiU" w:hAnsi="Arial" w:cs="Arial"/>
                <w:lang w:eastAsia="zh-TW"/>
              </w:rPr>
              <w:t xml:space="preserve">energia odnawialna oznacza odnawialne, niekopalne źródła energii obejmujące: energię wiatru, energię promieniowania słonecznego, energię </w:t>
            </w:r>
            <w:proofErr w:type="spellStart"/>
            <w:r w:rsidRPr="00FD7399">
              <w:rPr>
                <w:rFonts w:ascii="Arial" w:eastAsia="PMingLiU" w:hAnsi="Arial" w:cs="Arial"/>
                <w:lang w:eastAsia="zh-TW"/>
              </w:rPr>
              <w:t>aerotermalną</w:t>
            </w:r>
            <w:proofErr w:type="spellEnd"/>
            <w:r w:rsidRPr="00FD7399">
              <w:rPr>
                <w:rFonts w:ascii="Arial" w:eastAsia="PMingLiU" w:hAnsi="Arial" w:cs="Arial"/>
                <w:lang w:eastAsia="zh-TW"/>
              </w:rPr>
              <w:t xml:space="preserve">, energię geotermalną, energię hydrotermalną, hydroenergię, energię fal, prądów i pływów morskich, energię otrzymywaną z biomasy, biogazu, biogazu rolniczego oraz z </w:t>
            </w:r>
            <w:proofErr w:type="spellStart"/>
            <w:r w:rsidRPr="00FD7399">
              <w:rPr>
                <w:rFonts w:ascii="Arial" w:eastAsia="PMingLiU" w:hAnsi="Arial" w:cs="Arial"/>
                <w:lang w:eastAsia="zh-TW"/>
              </w:rPr>
              <w:t>biopłynów</w:t>
            </w:r>
            <w:proofErr w:type="spellEnd"/>
            <w:r w:rsidRPr="00FD7399">
              <w:rPr>
                <w:rFonts w:ascii="Arial" w:eastAsia="PMingLiU" w:hAnsi="Arial" w:cs="Arial"/>
                <w:lang w:eastAsia="zh-TW"/>
              </w:rPr>
              <w:t>.</w:t>
            </w:r>
          </w:p>
        </w:tc>
      </w:tr>
      <w:tr w:rsidR="00BF1795" w:rsidRPr="00FD7399" w14:paraId="668BEF0F" w14:textId="77777777" w:rsidTr="00FE715E">
        <w:tc>
          <w:tcPr>
            <w:tcW w:w="846" w:type="dxa"/>
            <w:vAlign w:val="center"/>
          </w:tcPr>
          <w:p w14:paraId="0810D4BC" w14:textId="69062099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7483B11" w14:textId="30E4D06F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Dodatkowa zdolność wytwarzania energii cieplnej ze źródeł OZE</w:t>
            </w:r>
          </w:p>
        </w:tc>
        <w:tc>
          <w:tcPr>
            <w:tcW w:w="1417" w:type="dxa"/>
            <w:vAlign w:val="center"/>
          </w:tcPr>
          <w:p w14:paraId="290EE2CE" w14:textId="0C93F84B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MW</w:t>
            </w:r>
          </w:p>
        </w:tc>
        <w:tc>
          <w:tcPr>
            <w:tcW w:w="8647" w:type="dxa"/>
            <w:vAlign w:val="center"/>
          </w:tcPr>
          <w:p w14:paraId="494E93E1" w14:textId="4B635201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Wskaźnik obejmuje dodatkową zdolność produkcyjną energii cieplnej ze źródeł odnawialnych. Zdolność produkcyjna jest rozumiana jako maksymalna moc zainstalowana. Zgodnie z dyrektywą 2018/2011 oraz ustawą z dnia 20 lutego 2015 r. o odnawialnych źródłach energii, energia odnawialna oznacza odnawialne, niekopalne źródła energii obejmujące: energię wiatru, energię promieniowania słonecznego, energię </w:t>
            </w:r>
            <w:proofErr w:type="spellStart"/>
            <w:r w:rsidRPr="00FD7399">
              <w:rPr>
                <w:rFonts w:ascii="Arial" w:hAnsi="Arial" w:cs="Arial"/>
              </w:rPr>
              <w:t>aerotermalną</w:t>
            </w:r>
            <w:proofErr w:type="spellEnd"/>
            <w:r w:rsidRPr="00FD7399">
              <w:rPr>
                <w:rFonts w:ascii="Arial" w:hAnsi="Arial" w:cs="Arial"/>
              </w:rPr>
              <w:t xml:space="preserve">, energię geotermalną, energię hydrotermalną, hydroenergię, energię fal, prądów i pływów morskich, energię otrzymywaną z biomasy, biogazu, biogazu rolniczego oraz z </w:t>
            </w:r>
            <w:proofErr w:type="spellStart"/>
            <w:r w:rsidRPr="00FD7399">
              <w:rPr>
                <w:rFonts w:ascii="Arial" w:hAnsi="Arial" w:cs="Arial"/>
              </w:rPr>
              <w:t>biopłynów</w:t>
            </w:r>
            <w:proofErr w:type="spellEnd"/>
            <w:r w:rsidRPr="00FD739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Wskaźnik dotyczy m.in.  pomp ciepła, klimatyzatorów, które są traktowane jak pompy ciepła, kolektorów słonecznych.</w:t>
            </w:r>
          </w:p>
        </w:tc>
      </w:tr>
      <w:tr w:rsidR="00BF1795" w:rsidRPr="00FD7399" w14:paraId="6C144C53" w14:textId="77777777" w:rsidTr="00FE715E">
        <w:tc>
          <w:tcPr>
            <w:tcW w:w="846" w:type="dxa"/>
            <w:vAlign w:val="center"/>
          </w:tcPr>
          <w:p w14:paraId="38C212AB" w14:textId="2B1D8385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0852F700" w14:textId="1215A403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Dodatkowa zdolność wytwarzania energii elektrycznej w warunkach wysokosprawnej kogeneracji</w:t>
            </w:r>
          </w:p>
        </w:tc>
        <w:tc>
          <w:tcPr>
            <w:tcW w:w="1417" w:type="dxa"/>
            <w:vAlign w:val="center"/>
          </w:tcPr>
          <w:p w14:paraId="71DA7C69" w14:textId="327A095D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MW</w:t>
            </w:r>
          </w:p>
        </w:tc>
        <w:tc>
          <w:tcPr>
            <w:tcW w:w="8647" w:type="dxa"/>
            <w:vAlign w:val="center"/>
          </w:tcPr>
          <w:p w14:paraId="65E3B7F0" w14:textId="7680435A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Wskaźnik obejmuje dodatkową zdolność produkcyjną energii elektrycznej w warunkach wysokosprawnej kogeneracji. Zdolność produkcyjna jest rozumiana jako maksymalna moc zainstalowana. </w:t>
            </w:r>
            <w:r w:rsidRPr="00FD7399">
              <w:rPr>
                <w:rFonts w:ascii="Arial" w:hAnsi="Arial" w:cs="Arial"/>
              </w:rPr>
              <w:br/>
              <w:t xml:space="preserve">Wysokosprawna kogeneracja - wytwarzanie energii elektrycznej lub mechanicznej </w:t>
            </w:r>
            <w:r w:rsidRPr="00FD7399">
              <w:rPr>
                <w:rFonts w:ascii="Arial" w:hAnsi="Arial" w:cs="Arial"/>
              </w:rPr>
              <w:br/>
              <w:t xml:space="preserve">i ciepła użytkowego w kogeneracji, które zapewnia oszczędność energii pierwotnej </w:t>
            </w:r>
            <w:r w:rsidRPr="00FD7399">
              <w:rPr>
                <w:rFonts w:ascii="Arial" w:hAnsi="Arial" w:cs="Arial"/>
              </w:rPr>
              <w:lastRenderedPageBreak/>
              <w:t>zużywanej w:</w:t>
            </w:r>
            <w:r w:rsidRPr="00FD7399">
              <w:rPr>
                <w:rFonts w:ascii="Arial" w:hAnsi="Arial" w:cs="Arial"/>
              </w:rPr>
              <w:br/>
              <w:t xml:space="preserve">a) jednostce kogeneracji w wysokości nie mniejszej niż 10% w porównaniu </w:t>
            </w:r>
            <w:r w:rsidRPr="00FD7399">
              <w:rPr>
                <w:rFonts w:ascii="Arial" w:hAnsi="Arial" w:cs="Arial"/>
              </w:rPr>
              <w:br/>
              <w:t xml:space="preserve">z wytwarzaniem energii elektrycznej i ciepła w układach rozdzielonych </w:t>
            </w:r>
            <w:r w:rsidRPr="00FD7399">
              <w:rPr>
                <w:rFonts w:ascii="Arial" w:hAnsi="Arial" w:cs="Arial"/>
              </w:rPr>
              <w:br/>
              <w:t>o referencyjnych wartościach sprawności dla wytwarzania rozdzielonego</w:t>
            </w:r>
            <w:r w:rsidRPr="00FD7399">
              <w:rPr>
                <w:rFonts w:ascii="Arial" w:hAnsi="Arial" w:cs="Arial"/>
              </w:rPr>
              <w:br/>
              <w:t>lub</w:t>
            </w:r>
            <w:r w:rsidRPr="00FD7399">
              <w:rPr>
                <w:rFonts w:ascii="Arial" w:hAnsi="Arial" w:cs="Arial"/>
              </w:rPr>
              <w:br/>
              <w:t>b) jednostce kogeneracji o mocy zainstalowanej elektrycznej poniżej 1 MW w porównaniu z wytwarzaniem energii elektrycznej i ciepła w układach rozdzielonych</w:t>
            </w:r>
            <w:r w:rsidRPr="00FD7399">
              <w:rPr>
                <w:rFonts w:ascii="Arial" w:hAnsi="Arial" w:cs="Arial"/>
              </w:rPr>
              <w:br/>
              <w:t>o referencyjnych wartościach sprawności dla wytwarzania rozdzielonego</w:t>
            </w:r>
            <w:r w:rsidRPr="00FD7399">
              <w:rPr>
                <w:rFonts w:ascii="Arial" w:hAnsi="Arial" w:cs="Arial"/>
              </w:rPr>
              <w:br/>
              <w:t>(na podstawie ustawy z dnia 10 kwietnia 1997 r. – Prawo energetyczne).</w:t>
            </w:r>
          </w:p>
        </w:tc>
      </w:tr>
      <w:tr w:rsidR="00BF1795" w:rsidRPr="00FD7399" w14:paraId="71A37C6A" w14:textId="77777777" w:rsidTr="00FE715E">
        <w:tc>
          <w:tcPr>
            <w:tcW w:w="846" w:type="dxa"/>
            <w:vAlign w:val="center"/>
          </w:tcPr>
          <w:p w14:paraId="4CB1D62D" w14:textId="264B5B69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D72689E" w14:textId="16450832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Dodatkowa zdolność wytwarzania energii cieplnej w warunkach wysokosprawnej kogeneracji</w:t>
            </w:r>
          </w:p>
        </w:tc>
        <w:tc>
          <w:tcPr>
            <w:tcW w:w="1417" w:type="dxa"/>
            <w:vAlign w:val="center"/>
          </w:tcPr>
          <w:p w14:paraId="0924614D" w14:textId="0A610F43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MW</w:t>
            </w:r>
          </w:p>
        </w:tc>
        <w:tc>
          <w:tcPr>
            <w:tcW w:w="8647" w:type="dxa"/>
            <w:vAlign w:val="center"/>
          </w:tcPr>
          <w:p w14:paraId="0C67CCD2" w14:textId="77777777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Wskaźnik obejmuje dodatkową zdolność produkcyjną energii cieplnej w warunkach wysokosprawnej kogeneracji. Zdolność produkcyjna jest rozumiana jako maksymalna moc zainstalowana. </w:t>
            </w:r>
            <w:r w:rsidRPr="00FD7399">
              <w:rPr>
                <w:rFonts w:ascii="Arial" w:hAnsi="Arial" w:cs="Arial"/>
              </w:rPr>
              <w:br/>
              <w:t xml:space="preserve">Wysokosprawna kogeneracja - wytwarzanie energii elektrycznej lub mechanicznej </w:t>
            </w:r>
            <w:r w:rsidRPr="00FD7399">
              <w:rPr>
                <w:rFonts w:ascii="Arial" w:hAnsi="Arial" w:cs="Arial"/>
              </w:rPr>
              <w:br/>
              <w:t>i ciepła użytkowego w kogeneracji, które zapewnia oszczędność energii pierwotnej zużywanej w:</w:t>
            </w:r>
            <w:r w:rsidRPr="00FD7399">
              <w:rPr>
                <w:rFonts w:ascii="Arial" w:hAnsi="Arial" w:cs="Arial"/>
              </w:rPr>
              <w:br/>
              <w:t xml:space="preserve">a) jednostce kogeneracji w wysokości nie mniejszej niż 10% w porównaniu </w:t>
            </w:r>
            <w:r w:rsidRPr="00FD7399">
              <w:rPr>
                <w:rFonts w:ascii="Arial" w:hAnsi="Arial" w:cs="Arial"/>
              </w:rPr>
              <w:br/>
              <w:t xml:space="preserve">z wytwarzaniem energii elektrycznej i ciepła w układach rozdzielonych </w:t>
            </w:r>
            <w:r w:rsidRPr="00FD7399">
              <w:rPr>
                <w:rFonts w:ascii="Arial" w:hAnsi="Arial" w:cs="Arial"/>
              </w:rPr>
              <w:br/>
              <w:t xml:space="preserve">o referencyjnych wartościach sprawności dla wytwarzania rozdzielonego </w:t>
            </w:r>
          </w:p>
          <w:p w14:paraId="53B569AA" w14:textId="551D0C2A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lub</w:t>
            </w:r>
            <w:r w:rsidRPr="00FD7399">
              <w:rPr>
                <w:rFonts w:ascii="Arial" w:hAnsi="Arial" w:cs="Arial"/>
              </w:rPr>
              <w:br/>
              <w:t xml:space="preserve">b) jednostce kogeneracji o mocy zainstalowanej elektrycznej poniżej 1 MW </w:t>
            </w:r>
            <w:r w:rsidRPr="00FD7399">
              <w:rPr>
                <w:rFonts w:ascii="Arial" w:hAnsi="Arial" w:cs="Arial"/>
              </w:rPr>
              <w:br/>
              <w:t xml:space="preserve">w porównaniu z wytwarzaniem energii elektrycznej i ciepła w układach rozdzielonych </w:t>
            </w:r>
            <w:r w:rsidRPr="00FD7399">
              <w:rPr>
                <w:rFonts w:ascii="Arial" w:hAnsi="Arial" w:cs="Arial"/>
              </w:rPr>
              <w:br/>
              <w:t>o referencyjnych wartościach sprawności dla wytwarzania rozdzielonego</w:t>
            </w:r>
            <w:r w:rsidRPr="00FD7399">
              <w:rPr>
                <w:rFonts w:ascii="Arial" w:hAnsi="Arial" w:cs="Arial"/>
              </w:rPr>
              <w:br/>
              <w:t>(na podstawie ustawy z dnia 10 kwietnia 1997 r. – Prawo energetyczne).</w:t>
            </w:r>
          </w:p>
        </w:tc>
      </w:tr>
      <w:tr w:rsidR="00BF1795" w:rsidRPr="00FD7399" w14:paraId="73093877" w14:textId="77777777" w:rsidTr="00FE715E">
        <w:tc>
          <w:tcPr>
            <w:tcW w:w="846" w:type="dxa"/>
            <w:vAlign w:val="center"/>
          </w:tcPr>
          <w:p w14:paraId="47D1CE0C" w14:textId="33FE99AC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6DA7348" w14:textId="0BA20E6D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Liczba wybudowanych jednostek wytwarzania energii elektrycznej z OZE</w:t>
            </w:r>
          </w:p>
        </w:tc>
        <w:tc>
          <w:tcPr>
            <w:tcW w:w="1417" w:type="dxa"/>
            <w:vAlign w:val="center"/>
          </w:tcPr>
          <w:p w14:paraId="15857198" w14:textId="15476B96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51C60FF6" w14:textId="31A4C151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Wskaźnik obejmuje wybudowane, w wyniku realizacji projektu, jednostki służące wytwarzaniu energii elektrycznej ze źródeł odnawialnych. </w:t>
            </w:r>
          </w:p>
          <w:p w14:paraId="3B637EEE" w14:textId="25324094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Jednostka wytwarzania energii elektrycznej obejmuje, w </w:t>
            </w:r>
            <w:r w:rsidRPr="00A8685A">
              <w:rPr>
                <w:rFonts w:ascii="Arial" w:hAnsi="Arial" w:cs="Arial"/>
              </w:rPr>
              <w:t>przypadku wielorodzinnych budynków mieszkalnych: zespół urządzeń służących do wytwarzania energii elektrycznej z OZE.</w:t>
            </w:r>
          </w:p>
        </w:tc>
      </w:tr>
      <w:tr w:rsidR="00BF1795" w:rsidRPr="00FD7399" w14:paraId="3009E4D8" w14:textId="77777777" w:rsidTr="00FE715E">
        <w:tc>
          <w:tcPr>
            <w:tcW w:w="846" w:type="dxa"/>
            <w:vAlign w:val="center"/>
          </w:tcPr>
          <w:p w14:paraId="1185E021" w14:textId="495A1CBF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7F41379" w14:textId="5C363052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Liczba zmodernizowanych jednostek wytwarzania energii elektrycznej z OZE</w:t>
            </w:r>
          </w:p>
        </w:tc>
        <w:tc>
          <w:tcPr>
            <w:tcW w:w="1417" w:type="dxa"/>
            <w:vAlign w:val="center"/>
          </w:tcPr>
          <w:p w14:paraId="499BFFB8" w14:textId="6FF705C6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3F95A441" w14:textId="77777777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Wskaźnik obejmuje zmodernizowane, w wyniku realizacji projektu, jednostki służące wytwarzaniu energii elektrycznej  ze źródeł odnawialnych. Modernizacja jednostki musi wiązać się ze zwiększeniem mocy istniejącej instalacji. </w:t>
            </w:r>
          </w:p>
          <w:p w14:paraId="00AE0BDE" w14:textId="13E43F4A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lastRenderedPageBreak/>
              <w:t xml:space="preserve">Jednostka wytwarzania energii elektrycznej </w:t>
            </w:r>
            <w:r w:rsidRPr="00A8685A">
              <w:rPr>
                <w:rFonts w:ascii="Arial" w:hAnsi="Arial" w:cs="Arial"/>
              </w:rPr>
              <w:t>obejmuje, w przypadku wielorodzinnych  budynków mieszkalnych: zespół urządzeń służą</w:t>
            </w:r>
            <w:r w:rsidRPr="00FD7399">
              <w:rPr>
                <w:rFonts w:ascii="Arial" w:hAnsi="Arial" w:cs="Arial"/>
              </w:rPr>
              <w:t>cych do wytwarzania energii elektrycznej z OZE.</w:t>
            </w:r>
          </w:p>
        </w:tc>
      </w:tr>
      <w:tr w:rsidR="00BF1795" w:rsidRPr="00FD7399" w14:paraId="1733A88B" w14:textId="77777777" w:rsidTr="00FE715E">
        <w:tc>
          <w:tcPr>
            <w:tcW w:w="846" w:type="dxa"/>
            <w:vAlign w:val="center"/>
          </w:tcPr>
          <w:p w14:paraId="02A9BB97" w14:textId="210DAD3F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48E4DAC" w14:textId="1B1A44D3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Liczba wybudowanych jednostek wytwarzania energii cieplnej z OZE</w:t>
            </w:r>
          </w:p>
        </w:tc>
        <w:tc>
          <w:tcPr>
            <w:tcW w:w="1417" w:type="dxa"/>
            <w:vAlign w:val="center"/>
          </w:tcPr>
          <w:p w14:paraId="224693B5" w14:textId="5BC1D0AA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0E68DD29" w14:textId="77777777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Wskaźnik obejmuje wybudowane, w wyniku realizacji projektu, jednostki służące wytwarzaniu energii cieplnej  ze źródeł odnawialnych. </w:t>
            </w:r>
          </w:p>
          <w:p w14:paraId="089D5788" w14:textId="33D1409E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Jednostka wytwarzania energii cieplnej obejmuje, w </w:t>
            </w:r>
            <w:r w:rsidRPr="00A8685A">
              <w:rPr>
                <w:rFonts w:ascii="Arial" w:hAnsi="Arial" w:cs="Arial"/>
              </w:rPr>
              <w:t>przypadku wielorodzinnych  budynków mieszkalnych: zespół urządzeń służących do wytwarzania energii cieplnej z OZE</w:t>
            </w:r>
            <w:r>
              <w:rPr>
                <w:rFonts w:ascii="Arial" w:hAnsi="Arial" w:cs="Arial"/>
              </w:rPr>
              <w:t xml:space="preserve"> np.</w:t>
            </w:r>
            <w:r w:rsidRPr="00A8685A">
              <w:rPr>
                <w:rFonts w:ascii="Arial" w:hAnsi="Arial" w:cs="Arial"/>
              </w:rPr>
              <w:t xml:space="preserve"> pomp</w:t>
            </w:r>
            <w:r>
              <w:rPr>
                <w:rFonts w:ascii="Arial" w:hAnsi="Arial" w:cs="Arial"/>
              </w:rPr>
              <w:t>y ciepła, klimatyzatory, kolektory słoneczne.</w:t>
            </w:r>
          </w:p>
        </w:tc>
      </w:tr>
      <w:tr w:rsidR="00BF1795" w:rsidRPr="00FD7399" w14:paraId="6010C261" w14:textId="77777777" w:rsidTr="00FE715E">
        <w:tc>
          <w:tcPr>
            <w:tcW w:w="846" w:type="dxa"/>
            <w:vAlign w:val="center"/>
          </w:tcPr>
          <w:p w14:paraId="531D84A7" w14:textId="24BC05E8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E76E06C" w14:textId="66FE587C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Liczba zmodernizowanych jednostek wytwarzania energii cieplnej z OZE</w:t>
            </w:r>
          </w:p>
        </w:tc>
        <w:tc>
          <w:tcPr>
            <w:tcW w:w="1417" w:type="dxa"/>
            <w:vAlign w:val="center"/>
          </w:tcPr>
          <w:p w14:paraId="218C5C56" w14:textId="5E46B3D4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5EE06462" w14:textId="110DAAA6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Wskaźnik obejmuje zmodernizowane, w wyniku realizacji projektu, jednostki służące wytwarzaniu energii cieplnej  ze źródeł odnawialnych. Modernizacja jednostki musi wiązać się ze zwiększeniem mocy istniejącej instalacji.</w:t>
            </w:r>
          </w:p>
          <w:p w14:paraId="20BF2590" w14:textId="3C4DD5BE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Jednostka wytwarzania energii cieplnej obejmuje, w </w:t>
            </w:r>
            <w:r w:rsidRPr="00A8685A">
              <w:rPr>
                <w:rFonts w:ascii="Arial" w:hAnsi="Arial" w:cs="Arial"/>
              </w:rPr>
              <w:t>przypadku wielorodzinnych budynków mieszkalnych: zespół urzą</w:t>
            </w:r>
            <w:r w:rsidRPr="00FD7399">
              <w:rPr>
                <w:rFonts w:ascii="Arial" w:hAnsi="Arial" w:cs="Arial"/>
              </w:rPr>
              <w:t>dzeń służących do wytwarzania energii cieplnej z OZE</w:t>
            </w:r>
            <w:r>
              <w:rPr>
                <w:rFonts w:ascii="Arial" w:hAnsi="Arial" w:cs="Arial"/>
              </w:rPr>
              <w:t xml:space="preserve"> np.</w:t>
            </w:r>
            <w:r w:rsidRPr="00A8685A">
              <w:rPr>
                <w:rFonts w:ascii="Arial" w:hAnsi="Arial" w:cs="Arial"/>
              </w:rPr>
              <w:t xml:space="preserve"> pomp</w:t>
            </w:r>
            <w:r>
              <w:rPr>
                <w:rFonts w:ascii="Arial" w:hAnsi="Arial" w:cs="Arial"/>
              </w:rPr>
              <w:t>y ciepła, klimatyzatory, kolektory słoneczne.</w:t>
            </w:r>
          </w:p>
        </w:tc>
      </w:tr>
      <w:tr w:rsidR="00BF1795" w:rsidRPr="00FD7399" w14:paraId="6F297C50" w14:textId="77777777" w:rsidTr="00FE715E">
        <w:tc>
          <w:tcPr>
            <w:tcW w:w="846" w:type="dxa"/>
            <w:vAlign w:val="center"/>
          </w:tcPr>
          <w:p w14:paraId="193F3DEE" w14:textId="5C3B5BB6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A3797F2" w14:textId="6047F5D0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Liczba obiektów dostosowanych do potrzeb osób z niepełnosprawnościami (EFRR/FST/FS)</w:t>
            </w:r>
          </w:p>
        </w:tc>
        <w:tc>
          <w:tcPr>
            <w:tcW w:w="1417" w:type="dxa"/>
            <w:vAlign w:val="center"/>
          </w:tcPr>
          <w:p w14:paraId="31CCF981" w14:textId="58004571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1F8C947F" w14:textId="67DFECB2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   Jako obiekty należy rozumieć konstrukcje połączone z gruntem w sposób trwały, wykonane z materiałów budowlanych i elementów składowych, będące wynikiem prac budowlanych (wg def. PKOB). Należy podać liczbę obiektów, a nie sprzętów, urządzeń itp., w które obiekty zaopatrzono. Jeśli </w:t>
            </w:r>
            <w:r>
              <w:rPr>
                <w:rFonts w:ascii="Arial" w:hAnsi="Arial" w:cs="Arial"/>
              </w:rPr>
              <w:t>wniosek dotyczy</w:t>
            </w:r>
            <w:r w:rsidRPr="00FD7399">
              <w:rPr>
                <w:rFonts w:ascii="Arial" w:hAnsi="Arial" w:cs="Arial"/>
              </w:rPr>
              <w:t xml:space="preserve"> kilku obiektów, należy zliczyć wszystkie, które dostosowano do potrzeb osób z niepełnosprawnościami. Wskaźnik mierzony w momencie rozliczenia wydatku związanego z wyposażeniem obiektów w rozwiązania służące osobom z niepełnosprawnościami w ramach danego projektu.</w:t>
            </w:r>
          </w:p>
        </w:tc>
      </w:tr>
      <w:tr w:rsidR="00BF1795" w:rsidRPr="00FD7399" w14:paraId="252F5E7B" w14:textId="77777777" w:rsidTr="00FE715E">
        <w:tc>
          <w:tcPr>
            <w:tcW w:w="846" w:type="dxa"/>
            <w:vAlign w:val="center"/>
          </w:tcPr>
          <w:p w14:paraId="7B2B94BC" w14:textId="77777777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1F5F2E5" w14:textId="4BBD7B18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B5D0B">
              <w:rPr>
                <w:rFonts w:ascii="Arial" w:hAnsi="Arial" w:cs="Arial"/>
              </w:rPr>
              <w:t xml:space="preserve">Liczba projektów, w których sfinansowano koszty racjonalnych usprawnień dla osób z </w:t>
            </w:r>
            <w:r w:rsidRPr="00FB5D0B">
              <w:rPr>
                <w:rFonts w:ascii="Arial" w:hAnsi="Arial" w:cs="Arial"/>
              </w:rPr>
              <w:lastRenderedPageBreak/>
              <w:t>niepełnosprawnościami (EFRR/FST/FS)</w:t>
            </w:r>
          </w:p>
        </w:tc>
        <w:tc>
          <w:tcPr>
            <w:tcW w:w="1417" w:type="dxa"/>
            <w:vAlign w:val="center"/>
          </w:tcPr>
          <w:p w14:paraId="63742C1B" w14:textId="3F281C2A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B5D0B">
              <w:rPr>
                <w:rFonts w:ascii="Arial" w:hAnsi="Arial" w:cs="Arial"/>
              </w:rPr>
              <w:lastRenderedPageBreak/>
              <w:t>szt.</w:t>
            </w:r>
          </w:p>
        </w:tc>
        <w:tc>
          <w:tcPr>
            <w:tcW w:w="8647" w:type="dxa"/>
            <w:vAlign w:val="center"/>
          </w:tcPr>
          <w:p w14:paraId="173AF989" w14:textId="1128DC59" w:rsidR="00017017" w:rsidRDefault="00017017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t xml:space="preserve">Racjonalne usprawnienie oznacza konieczne i odpowiednie zmiany oraz dostosowania, nie nakładające nieproporcjonalnego lub nadmiernego obciążenia, rozpatrywane osobno dla każdego  konkretnego przypadku, w celu zapewnienia osobom z niepełnosprawnościami możliwości korzystania  z wszelkich praw człowieka </w:t>
            </w:r>
            <w:r w:rsidRPr="00A00521">
              <w:rPr>
                <w:rFonts w:ascii="Arial" w:hAnsi="Arial" w:cs="Arial"/>
              </w:rPr>
              <w:lastRenderedPageBreak/>
              <w:t>i podstawowych wolności oraz ich wykonywania na zasadzie równości z innymi osobami. Wskaźnik mierzony w momencie rozliczenia wydatku związanego z racjonalnymi usprawnieniami w  ramach danego projektu. Przykłady racjonalnych usprawnień: tłumacz języka migowego, transport niskopodłogowy, dostosowanie infrastruktury (nie tylko budynku, ale też dostosowanie infrastruktury komputerowej np. programy powiększające, mówiące, drukarki materiałów w alfabecie Braille'a), osoby asystujące, odpowiednie dostosowanie wyżywienia. Do wskaźnika powinny zostać wliczone zarówno projekty ogólnodostępne, w których sfinansowano koszty racjonalnych usprawnień, jak i dedykowane (zgodnie z kategoryzacją projektów z  Wytycznych w zakresie realizacji zasad równościowych  w ramach funduszy unijnych na lata 2021-2027). Na poziomie projektu wskaźnik może przyjmować maksymalną wartość 1 - co oznacza jeden projekt, w którym sfinansowano koszty racjonalnych usprawnień dla osób z niepełnosprawnościami. Liczba sfinansowanych racjonalnych usprawnień, w ramach projektu, nie ma znaczenia dla wartości wykazywanej we wskaźniku. Definicja na podstawie: Wytyczne w zakresie realizacji zasad równościowych  w ramach funduszy unijnych na lata 2021-2027.</w:t>
            </w:r>
          </w:p>
          <w:p w14:paraId="753519BA" w14:textId="77777777" w:rsidR="00017017" w:rsidRDefault="00017017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14:paraId="36FCCA75" w14:textId="7685F409" w:rsidR="00BF1795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wniosku o dofinansowanie na etapie oceny należy podać </w:t>
            </w:r>
            <w:r w:rsidRPr="00580962">
              <w:rPr>
                <w:rFonts w:ascii="Arial" w:hAnsi="Arial" w:cs="Arial"/>
              </w:rPr>
              <w:t>wartość docelową „0”.</w:t>
            </w:r>
          </w:p>
          <w:p w14:paraId="7ACCFDBE" w14:textId="5390FFEF" w:rsidR="00BF1795" w:rsidRPr="00E8425C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t xml:space="preserve">Wskaźnik mierzony </w:t>
            </w:r>
            <w:r>
              <w:rPr>
                <w:rFonts w:ascii="Arial" w:hAnsi="Arial" w:cs="Arial"/>
              </w:rPr>
              <w:t xml:space="preserve">jest </w:t>
            </w:r>
            <w:r w:rsidRPr="00A00521">
              <w:rPr>
                <w:rFonts w:ascii="Arial" w:hAnsi="Arial" w:cs="Arial"/>
              </w:rPr>
              <w:t>w momencie rozliczenia wydatku związanego z racjonalnymi usprawnieniami w ramach danego projektu</w:t>
            </w:r>
            <w:r>
              <w:rPr>
                <w:rFonts w:ascii="Arial" w:hAnsi="Arial" w:cs="Arial"/>
              </w:rPr>
              <w:t xml:space="preserve"> i wówczas wskaźnik może przyjąć wartość „1”.</w:t>
            </w:r>
            <w:r w:rsidRPr="00A00521">
              <w:rPr>
                <w:rFonts w:ascii="Arial" w:hAnsi="Arial" w:cs="Arial"/>
              </w:rPr>
              <w:t xml:space="preserve"> </w:t>
            </w:r>
          </w:p>
        </w:tc>
      </w:tr>
      <w:tr w:rsidR="00BF1795" w:rsidRPr="00FD7399" w14:paraId="6575CD77" w14:textId="77777777" w:rsidTr="00FE715E">
        <w:tc>
          <w:tcPr>
            <w:tcW w:w="846" w:type="dxa"/>
            <w:vAlign w:val="center"/>
          </w:tcPr>
          <w:p w14:paraId="725B3C1A" w14:textId="6C3A4B6D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11DA7FC" w14:textId="045321E6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Liczba powstałych magazynów energii cieplnej</w:t>
            </w:r>
          </w:p>
        </w:tc>
        <w:tc>
          <w:tcPr>
            <w:tcW w:w="1417" w:type="dxa"/>
            <w:vAlign w:val="center"/>
          </w:tcPr>
          <w:p w14:paraId="59C22FCF" w14:textId="71A680E7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09B0FA0F" w14:textId="0BEFF72E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Magazyn energii cieplnej - wyodrębniona instalacja służąca do przechowywania energii cieplnej w dowolnej postaci, w sposób pozwalający na, co najmniej częściowe jej </w:t>
            </w:r>
            <w:r w:rsidRPr="00A11850">
              <w:rPr>
                <w:rFonts w:ascii="Arial" w:hAnsi="Arial" w:cs="Arial"/>
              </w:rPr>
              <w:t xml:space="preserve">odzyskanie. Mogą to być </w:t>
            </w:r>
            <w:r>
              <w:rPr>
                <w:rFonts w:ascii="Arial" w:hAnsi="Arial" w:cs="Arial"/>
              </w:rPr>
              <w:t xml:space="preserve">np. </w:t>
            </w:r>
            <w:r w:rsidRPr="00A11850">
              <w:rPr>
                <w:rFonts w:ascii="Arial" w:hAnsi="Arial" w:cs="Arial"/>
              </w:rPr>
              <w:t>zbiorniki</w:t>
            </w:r>
            <w:r>
              <w:rPr>
                <w:rFonts w:ascii="Arial" w:hAnsi="Arial" w:cs="Arial"/>
              </w:rPr>
              <w:t>,</w:t>
            </w:r>
            <w:r w:rsidRPr="00A11850">
              <w:rPr>
                <w:rFonts w:ascii="Arial" w:hAnsi="Arial" w:cs="Arial"/>
              </w:rPr>
              <w:t xml:space="preserve"> które magazynują energię w instalacji c.o</w:t>
            </w:r>
            <w:r>
              <w:rPr>
                <w:rFonts w:ascii="Arial" w:hAnsi="Arial" w:cs="Arial"/>
              </w:rPr>
              <w:t>.,</w:t>
            </w:r>
            <w:r w:rsidRPr="00A11850">
              <w:rPr>
                <w:rFonts w:ascii="Arial" w:hAnsi="Arial" w:cs="Arial"/>
              </w:rPr>
              <w:t xml:space="preserve">  c.w.u</w:t>
            </w:r>
            <w:r>
              <w:rPr>
                <w:rFonts w:ascii="Arial" w:hAnsi="Arial" w:cs="Arial"/>
              </w:rPr>
              <w:t>.</w:t>
            </w:r>
          </w:p>
        </w:tc>
      </w:tr>
      <w:tr w:rsidR="00BF1795" w:rsidRPr="00FD7399" w14:paraId="057102C1" w14:textId="77777777" w:rsidTr="00FE715E">
        <w:tc>
          <w:tcPr>
            <w:tcW w:w="846" w:type="dxa"/>
            <w:vAlign w:val="center"/>
          </w:tcPr>
          <w:p w14:paraId="79E785A3" w14:textId="136C8D89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1FEB534" w14:textId="06CB4209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Liczba powstałych magazynów energii elektrycznej</w:t>
            </w:r>
          </w:p>
        </w:tc>
        <w:tc>
          <w:tcPr>
            <w:tcW w:w="1417" w:type="dxa"/>
            <w:vAlign w:val="center"/>
          </w:tcPr>
          <w:p w14:paraId="637A5073" w14:textId="0DB2330E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666D2D55" w14:textId="3C462DBD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Wskaźnik dotyczy magazynów energii elektrycznej zdefiniowanych w Ustawie z dnia 10 kwietnia 1997 r. Prawo energetyczne, zgodnie z art. 3 pkt 10k), tj. instalacji umożliwiających magazynowanie energii elektrycznej i wprowadzenie jej do sieci elektroenergetycznej, a także instalacji OZE, obejmujących magazynowanie energii elektrycznej w systemach off-</w:t>
            </w:r>
            <w:proofErr w:type="spellStart"/>
            <w:r w:rsidRPr="00FD7399">
              <w:rPr>
                <w:rFonts w:ascii="Arial" w:hAnsi="Arial" w:cs="Arial"/>
              </w:rPr>
              <w:t>grid</w:t>
            </w:r>
            <w:proofErr w:type="spellEnd"/>
            <w:r w:rsidRPr="00FD7399">
              <w:rPr>
                <w:rFonts w:ascii="Arial" w:hAnsi="Arial" w:cs="Arial"/>
              </w:rPr>
              <w:t>.</w:t>
            </w:r>
          </w:p>
        </w:tc>
      </w:tr>
      <w:tr w:rsidR="00BF1795" w:rsidRPr="00FD7399" w14:paraId="0795825A" w14:textId="77777777" w:rsidTr="00FE715E">
        <w:tc>
          <w:tcPr>
            <w:tcW w:w="846" w:type="dxa"/>
            <w:vAlign w:val="center"/>
          </w:tcPr>
          <w:p w14:paraId="537B6495" w14:textId="467E7AD7" w:rsidR="00BF1795" w:rsidRPr="00FD7399" w:rsidRDefault="00BF1795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FCE9872" w14:textId="152AFD06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Liczba obiektów podłączonych do sieci ciepłowniczej lub gazowej</w:t>
            </w:r>
          </w:p>
        </w:tc>
        <w:tc>
          <w:tcPr>
            <w:tcW w:w="1417" w:type="dxa"/>
            <w:vAlign w:val="center"/>
          </w:tcPr>
          <w:p w14:paraId="73BB31F7" w14:textId="46E37FE8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6F78C7CA" w14:textId="5EA3ACEC" w:rsidR="00BF1795" w:rsidRPr="00FD7399" w:rsidRDefault="00BF1795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Wskaźnik obejmuje obiekty podłączone w efekcie projektu do sieci ciepłowniczej lub gazowej, w których likwidowane są źródła na paliwa stałe (lokalne). Podłączenie obiektu do sieci gazowej (przy przejściu z węgla na gaz), możliwe w projekcie wyłącznie pod warunkiem braku możliwości technicznej lub opłacalności ekonomicznej przyłączenia do sieci ciepłowniczej lub braku możliwości instalacji zasilanej z odnawialnych źródeł energii.</w:t>
            </w:r>
          </w:p>
        </w:tc>
      </w:tr>
      <w:tr w:rsidR="00057736" w:rsidRPr="00FD7399" w14:paraId="1E57E44E" w14:textId="77777777" w:rsidTr="00FE715E">
        <w:tc>
          <w:tcPr>
            <w:tcW w:w="846" w:type="dxa"/>
            <w:vAlign w:val="center"/>
          </w:tcPr>
          <w:p w14:paraId="14C14464" w14:textId="77777777" w:rsidR="00057736" w:rsidRPr="00FD7399" w:rsidRDefault="00057736" w:rsidP="00FE715E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56965E7" w14:textId="1C802BB1" w:rsidR="00057736" w:rsidRPr="00FD7399" w:rsidRDefault="00057736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057736">
              <w:rPr>
                <w:rFonts w:ascii="Arial" w:hAnsi="Arial" w:cs="Arial"/>
              </w:rPr>
              <w:t xml:space="preserve">Liczba zmodernizowanych indywidualnych źródeł ciepła  </w:t>
            </w:r>
          </w:p>
        </w:tc>
        <w:tc>
          <w:tcPr>
            <w:tcW w:w="1417" w:type="dxa"/>
            <w:vAlign w:val="center"/>
          </w:tcPr>
          <w:p w14:paraId="477723E3" w14:textId="35140241" w:rsidR="00057736" w:rsidRPr="00FD7399" w:rsidRDefault="00057736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647" w:type="dxa"/>
            <w:vAlign w:val="center"/>
          </w:tcPr>
          <w:p w14:paraId="5BB8694C" w14:textId="77777777" w:rsidR="00057736" w:rsidRDefault="00057736" w:rsidP="0005773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7736">
              <w:rPr>
                <w:rFonts w:ascii="Arial" w:hAnsi="Arial" w:cs="Arial"/>
                <w:color w:val="000000"/>
              </w:rPr>
              <w:t>Liczba zmodernizowanych indywidualnych źródeł ciepła polegająca na wymianie indywidualnego źródła ogrzewania 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57736">
              <w:rPr>
                <w:rFonts w:ascii="Arial" w:hAnsi="Arial" w:cs="Arial"/>
                <w:color w:val="000000"/>
              </w:rPr>
              <w:t xml:space="preserve">nowe nisko lub zeroemisyjne lub na podłączeniu do sieci ciepłowniczej.  </w:t>
            </w:r>
            <w:r w:rsidRPr="00057736">
              <w:rPr>
                <w:rFonts w:ascii="Arial" w:hAnsi="Arial" w:cs="Arial"/>
                <w:color w:val="000000"/>
              </w:rPr>
              <w:br/>
              <w:t xml:space="preserve">Do wartości wskaźnika należy wliczyć liczbę wykonanych modernizacji. </w:t>
            </w:r>
            <w:r w:rsidRPr="00057736">
              <w:rPr>
                <w:rFonts w:ascii="Arial" w:hAnsi="Arial" w:cs="Arial"/>
                <w:color w:val="000000"/>
              </w:rPr>
              <w:br/>
              <w:t xml:space="preserve">W przypadku projektów polegających na podłączeniu do sieci ciepłowniczej budynków wielorodzinnych z lokalami mieszkalnymi wyposażonymi w piece / </w:t>
            </w:r>
            <w:proofErr w:type="spellStart"/>
            <w:r w:rsidRPr="00057736">
              <w:rPr>
                <w:rFonts w:ascii="Arial" w:hAnsi="Arial" w:cs="Arial"/>
                <w:color w:val="000000"/>
              </w:rPr>
              <w:t>nieekologiczne</w:t>
            </w:r>
            <w:proofErr w:type="spellEnd"/>
            <w:r w:rsidRPr="00057736">
              <w:rPr>
                <w:rFonts w:ascii="Arial" w:hAnsi="Arial" w:cs="Arial"/>
                <w:color w:val="000000"/>
              </w:rPr>
              <w:t xml:space="preserve"> źródła ciepła, przez modernizację należy rozumieć likwidację pieców / </w:t>
            </w:r>
            <w:proofErr w:type="spellStart"/>
            <w:r w:rsidRPr="00057736">
              <w:rPr>
                <w:rFonts w:ascii="Arial" w:hAnsi="Arial" w:cs="Arial"/>
                <w:color w:val="000000"/>
              </w:rPr>
              <w:t>nieekologicznych</w:t>
            </w:r>
            <w:proofErr w:type="spellEnd"/>
            <w:r w:rsidRPr="00057736">
              <w:rPr>
                <w:rFonts w:ascii="Arial" w:hAnsi="Arial" w:cs="Arial"/>
                <w:color w:val="000000"/>
              </w:rPr>
              <w:t xml:space="preserve"> źródeł ciepła i podłączenie lokalu mieszkalnego do sieci ciepłowniczej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</w:p>
          <w:p w14:paraId="40A8948E" w14:textId="77777777" w:rsidR="00057736" w:rsidRPr="00FD7399" w:rsidRDefault="00057736" w:rsidP="00BF1795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6B14337" w14:textId="77777777" w:rsidR="00BF1795" w:rsidRPr="00FD7399" w:rsidRDefault="00BF1795" w:rsidP="000E07FF">
      <w:pPr>
        <w:spacing w:line="276" w:lineRule="auto"/>
      </w:pPr>
    </w:p>
    <w:p w14:paraId="2E09A5D5" w14:textId="0B043BF2" w:rsidR="00FB5F2B" w:rsidRPr="00FD7399" w:rsidRDefault="00D70932" w:rsidP="000E07FF">
      <w:pPr>
        <w:pStyle w:val="Nagwek2"/>
        <w:numPr>
          <w:ilvl w:val="0"/>
          <w:numId w:val="21"/>
        </w:numPr>
        <w:spacing w:line="276" w:lineRule="auto"/>
        <w:rPr>
          <w:rFonts w:ascii="Arial" w:hAnsi="Arial" w:cs="Arial"/>
        </w:rPr>
      </w:pPr>
      <w:r w:rsidRPr="00FD7399">
        <w:rPr>
          <w:rFonts w:ascii="Arial" w:hAnsi="Arial" w:cs="Arial"/>
        </w:rPr>
        <w:t>Wskaźniki rezultatu</w:t>
      </w:r>
    </w:p>
    <w:p w14:paraId="0B812FCF" w14:textId="77777777" w:rsidR="00D70932" w:rsidRPr="00D70932" w:rsidRDefault="00D70932" w:rsidP="000E07FF">
      <w:pPr>
        <w:pStyle w:val="Akapitzlist"/>
        <w:spacing w:line="276" w:lineRule="auto"/>
      </w:pPr>
    </w:p>
    <w:tbl>
      <w:tblPr>
        <w:tblStyle w:val="Tabela-Siatka"/>
        <w:tblpPr w:leftFromText="141" w:rightFromText="141" w:vertAnchor="text" w:tblpX="-10" w:tblpY="1"/>
        <w:tblOverlap w:val="never"/>
        <w:tblW w:w="0" w:type="auto"/>
        <w:tblLook w:val="04A0" w:firstRow="1" w:lastRow="0" w:firstColumn="1" w:lastColumn="0" w:noHBand="0" w:noVBand="1"/>
        <w:tblCaption w:val="Tabela wskaźniki rezultatu"/>
        <w:tblDescription w:val="Tabela zawiera wskaźniki rezultatu, w tym nazwy wskaźników, jednostki miary oraz definicje poszczególnych wsakźników."/>
      </w:tblPr>
      <w:tblGrid>
        <w:gridCol w:w="846"/>
        <w:gridCol w:w="2977"/>
        <w:gridCol w:w="1417"/>
        <w:gridCol w:w="8647"/>
      </w:tblGrid>
      <w:tr w:rsidR="00285C8C" w14:paraId="6932E9FC" w14:textId="77777777" w:rsidTr="00B90E66">
        <w:trPr>
          <w:tblHeader/>
        </w:trPr>
        <w:tc>
          <w:tcPr>
            <w:tcW w:w="846" w:type="dxa"/>
            <w:vAlign w:val="center"/>
          </w:tcPr>
          <w:p w14:paraId="2D4B19CB" w14:textId="5003D525" w:rsidR="00285C8C" w:rsidRDefault="00285C8C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977" w:type="dxa"/>
            <w:vAlign w:val="center"/>
          </w:tcPr>
          <w:p w14:paraId="3529466E" w14:textId="3E14C42F" w:rsidR="00285C8C" w:rsidRPr="00385A7E" w:rsidRDefault="00285C8C" w:rsidP="000E07FF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0D2CEC">
              <w:rPr>
                <w:rFonts w:ascii="Arial" w:hAnsi="Arial" w:cs="Arial"/>
              </w:rPr>
              <w:t>Nazwa wskaźnika</w:t>
            </w:r>
          </w:p>
        </w:tc>
        <w:tc>
          <w:tcPr>
            <w:tcW w:w="1417" w:type="dxa"/>
            <w:vAlign w:val="center"/>
          </w:tcPr>
          <w:p w14:paraId="0B7FC0F5" w14:textId="3DB70D73" w:rsidR="00285C8C" w:rsidRDefault="00285C8C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Jednostka miary</w:t>
            </w:r>
          </w:p>
        </w:tc>
        <w:tc>
          <w:tcPr>
            <w:tcW w:w="8647" w:type="dxa"/>
            <w:vAlign w:val="center"/>
          </w:tcPr>
          <w:p w14:paraId="3F1A260F" w14:textId="467687D4" w:rsidR="00285C8C" w:rsidRPr="00385A7E" w:rsidRDefault="00285C8C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efinicja</w:t>
            </w:r>
          </w:p>
        </w:tc>
      </w:tr>
      <w:tr w:rsidR="00FD7399" w14:paraId="3D203ED1" w14:textId="77777777" w:rsidTr="000E30A8">
        <w:trPr>
          <w:trHeight w:val="563"/>
        </w:trPr>
        <w:tc>
          <w:tcPr>
            <w:tcW w:w="846" w:type="dxa"/>
            <w:vAlign w:val="center"/>
          </w:tcPr>
          <w:p w14:paraId="10E91D36" w14:textId="75EA073A" w:rsidR="00FD7399" w:rsidRDefault="00FD7399" w:rsidP="00FD7399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977" w:type="dxa"/>
            <w:vAlign w:val="center"/>
          </w:tcPr>
          <w:p w14:paraId="5A1247CE" w14:textId="685BB977" w:rsidR="00FD7399" w:rsidRPr="00FD7399" w:rsidRDefault="00017017" w:rsidP="00FD7399">
            <w:pPr>
              <w:spacing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>Roczne zużycie energii pierwotnej w</w:t>
            </w:r>
            <w:r>
              <w:rPr>
                <w:rFonts w:ascii="Arial" w:hAnsi="Arial" w:cs="Arial"/>
              </w:rPr>
              <w:t>:</w:t>
            </w:r>
            <w:r w:rsidRPr="00FD7399">
              <w:rPr>
                <w:rFonts w:ascii="Arial" w:hAnsi="Arial" w:cs="Arial"/>
              </w:rPr>
              <w:t xml:space="preserve"> lokalach mieszkalnych</w:t>
            </w:r>
          </w:p>
        </w:tc>
        <w:tc>
          <w:tcPr>
            <w:tcW w:w="1417" w:type="dxa"/>
            <w:vAlign w:val="center"/>
          </w:tcPr>
          <w:p w14:paraId="0A59839B" w14:textId="14C55DFE" w:rsidR="00FD7399" w:rsidRPr="00FD7399" w:rsidRDefault="00FD7399" w:rsidP="00FD739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MWh/rok </w:t>
            </w:r>
          </w:p>
        </w:tc>
        <w:tc>
          <w:tcPr>
            <w:tcW w:w="8647" w:type="dxa"/>
            <w:vAlign w:val="center"/>
          </w:tcPr>
          <w:p w14:paraId="389C8521" w14:textId="77777777" w:rsidR="001E3905" w:rsidRDefault="00FD7399" w:rsidP="001E3905">
            <w:pPr>
              <w:spacing w:after="160" w:line="276" w:lineRule="auto"/>
              <w:rPr>
                <w:rFonts w:ascii="Arial" w:hAnsi="Arial" w:cs="Arial"/>
              </w:rPr>
            </w:pPr>
            <w:r w:rsidRPr="00FD7399">
              <w:rPr>
                <w:rFonts w:ascii="Arial" w:hAnsi="Arial" w:cs="Arial"/>
              </w:rPr>
              <w:t xml:space="preserve">Całkowite roczne zużycie energii pierwotnej podmiotów objętych wsparciem. Wartość bazowa odnosi się do rocznego zużycia energii pierwotnej przed interwencją, a osiągnięta wartość odnosi się do rocznego zużycia energii pierwotnej rok po interwencji. </w:t>
            </w:r>
          </w:p>
          <w:p w14:paraId="271A75A7" w14:textId="0D1808D5" w:rsidR="00A11850" w:rsidRPr="00FD7399" w:rsidRDefault="00A11850" w:rsidP="001E3905">
            <w:pPr>
              <w:spacing w:after="160" w:line="276" w:lineRule="auto"/>
              <w:rPr>
                <w:rFonts w:ascii="Arial" w:hAnsi="Arial" w:cs="Arial"/>
              </w:rPr>
            </w:pPr>
            <w:r w:rsidRPr="005F6DAD">
              <w:rPr>
                <w:rFonts w:ascii="Arial" w:hAnsi="Arial" w:cs="Arial"/>
              </w:rPr>
              <w:t>Na etapie ubiegania się o dofinansowanie obie wartości należy udokumentować na podstawie audytu energetycznego. Wartości wskaźnika należy obliczyć i uzasadnić w zał. 4 Uzasadnienie i kalkulacja wskaźników do wniosku o dofinansowanie</w:t>
            </w:r>
            <w:r w:rsidR="001E3905">
              <w:rPr>
                <w:rFonts w:ascii="Arial" w:hAnsi="Arial" w:cs="Arial"/>
              </w:rPr>
              <w:t xml:space="preserve"> (dane należy przyjąć zgodnie z zał. nr 1 do </w:t>
            </w:r>
            <w:r w:rsidR="001E3905">
              <w:t xml:space="preserve"> </w:t>
            </w:r>
            <w:r w:rsidR="001E3905" w:rsidRPr="001E3905">
              <w:rPr>
                <w:rFonts w:ascii="Arial" w:hAnsi="Arial" w:cs="Arial"/>
              </w:rPr>
              <w:t>Rozporządzeniem Ministra Infrastruktury z dnia 17 marca 2009 r. w sprawie szczegółowego zakresu i form audytu energetycznego</w:t>
            </w:r>
            <w:r w:rsidR="001E3905">
              <w:rPr>
                <w:rFonts w:ascii="Arial" w:hAnsi="Arial" w:cs="Arial"/>
              </w:rPr>
              <w:t xml:space="preserve"> </w:t>
            </w:r>
            <w:r w:rsidR="001E3905">
              <w:rPr>
                <w:rFonts w:ascii="Arial" w:hAnsi="Arial" w:cs="Arial"/>
              </w:rPr>
              <w:lastRenderedPageBreak/>
              <w:t>(…) – poz. 8.1 karty audytu – wskaźniki dla optymalnego wariantu przedsięwzięcia termomodernizacyjnego: EP – wskaźniki rocznego zapotrzebowania na nieodnawialną energie pierwotną [kWh/m2 x rok)], które należy przemnożyć przez powierzchnię użytkową budynku podaną w poz. 1.4 karty audytu).</w:t>
            </w:r>
            <w:r>
              <w:rPr>
                <w:rFonts w:ascii="Arial" w:hAnsi="Arial" w:cs="Arial"/>
              </w:rPr>
              <w:br/>
            </w:r>
            <w:r w:rsidRPr="005F6DAD">
              <w:rPr>
                <w:rFonts w:ascii="Arial" w:hAnsi="Arial" w:cs="Arial"/>
              </w:rPr>
              <w:t xml:space="preserve">Budynki </w:t>
            </w:r>
            <w:r>
              <w:rPr>
                <w:rFonts w:ascii="Arial" w:hAnsi="Arial" w:cs="Arial"/>
              </w:rPr>
              <w:t>wielorodzinne</w:t>
            </w:r>
            <w:r w:rsidRPr="005F6DAD">
              <w:rPr>
                <w:rFonts w:ascii="Arial" w:hAnsi="Arial" w:cs="Arial"/>
              </w:rPr>
              <w:t xml:space="preserve"> objęte naborem zdefiniowane są w p. 4.2 Regulaminu wyboru projektów.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0E30A8">
              <w:rPr>
                <w:rStyle w:val="cf01"/>
                <w:rFonts w:ascii="Arial" w:hAnsi="Arial" w:cs="Arial"/>
                <w:sz w:val="22"/>
                <w:szCs w:val="22"/>
              </w:rPr>
              <w:t xml:space="preserve">Zgodnie z p. 4.9 Regulaminu </w:t>
            </w:r>
            <w:r w:rsidRPr="000E30A8">
              <w:rPr>
                <w:rFonts w:ascii="Arial" w:hAnsi="Arial" w:cs="Arial"/>
              </w:rPr>
              <w:t>p</w:t>
            </w:r>
            <w:r w:rsidRPr="000E30A8">
              <w:rPr>
                <w:rStyle w:val="cf01"/>
                <w:rFonts w:ascii="Arial" w:hAnsi="Arial" w:cs="Arial"/>
                <w:sz w:val="22"/>
                <w:szCs w:val="22"/>
              </w:rPr>
              <w:t>o realizacji projektu, podczas opracowania wniosku o płatność końcową wymagane jest sporządzenie audytu energetycznego (ex post), który potwierdzi wykonany zakres rzeczowy oraz wartości docelowe wskaźników rezultatu (metodą obliczeniową).</w:t>
            </w:r>
          </w:p>
        </w:tc>
      </w:tr>
      <w:tr w:rsidR="00A00521" w:rsidRPr="00A00521" w14:paraId="63D030E5" w14:textId="77777777" w:rsidTr="00510BA8">
        <w:tc>
          <w:tcPr>
            <w:tcW w:w="846" w:type="dxa"/>
            <w:vAlign w:val="center"/>
          </w:tcPr>
          <w:p w14:paraId="7DF18508" w14:textId="05B3CE99" w:rsidR="00385A7E" w:rsidRPr="00A00521" w:rsidRDefault="0013095A" w:rsidP="000E07F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977" w:type="dxa"/>
            <w:vAlign w:val="center"/>
          </w:tcPr>
          <w:p w14:paraId="35898C80" w14:textId="32DC832E" w:rsidR="00385A7E" w:rsidRPr="00A00521" w:rsidRDefault="003E0B53" w:rsidP="00EE0380">
            <w:pPr>
              <w:spacing w:line="276" w:lineRule="auto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t>Szacowana emisja gazów cieplarnianych</w:t>
            </w:r>
          </w:p>
        </w:tc>
        <w:tc>
          <w:tcPr>
            <w:tcW w:w="1417" w:type="dxa"/>
            <w:vAlign w:val="center"/>
          </w:tcPr>
          <w:p w14:paraId="78DFE96E" w14:textId="37508F9B" w:rsidR="00385A7E" w:rsidRPr="00A00521" w:rsidRDefault="003E0B53" w:rsidP="000E07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t>tona ekwiwalentu CO2/rok</w:t>
            </w:r>
          </w:p>
        </w:tc>
        <w:tc>
          <w:tcPr>
            <w:tcW w:w="8647" w:type="dxa"/>
            <w:vAlign w:val="center"/>
          </w:tcPr>
          <w:p w14:paraId="410B267C" w14:textId="739586A0" w:rsidR="00385A7E" w:rsidRPr="00A00521" w:rsidRDefault="00BF3F95" w:rsidP="000E30A8">
            <w:pPr>
              <w:spacing w:line="276" w:lineRule="auto"/>
              <w:rPr>
                <w:rFonts w:ascii="Arial" w:hAnsi="Arial" w:cs="Arial"/>
                <w:kern w:val="3"/>
                <w:lang w:eastAsia="zh-CN"/>
              </w:rPr>
            </w:pPr>
            <w:r w:rsidRPr="00A00521">
              <w:rPr>
                <w:rFonts w:ascii="Arial" w:hAnsi="Arial" w:cs="Arial"/>
                <w:kern w:val="3"/>
                <w:lang w:eastAsia="zh-CN"/>
              </w:rPr>
              <w:t>Całkowita szacowana emisja gazów cieplarnianych podmiotów lub procesów objętych wsparciem. Wartość bazowa odnosi się do poziomu szacowanej emisji gazów cieplarnianych w ciągu roku przed rozpoczęciem interwencji, a osiągnięta wartość jest obliczana jako całkowita szacowana emisja gazów cieplarnianych na podstawie osiągniętego poziomu charakterystyki energetycznej w roku następującym po zakończeniu interwencji</w:t>
            </w:r>
            <w:r w:rsidR="003E0B53" w:rsidRPr="00A00521">
              <w:rPr>
                <w:rFonts w:ascii="Arial" w:hAnsi="Arial" w:cs="Arial"/>
                <w:kern w:val="3"/>
                <w:lang w:eastAsia="zh-CN"/>
              </w:rPr>
              <w:t>.</w:t>
            </w:r>
            <w:r w:rsidR="005E1CC0" w:rsidRPr="00A00521">
              <w:rPr>
                <w:rFonts w:ascii="Arial" w:hAnsi="Arial" w:cs="Arial"/>
              </w:rPr>
              <w:t xml:space="preserve"> </w:t>
            </w:r>
            <w:r w:rsidR="004A5C4E" w:rsidRPr="00A00521">
              <w:rPr>
                <w:rFonts w:ascii="Arial" w:hAnsi="Arial" w:cs="Arial"/>
              </w:rPr>
              <w:t xml:space="preserve">Na etapie ubiegania się o dofinansowanie obie wartości należy udokumentować na podstawie audytu energetycznego. </w:t>
            </w:r>
            <w:r w:rsidR="005E1CC0" w:rsidRPr="00A00521">
              <w:rPr>
                <w:rFonts w:ascii="Arial" w:hAnsi="Arial" w:cs="Arial"/>
              </w:rPr>
              <w:t>Wartoś</w:t>
            </w:r>
            <w:r w:rsidR="004A5C4E" w:rsidRPr="00A00521">
              <w:rPr>
                <w:rFonts w:ascii="Arial" w:hAnsi="Arial" w:cs="Arial"/>
              </w:rPr>
              <w:t>ci</w:t>
            </w:r>
            <w:r w:rsidR="005E1CC0" w:rsidRPr="00A00521">
              <w:rPr>
                <w:rFonts w:ascii="Arial" w:hAnsi="Arial" w:cs="Arial"/>
              </w:rPr>
              <w:t xml:space="preserve"> </w:t>
            </w:r>
            <w:r w:rsidR="005E1CC0" w:rsidRPr="00A00521">
              <w:rPr>
                <w:rStyle w:val="cf01"/>
                <w:rFonts w:ascii="Arial" w:hAnsi="Arial" w:cs="Arial"/>
                <w:sz w:val="22"/>
                <w:szCs w:val="22"/>
              </w:rPr>
              <w:t xml:space="preserve">wskaźnika należy obliczyć i uzasadnić w zał. 4 </w:t>
            </w:r>
            <w:r w:rsidR="005E1CC0" w:rsidRPr="000E30A8">
              <w:rPr>
                <w:rStyle w:val="cf01"/>
                <w:rFonts w:ascii="Arial" w:hAnsi="Arial" w:cs="Arial"/>
                <w:sz w:val="22"/>
                <w:szCs w:val="22"/>
              </w:rPr>
              <w:t>Uzasadnienie i kalkulacja wskaźników do wniosku o dofinansowanie.</w:t>
            </w:r>
            <w:r w:rsidR="004A5C4E" w:rsidRPr="000E30A8">
              <w:rPr>
                <w:rStyle w:val="cf01"/>
                <w:rFonts w:ascii="Arial" w:hAnsi="Arial" w:cs="Arial"/>
                <w:sz w:val="22"/>
                <w:szCs w:val="22"/>
              </w:rPr>
              <w:t xml:space="preserve"> </w:t>
            </w:r>
            <w:r w:rsidR="000E30A8" w:rsidRPr="00A11850">
              <w:rPr>
                <w:rStyle w:val="cf01"/>
                <w:rFonts w:ascii="Arial" w:hAnsi="Arial" w:cs="Arial"/>
                <w:sz w:val="22"/>
                <w:szCs w:val="22"/>
              </w:rPr>
              <w:t xml:space="preserve">Zgodnie z p. 4.9 Regulaminu </w:t>
            </w:r>
            <w:r w:rsidR="000E30A8" w:rsidRPr="00A11850">
              <w:rPr>
                <w:rFonts w:ascii="Arial" w:hAnsi="Arial" w:cs="Arial"/>
              </w:rPr>
              <w:t>p</w:t>
            </w:r>
            <w:r w:rsidR="000E30A8" w:rsidRPr="00A11850">
              <w:rPr>
                <w:rStyle w:val="cf01"/>
                <w:rFonts w:ascii="Arial" w:hAnsi="Arial" w:cs="Arial"/>
                <w:sz w:val="22"/>
                <w:szCs w:val="22"/>
              </w:rPr>
              <w:t>o</w:t>
            </w:r>
            <w:r w:rsidR="000E30A8" w:rsidRPr="000E30A8">
              <w:rPr>
                <w:rStyle w:val="cf01"/>
                <w:rFonts w:ascii="Arial" w:hAnsi="Arial" w:cs="Arial"/>
                <w:sz w:val="22"/>
                <w:szCs w:val="22"/>
              </w:rPr>
              <w:t xml:space="preserve"> realizacji projektu, podczas opracowania wniosku o płatność końcową wymagane jest sporządzenie audytu energetycznego (ex post), który potwierdzi wykonany zakres rzeczowy oraz wartości docelowe wskaźników rezultatu (metodą obliczeniową).</w:t>
            </w:r>
            <w:r w:rsidR="00992C7A">
              <w:rPr>
                <w:rStyle w:val="cf01"/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152E4E" w:rsidRPr="00A00521" w14:paraId="3F10C9FF" w14:textId="77777777" w:rsidTr="00510BA8">
        <w:tc>
          <w:tcPr>
            <w:tcW w:w="846" w:type="dxa"/>
            <w:vAlign w:val="center"/>
          </w:tcPr>
          <w:p w14:paraId="14DBE571" w14:textId="44B16B50" w:rsidR="00152E4E" w:rsidRPr="00A00521" w:rsidRDefault="00C7340B" w:rsidP="00152E4E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52E4E" w:rsidRPr="00A00521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977" w:type="dxa"/>
            <w:vAlign w:val="center"/>
          </w:tcPr>
          <w:p w14:paraId="52FDDB2B" w14:textId="46B6F053" w:rsidR="00152E4E" w:rsidRPr="00A00521" w:rsidRDefault="00152E4E" w:rsidP="00152E4E">
            <w:pPr>
              <w:spacing w:line="276" w:lineRule="auto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t>Ilość uzyskanych średniorocznych oszczędności energii finalnej</w:t>
            </w:r>
          </w:p>
        </w:tc>
        <w:tc>
          <w:tcPr>
            <w:tcW w:w="1417" w:type="dxa"/>
            <w:vAlign w:val="center"/>
          </w:tcPr>
          <w:p w14:paraId="6FCDE685" w14:textId="2A221E19" w:rsidR="00152E4E" w:rsidRPr="00A00521" w:rsidRDefault="00152E4E" w:rsidP="00152E4E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A00521">
              <w:rPr>
                <w:rFonts w:ascii="Arial" w:hAnsi="Arial" w:cs="Arial"/>
              </w:rPr>
              <w:t>toe</w:t>
            </w:r>
            <w:proofErr w:type="spellEnd"/>
            <w:r w:rsidRPr="00A00521">
              <w:rPr>
                <w:rFonts w:ascii="Arial" w:hAnsi="Arial" w:cs="Arial"/>
              </w:rPr>
              <w:t>/rok</w:t>
            </w:r>
          </w:p>
        </w:tc>
        <w:tc>
          <w:tcPr>
            <w:tcW w:w="8647" w:type="dxa"/>
            <w:vAlign w:val="center"/>
          </w:tcPr>
          <w:p w14:paraId="35AD102A" w14:textId="77777777" w:rsidR="00152E4E" w:rsidRPr="00A00521" w:rsidRDefault="00152E4E" w:rsidP="00152E4E">
            <w:pPr>
              <w:spacing w:line="276" w:lineRule="auto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t xml:space="preserve">Obowiązek wskazania we wniosku dodatkowego wskaźnika wynika z art. 35a pkt 2 Ustawy z dnia 20 maja 2016 r. o efektywności energetycznej, zgodnie z którym na ION, zostały nałożone obowiązki sprawozdawcze w zakresie przedsięwzięć służących poprawie efektywności energetycznej. W utworzonym centralnym rejestrze oszczędności energii finalnej (CROEF) będą gromadzone dane oraz informacje dotyczące wysokości uzyskanej oszczędności energii finalnej. </w:t>
            </w:r>
          </w:p>
          <w:p w14:paraId="4B51E390" w14:textId="77777777" w:rsidR="00152E4E" w:rsidRPr="00A00521" w:rsidRDefault="00152E4E" w:rsidP="00152E4E">
            <w:pPr>
              <w:spacing w:line="276" w:lineRule="auto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t>W związku z powyższym we wniosku należy wybrać wskaźnik:</w:t>
            </w:r>
          </w:p>
          <w:p w14:paraId="1F93F005" w14:textId="77777777" w:rsidR="00152E4E" w:rsidRPr="00A00521" w:rsidRDefault="00152E4E" w:rsidP="00152E4E">
            <w:pPr>
              <w:spacing w:line="276" w:lineRule="auto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lastRenderedPageBreak/>
              <w:t xml:space="preserve"> </w:t>
            </w:r>
            <w:r w:rsidRPr="00A00521">
              <w:rPr>
                <w:rFonts w:ascii="Arial" w:hAnsi="Arial" w:cs="Arial"/>
                <w:i/>
                <w:iCs/>
              </w:rPr>
              <w:t xml:space="preserve">- Ilość uzyskanych średniorocznych oszczędności energii finalnej – </w:t>
            </w:r>
            <w:proofErr w:type="spellStart"/>
            <w:r w:rsidRPr="00A00521">
              <w:rPr>
                <w:rFonts w:ascii="Arial" w:hAnsi="Arial" w:cs="Arial"/>
                <w:i/>
                <w:iCs/>
              </w:rPr>
              <w:t>toe</w:t>
            </w:r>
            <w:proofErr w:type="spellEnd"/>
            <w:r w:rsidRPr="00A00521">
              <w:rPr>
                <w:rFonts w:ascii="Arial" w:hAnsi="Arial" w:cs="Arial"/>
                <w:i/>
                <w:iCs/>
              </w:rPr>
              <w:t>/rok</w:t>
            </w:r>
            <w:r w:rsidRPr="00A00521">
              <w:rPr>
                <w:rFonts w:ascii="Arial" w:hAnsi="Arial" w:cs="Arial"/>
              </w:rPr>
              <w:t xml:space="preserve"> </w:t>
            </w:r>
            <w:r w:rsidRPr="00A00521">
              <w:rPr>
                <w:rFonts w:ascii="Arial" w:hAnsi="Arial" w:cs="Arial"/>
              </w:rPr>
              <w:br/>
              <w:t>(tona oleju ekwiwalentnego/rok).</w:t>
            </w:r>
          </w:p>
          <w:p w14:paraId="096BA817" w14:textId="77777777" w:rsidR="00152E4E" w:rsidRPr="00A00521" w:rsidRDefault="00152E4E" w:rsidP="00152E4E">
            <w:pPr>
              <w:spacing w:line="276" w:lineRule="auto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t xml:space="preserve">Na obecnym etapie należy podać wartość bazową 0 i wartość docelową 0 oraz nie przedstawiać uzasadnienia, ponieważ wskaźnik dotyczy stanu po realizacji projektu. Wnioskodawca będzie zobowiązany do </w:t>
            </w:r>
            <w:bookmarkStart w:id="1" w:name="_Hlk164429460"/>
            <w:r w:rsidRPr="00A00521">
              <w:rPr>
                <w:rFonts w:ascii="Arial" w:hAnsi="Arial" w:cs="Arial"/>
              </w:rPr>
              <w:t>raportowania wartości ww. wskaźnika do ION w systemie CST 2021, po zrealizowaniu projektu</w:t>
            </w:r>
            <w:bookmarkEnd w:id="1"/>
            <w:r>
              <w:rPr>
                <w:rFonts w:ascii="Arial" w:hAnsi="Arial" w:cs="Arial"/>
              </w:rPr>
              <w:t xml:space="preserve"> na etapie wniosku o płatność końcową </w:t>
            </w:r>
            <w:r w:rsidRPr="00A00521">
              <w:rPr>
                <w:rFonts w:ascii="Arial" w:hAnsi="Arial" w:cs="Arial"/>
              </w:rPr>
              <w:t>(</w:t>
            </w:r>
            <w:r w:rsidRPr="00A40489">
              <w:rPr>
                <w:rFonts w:ascii="Arial" w:hAnsi="Arial" w:cs="Arial"/>
                <w:iCs/>
              </w:rPr>
              <w:t>zgodnie z kartą audytu ex post punkt 5</w:t>
            </w:r>
            <w:r w:rsidRPr="00A00521">
              <w:rPr>
                <w:rFonts w:ascii="Arial" w:hAnsi="Arial" w:cs="Arial"/>
                <w:i/>
                <w:iCs/>
              </w:rPr>
              <w:t xml:space="preserve"> Średnioroczna oszczędność energii</w:t>
            </w:r>
            <w:r w:rsidRPr="00A00521">
              <w:rPr>
                <w:rFonts w:ascii="Arial" w:hAnsi="Arial" w:cs="Arial"/>
              </w:rPr>
              <w:t xml:space="preserve"> </w:t>
            </w:r>
            <w:r w:rsidRPr="00A00521">
              <w:rPr>
                <w:rFonts w:ascii="Arial" w:hAnsi="Arial" w:cs="Arial"/>
                <w:i/>
                <w:iCs/>
              </w:rPr>
              <w:t>finalnej (</w:t>
            </w:r>
            <w:proofErr w:type="spellStart"/>
            <w:r w:rsidRPr="00A00521">
              <w:rPr>
                <w:rFonts w:ascii="Arial" w:hAnsi="Arial" w:cs="Arial"/>
                <w:i/>
                <w:iCs/>
              </w:rPr>
              <w:t>toe</w:t>
            </w:r>
            <w:proofErr w:type="spellEnd"/>
            <w:r w:rsidRPr="00A00521">
              <w:rPr>
                <w:rFonts w:ascii="Arial" w:hAnsi="Arial" w:cs="Arial"/>
                <w:i/>
                <w:iCs/>
              </w:rPr>
              <w:t>/rok</w:t>
            </w:r>
            <w:r>
              <w:rPr>
                <w:rFonts w:ascii="Arial" w:hAnsi="Arial" w:cs="Arial"/>
              </w:rPr>
              <w:t>).</w:t>
            </w:r>
          </w:p>
          <w:p w14:paraId="021C3DA5" w14:textId="77777777" w:rsidR="00152E4E" w:rsidRPr="00A00521" w:rsidRDefault="00152E4E" w:rsidP="00152E4E">
            <w:pPr>
              <w:spacing w:line="276" w:lineRule="auto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t xml:space="preserve">Sposób określenia wartości wskaźnika w </w:t>
            </w:r>
            <w:proofErr w:type="spellStart"/>
            <w:r w:rsidRPr="001F1FC7">
              <w:rPr>
                <w:rFonts w:ascii="Arial" w:hAnsi="Arial" w:cs="Arial"/>
              </w:rPr>
              <w:t>toe</w:t>
            </w:r>
            <w:proofErr w:type="spellEnd"/>
            <w:r w:rsidRPr="001F1FC7">
              <w:rPr>
                <w:rFonts w:ascii="Arial" w:hAnsi="Arial" w:cs="Arial"/>
              </w:rPr>
              <w:t>/rok powinien</w:t>
            </w:r>
            <w:r w:rsidRPr="00A00521">
              <w:rPr>
                <w:rFonts w:ascii="Arial" w:hAnsi="Arial" w:cs="Arial"/>
              </w:rPr>
              <w:t xml:space="preserve"> wynikać z przeliczenia:</w:t>
            </w:r>
            <w:r w:rsidRPr="00A00521">
              <w:rPr>
                <w:rFonts w:ascii="Arial" w:hAnsi="Arial" w:cs="Arial"/>
              </w:rPr>
              <w:br/>
              <w:t xml:space="preserve">1 </w:t>
            </w:r>
            <w:proofErr w:type="spellStart"/>
            <w:r w:rsidRPr="00A00521">
              <w:rPr>
                <w:rFonts w:ascii="Arial" w:hAnsi="Arial" w:cs="Arial"/>
              </w:rPr>
              <w:t>toe</w:t>
            </w:r>
            <w:proofErr w:type="spellEnd"/>
            <w:r w:rsidRPr="00A00521">
              <w:rPr>
                <w:rFonts w:ascii="Arial" w:hAnsi="Arial" w:cs="Arial"/>
              </w:rPr>
              <w:t xml:space="preserve"> = 11 630 </w:t>
            </w:r>
            <w:hyperlink r:id="rId8" w:tooltip="Kilowatogodzina" w:history="1">
              <w:r w:rsidRPr="00A00521">
                <w:rPr>
                  <w:rFonts w:ascii="Arial" w:hAnsi="Arial" w:cs="Arial"/>
                </w:rPr>
                <w:t>kWh</w:t>
              </w:r>
            </w:hyperlink>
            <w:r w:rsidRPr="00A00521">
              <w:rPr>
                <w:rFonts w:ascii="Arial" w:hAnsi="Arial" w:cs="Arial"/>
              </w:rPr>
              <w:t xml:space="preserve"> = 11,63 MWh</w:t>
            </w:r>
            <w:r>
              <w:rPr>
                <w:rFonts w:ascii="Arial" w:hAnsi="Arial" w:cs="Arial"/>
              </w:rPr>
              <w:t>,</w:t>
            </w:r>
          </w:p>
          <w:p w14:paraId="49117DB8" w14:textId="10759AC4" w:rsidR="00152E4E" w:rsidRPr="00A00521" w:rsidRDefault="00152E4E" w:rsidP="00152E4E">
            <w:pPr>
              <w:spacing w:line="276" w:lineRule="auto"/>
              <w:rPr>
                <w:rFonts w:ascii="Arial" w:hAnsi="Arial" w:cs="Arial"/>
              </w:rPr>
            </w:pPr>
            <w:r w:rsidRPr="00A00521">
              <w:rPr>
                <w:rFonts w:ascii="Arial" w:hAnsi="Arial" w:cs="Arial"/>
              </w:rPr>
              <w:t xml:space="preserve">1 </w:t>
            </w:r>
            <w:proofErr w:type="spellStart"/>
            <w:r w:rsidRPr="00A00521">
              <w:rPr>
                <w:rFonts w:ascii="Arial" w:hAnsi="Arial" w:cs="Arial"/>
              </w:rPr>
              <w:t>toe</w:t>
            </w:r>
            <w:proofErr w:type="spellEnd"/>
            <w:r w:rsidRPr="00A00521">
              <w:rPr>
                <w:rFonts w:ascii="Arial" w:hAnsi="Arial" w:cs="Arial"/>
              </w:rPr>
              <w:t xml:space="preserve"> = 41,868 </w:t>
            </w:r>
            <w:hyperlink r:id="rId9" w:tooltip="Giga" w:history="1">
              <w:r w:rsidRPr="00A00521">
                <w:rPr>
                  <w:rFonts w:ascii="Arial" w:hAnsi="Arial" w:cs="Arial"/>
                </w:rPr>
                <w:t>G</w:t>
              </w:r>
            </w:hyperlink>
            <w:hyperlink r:id="rId10" w:tooltip="Dżul" w:history="1">
              <w:r w:rsidRPr="00A00521">
                <w:rPr>
                  <w:rFonts w:ascii="Arial" w:hAnsi="Arial" w:cs="Arial"/>
                </w:rPr>
                <w:t>J</w:t>
              </w:r>
            </w:hyperlink>
            <w:r w:rsidRPr="00A00521">
              <w:rPr>
                <w:rFonts w:ascii="Arial" w:hAnsi="Arial" w:cs="Arial"/>
              </w:rPr>
              <w:t>.</w:t>
            </w:r>
          </w:p>
        </w:tc>
      </w:tr>
    </w:tbl>
    <w:p w14:paraId="58DB3175" w14:textId="77777777" w:rsidR="007D4434" w:rsidRPr="00A770DD" w:rsidRDefault="007D4434" w:rsidP="007D4434">
      <w:pPr>
        <w:ind w:left="1276"/>
        <w:jc w:val="both"/>
        <w:rPr>
          <w:rFonts w:ascii="Arial" w:hAnsi="Arial" w:cs="Arial"/>
        </w:rPr>
      </w:pPr>
    </w:p>
    <w:p w14:paraId="432BAE20" w14:textId="0C8E3B5F" w:rsidR="00FB5F2B" w:rsidRDefault="00FB5F2B">
      <w:pPr>
        <w:jc w:val="both"/>
        <w:rPr>
          <w:rFonts w:ascii="Arial" w:hAnsi="Arial" w:cs="Arial"/>
        </w:rPr>
      </w:pPr>
    </w:p>
    <w:p w14:paraId="1C2FFFF7" w14:textId="77777777" w:rsidR="0013095A" w:rsidRPr="001F1FC7" w:rsidRDefault="0013095A" w:rsidP="001F1FC7">
      <w:bookmarkStart w:id="2" w:name="_Hlk131150175"/>
    </w:p>
    <w:bookmarkEnd w:id="2"/>
    <w:p w14:paraId="4F7EEB28" w14:textId="77777777" w:rsidR="008F48CD" w:rsidRDefault="008F48CD" w:rsidP="008F48CD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</w:p>
    <w:p w14:paraId="31CCB64E" w14:textId="77777777" w:rsidR="008F48CD" w:rsidRDefault="008F48CD" w:rsidP="008F48CD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</w:p>
    <w:p w14:paraId="65B13F8C" w14:textId="2C157D91" w:rsidR="001F1FC7" w:rsidRDefault="001F1FC7" w:rsidP="008F48CD">
      <w:pPr>
        <w:pStyle w:val="Akapitzlist"/>
        <w:numPr>
          <w:ilvl w:val="0"/>
          <w:numId w:val="23"/>
        </w:numPr>
        <w:spacing w:before="240" w:line="276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ko-KR"/>
        </w:rPr>
        <w:t xml:space="preserve">Źródłem </w:t>
      </w:r>
      <w:r w:rsidRPr="001F1FC7">
        <w:rPr>
          <w:rFonts w:ascii="Arial" w:hAnsi="Arial" w:cs="Arial"/>
          <w:sz w:val="24"/>
          <w:szCs w:val="24"/>
          <w:lang w:eastAsia="ko-KR"/>
        </w:rPr>
        <w:t xml:space="preserve">wskaźników jest </w:t>
      </w:r>
      <w:hyperlink r:id="rId11" w:tooltip="https://www.ewaluacja.gov.pl/strony/monitorowanie/lista-wskaznikow-kluczowych/lista-wskaznikow-kluczowych-efrr/ Link otwiera nowe okno przeglądarki" w:history="1">
        <w:r w:rsidRPr="001F1FC7">
          <w:rPr>
            <w:rStyle w:val="Hipercze"/>
            <w:rFonts w:ascii="Arial" w:hAnsi="Arial" w:cs="Arial"/>
            <w:color w:val="auto"/>
            <w:sz w:val="24"/>
            <w:szCs w:val="24"/>
            <w:lang w:eastAsia="ko-KR"/>
          </w:rPr>
          <w:t xml:space="preserve">Lista Wskaźników Kluczowych EFRR + FS </w:t>
        </w:r>
      </w:hyperlink>
      <w:r w:rsidRPr="001F1FC7">
        <w:rPr>
          <w:rFonts w:ascii="Arial" w:hAnsi="Arial" w:cs="Arial"/>
          <w:sz w:val="24"/>
          <w:szCs w:val="24"/>
          <w:lang w:eastAsia="ko-KR"/>
        </w:rPr>
        <w:t>(wersja z dnia 25.07.2024 r.), których definicje dostosowano do zakresu naboru</w:t>
      </w:r>
      <w:r w:rsidRPr="001F1FC7">
        <w:rPr>
          <w:rStyle w:val="Hipercze"/>
          <w:rFonts w:ascii="Arial" w:hAnsi="Arial" w:cs="Arial"/>
          <w:color w:val="auto"/>
          <w:sz w:val="24"/>
          <w:szCs w:val="24"/>
          <w:u w:val="none"/>
          <w:lang w:eastAsia="ko-KR"/>
        </w:rPr>
        <w:t>.</w:t>
      </w:r>
    </w:p>
    <w:p w14:paraId="62FA4CF2" w14:textId="5F915686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sz w:val="24"/>
          <w:szCs w:val="24"/>
          <w:lang w:eastAsia="ko-KR"/>
        </w:rPr>
        <w:t xml:space="preserve">Planowane przedsięwzięcie należy opisać za pomocą wskaźników ustalonych dla danego naboru wniosków o dofinansowanie, zgodnie </w:t>
      </w:r>
      <w:r w:rsidR="006E168F">
        <w:rPr>
          <w:rFonts w:ascii="Arial" w:hAnsi="Arial" w:cs="Arial"/>
          <w:sz w:val="24"/>
          <w:szCs w:val="24"/>
          <w:lang w:eastAsia="ko-KR"/>
        </w:rPr>
        <w:t xml:space="preserve">z </w:t>
      </w:r>
      <w:r w:rsidRPr="00790010">
        <w:rPr>
          <w:rFonts w:ascii="Arial" w:hAnsi="Arial" w:cs="Arial"/>
          <w:sz w:val="24"/>
          <w:szCs w:val="24"/>
          <w:lang w:eastAsia="ko-KR"/>
        </w:rPr>
        <w:t>powyższą listą.</w:t>
      </w:r>
      <w:r w:rsidRPr="00790010">
        <w:rPr>
          <w:rFonts w:ascii="Arial" w:hAnsi="Arial" w:cs="Arial"/>
          <w:sz w:val="24"/>
          <w:szCs w:val="24"/>
        </w:rPr>
        <w:t xml:space="preserve"> </w:t>
      </w:r>
    </w:p>
    <w:p w14:paraId="3766C7D7" w14:textId="65D4A1EB" w:rsidR="00385A7E" w:rsidRPr="000D17BF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color w:val="0070C0"/>
          <w:sz w:val="24"/>
          <w:szCs w:val="24"/>
        </w:rPr>
      </w:pPr>
      <w:r w:rsidRPr="00790010">
        <w:rPr>
          <w:rFonts w:ascii="Arial" w:hAnsi="Arial" w:cs="Arial"/>
          <w:sz w:val="24"/>
          <w:szCs w:val="24"/>
          <w:lang w:eastAsia="ko-KR"/>
        </w:rPr>
        <w:t xml:space="preserve">Wskaźniki </w:t>
      </w:r>
      <w:r w:rsidRPr="002F1EB9">
        <w:rPr>
          <w:rFonts w:ascii="Arial" w:hAnsi="Arial" w:cs="Arial"/>
          <w:sz w:val="24"/>
          <w:szCs w:val="24"/>
          <w:lang w:eastAsia="ko-KR"/>
        </w:rPr>
        <w:t xml:space="preserve">produktu odnoszą się do </w:t>
      </w:r>
      <w:r w:rsidRPr="002F1EB9">
        <w:rPr>
          <w:rFonts w:ascii="Arial" w:hAnsi="Arial" w:cs="Arial"/>
          <w:sz w:val="24"/>
          <w:szCs w:val="24"/>
        </w:rPr>
        <w:t>bezpośrednich, materialnych efektów realizacji przedsięwzięcia, które można zmierzyć konkretnym</w:t>
      </w:r>
      <w:r w:rsidRPr="00790010">
        <w:rPr>
          <w:rFonts w:ascii="Arial" w:hAnsi="Arial" w:cs="Arial"/>
          <w:sz w:val="24"/>
          <w:szCs w:val="24"/>
        </w:rPr>
        <w:t xml:space="preserve">i wielkościami fizycznymi. Powiązane są bezpośrednio z wydatkami ponoszonymi w projekcie. Wartości uzyskanych produktów wynikać będą najczęściej z protokołów odbioru robót, dostaw i usług, inwentaryzacji geodezyjnej powykonawczej </w:t>
      </w:r>
      <w:r w:rsidR="002F1EB9">
        <w:rPr>
          <w:rFonts w:ascii="Arial" w:hAnsi="Arial" w:cs="Arial"/>
          <w:sz w:val="24"/>
          <w:szCs w:val="24"/>
        </w:rPr>
        <w:br/>
      </w:r>
      <w:r w:rsidRPr="00790010">
        <w:rPr>
          <w:rFonts w:ascii="Arial" w:hAnsi="Arial" w:cs="Arial"/>
          <w:sz w:val="24"/>
          <w:szCs w:val="24"/>
        </w:rPr>
        <w:t>i innych dokumentów związanych z rozliczeniami inwestora z wykonawcą. Wskaźniki produktu występują z dniem odbioru i przekazania inwestycji do użytkowania.</w:t>
      </w:r>
      <w:r w:rsidR="000D17BF">
        <w:rPr>
          <w:rFonts w:ascii="Arial" w:hAnsi="Arial" w:cs="Arial"/>
          <w:sz w:val="24"/>
          <w:szCs w:val="24"/>
        </w:rPr>
        <w:t xml:space="preserve"> </w:t>
      </w:r>
    </w:p>
    <w:p w14:paraId="0454A5DC" w14:textId="35210A9E" w:rsidR="00385A7E" w:rsidRPr="00F61B31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2F1EB9">
        <w:rPr>
          <w:rFonts w:ascii="Arial" w:hAnsi="Arial" w:cs="Arial"/>
          <w:sz w:val="24"/>
          <w:szCs w:val="24"/>
        </w:rPr>
        <w:t xml:space="preserve">Rezultaty </w:t>
      </w:r>
      <w:r w:rsidRPr="00790010">
        <w:rPr>
          <w:rFonts w:ascii="Arial" w:hAnsi="Arial" w:cs="Arial"/>
          <w:sz w:val="24"/>
          <w:szCs w:val="24"/>
        </w:rPr>
        <w:t>opisują wpływ zrealizowanego prz</w:t>
      </w:r>
      <w:r w:rsidR="0063300F" w:rsidRPr="00790010">
        <w:rPr>
          <w:rFonts w:ascii="Arial" w:hAnsi="Arial" w:cs="Arial"/>
          <w:sz w:val="24"/>
          <w:szCs w:val="24"/>
        </w:rPr>
        <w:t xml:space="preserve">edsięwzięcia na grupy docelowe </w:t>
      </w:r>
      <w:r w:rsidRPr="00790010">
        <w:rPr>
          <w:rFonts w:ascii="Arial" w:hAnsi="Arial" w:cs="Arial"/>
          <w:sz w:val="24"/>
          <w:szCs w:val="24"/>
        </w:rPr>
        <w:t>uzyskany bezpośrednio po zakończeniu realizacji projektu.</w:t>
      </w:r>
      <w:r w:rsidR="00D749F8" w:rsidRPr="00790010">
        <w:rPr>
          <w:rFonts w:ascii="Arial" w:hAnsi="Arial" w:cs="Arial"/>
          <w:sz w:val="24"/>
          <w:szCs w:val="24"/>
        </w:rPr>
        <w:t xml:space="preserve"> </w:t>
      </w:r>
      <w:r w:rsidRPr="00790010">
        <w:rPr>
          <w:rFonts w:ascii="Arial" w:hAnsi="Arial" w:cs="Arial"/>
          <w:sz w:val="24"/>
          <w:szCs w:val="24"/>
        </w:rPr>
        <w:t>Wskaźniki rezultatów są niezbędne do monitorowania efektów realizacji projektów i Programu.</w:t>
      </w:r>
      <w:r w:rsidRPr="00790010">
        <w:rPr>
          <w:rFonts w:ascii="Arial" w:hAnsi="Arial" w:cs="Arial"/>
          <w:sz w:val="24"/>
          <w:szCs w:val="24"/>
          <w:lang w:eastAsia="ko-KR"/>
        </w:rPr>
        <w:t xml:space="preserve"> </w:t>
      </w:r>
      <w:r w:rsidRPr="00790010">
        <w:rPr>
          <w:rFonts w:ascii="Arial" w:hAnsi="Arial" w:cs="Arial"/>
          <w:sz w:val="24"/>
          <w:szCs w:val="24"/>
        </w:rPr>
        <w:t xml:space="preserve">Wartości należy podać </w:t>
      </w:r>
      <w:r w:rsidRPr="00F61B31">
        <w:rPr>
          <w:rFonts w:ascii="Arial" w:hAnsi="Arial" w:cs="Arial"/>
          <w:sz w:val="24"/>
          <w:szCs w:val="24"/>
        </w:rPr>
        <w:t xml:space="preserve">zgodnie z ustaloną dla danego wskaźnika jednostką miary. </w:t>
      </w:r>
    </w:p>
    <w:p w14:paraId="4EB1AA71" w14:textId="1421A557" w:rsidR="000D17BF" w:rsidRPr="00F61B31" w:rsidRDefault="000D17BF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F61B31">
        <w:rPr>
          <w:rFonts w:ascii="Arial" w:hAnsi="Arial" w:cs="Arial"/>
          <w:sz w:val="24"/>
          <w:szCs w:val="24"/>
        </w:rPr>
        <w:t xml:space="preserve">Wskaźniki produktu i rezultatu dotyczą efektów projektu jako całości, zakresu objętego wydatkami kwalifikowanymi </w:t>
      </w:r>
      <w:r w:rsidR="009A154A" w:rsidRPr="00F61B31">
        <w:rPr>
          <w:rFonts w:ascii="Arial" w:hAnsi="Arial" w:cs="Arial"/>
          <w:sz w:val="24"/>
          <w:szCs w:val="24"/>
        </w:rPr>
        <w:br/>
      </w:r>
      <w:r w:rsidRPr="00F61B31">
        <w:rPr>
          <w:rFonts w:ascii="Arial" w:hAnsi="Arial" w:cs="Arial"/>
          <w:sz w:val="24"/>
          <w:szCs w:val="24"/>
        </w:rPr>
        <w:t>i niekwalifikowanymi.</w:t>
      </w:r>
    </w:p>
    <w:p w14:paraId="568FFCB4" w14:textId="77777777" w:rsidR="00251B5F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F61B31">
        <w:rPr>
          <w:rFonts w:ascii="Arial" w:hAnsi="Arial" w:cs="Arial"/>
          <w:sz w:val="24"/>
          <w:szCs w:val="24"/>
        </w:rPr>
        <w:t>Wskaźniki należy oszacować rzetelnie mając na uwadze, że Wnioskodawca jest zobowiązany do monitorowania postępu</w:t>
      </w:r>
      <w:r w:rsidR="00DA7319" w:rsidRPr="00F61B31">
        <w:rPr>
          <w:rFonts w:ascii="Arial" w:hAnsi="Arial" w:cs="Arial"/>
          <w:sz w:val="24"/>
          <w:szCs w:val="24"/>
        </w:rPr>
        <w:br/>
      </w:r>
      <w:r w:rsidRPr="00F61B31">
        <w:rPr>
          <w:rFonts w:ascii="Arial" w:hAnsi="Arial" w:cs="Arial"/>
          <w:sz w:val="24"/>
          <w:szCs w:val="24"/>
        </w:rPr>
        <w:t xml:space="preserve">w zakresie ich osiągania oraz będzie rozliczany z ich wypełnienia. </w:t>
      </w:r>
    </w:p>
    <w:p w14:paraId="40887DD7" w14:textId="2B546B56" w:rsidR="000E30A8" w:rsidRPr="000E30A8" w:rsidRDefault="000E30A8" w:rsidP="000E30A8">
      <w:pPr>
        <w:pStyle w:val="Akapitzlist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Zgodnie z p. 4.9 Regulaminu p</w:t>
      </w:r>
      <w:r w:rsidRPr="000E30A8">
        <w:rPr>
          <w:rFonts w:ascii="Arial" w:hAnsi="Arial" w:cs="Arial"/>
          <w:sz w:val="24"/>
          <w:szCs w:val="24"/>
        </w:rPr>
        <w:t>o realizacji projektu, podczas opracowania wniosku o płatność końcową wymagane jest sporządzenie audytu energetycznego (ex post), który potwierdzi wykonany zakres rzeczowy oraz wartości docelowe wskaźników rezultatu (metodą obliczeniową).</w:t>
      </w:r>
    </w:p>
    <w:p w14:paraId="3EAFA582" w14:textId="16A13921" w:rsidR="00385A7E" w:rsidRPr="00790010" w:rsidRDefault="00385A7E" w:rsidP="00DA7319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F61B31">
        <w:rPr>
          <w:rFonts w:ascii="Arial" w:hAnsi="Arial" w:cs="Arial"/>
          <w:sz w:val="24"/>
          <w:szCs w:val="24"/>
        </w:rPr>
        <w:t xml:space="preserve">Dla każdego projektu należy obligatoryjnie wybrać wszystkie </w:t>
      </w:r>
      <w:r w:rsidR="000D17BF" w:rsidRPr="00F61B31">
        <w:rPr>
          <w:rFonts w:ascii="Arial" w:hAnsi="Arial" w:cs="Arial"/>
          <w:sz w:val="24"/>
          <w:szCs w:val="24"/>
        </w:rPr>
        <w:t xml:space="preserve">obowiązkowe </w:t>
      </w:r>
      <w:r w:rsidRPr="00F61B31">
        <w:rPr>
          <w:rFonts w:ascii="Arial" w:hAnsi="Arial" w:cs="Arial"/>
          <w:sz w:val="24"/>
          <w:szCs w:val="24"/>
        </w:rPr>
        <w:t xml:space="preserve">wskaźniki </w:t>
      </w:r>
      <w:r w:rsidRPr="00790010">
        <w:rPr>
          <w:rFonts w:ascii="Arial" w:hAnsi="Arial" w:cs="Arial"/>
          <w:color w:val="000000" w:themeColor="text1"/>
          <w:sz w:val="24"/>
          <w:szCs w:val="24"/>
        </w:rPr>
        <w:t xml:space="preserve">produktu i rezultatu adekwatne do zakresu </w:t>
      </w:r>
      <w:r w:rsidR="00F61B31">
        <w:rPr>
          <w:rFonts w:ascii="Arial" w:hAnsi="Arial" w:cs="Arial"/>
          <w:color w:val="000000" w:themeColor="text1"/>
          <w:sz w:val="24"/>
          <w:szCs w:val="24"/>
        </w:rPr>
        <w:br/>
      </w:r>
      <w:r w:rsidRPr="00790010">
        <w:rPr>
          <w:rFonts w:ascii="Arial" w:hAnsi="Arial" w:cs="Arial"/>
          <w:color w:val="000000" w:themeColor="text1"/>
          <w:sz w:val="24"/>
          <w:szCs w:val="24"/>
        </w:rPr>
        <w:t xml:space="preserve">i </w:t>
      </w:r>
      <w:r w:rsidR="000D17BF">
        <w:rPr>
          <w:rFonts w:ascii="Arial" w:hAnsi="Arial" w:cs="Arial"/>
          <w:color w:val="000000" w:themeColor="text1"/>
          <w:sz w:val="24"/>
          <w:szCs w:val="24"/>
        </w:rPr>
        <w:t xml:space="preserve">efektów </w:t>
      </w:r>
      <w:r w:rsidRPr="00790010">
        <w:rPr>
          <w:rFonts w:ascii="Arial" w:hAnsi="Arial" w:cs="Arial"/>
          <w:color w:val="000000" w:themeColor="text1"/>
          <w:sz w:val="24"/>
          <w:szCs w:val="24"/>
        </w:rPr>
        <w:t>projektu.</w:t>
      </w:r>
    </w:p>
    <w:p w14:paraId="2D55830F" w14:textId="496E91D7" w:rsidR="00385A7E" w:rsidRPr="000D17BF" w:rsidRDefault="00385A7E" w:rsidP="00285C8C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sz w:val="24"/>
          <w:szCs w:val="24"/>
        </w:rPr>
      </w:pPr>
      <w:r w:rsidRPr="00790010">
        <w:rPr>
          <w:rFonts w:ascii="Arial" w:hAnsi="Arial" w:cs="Arial"/>
          <w:sz w:val="24"/>
          <w:szCs w:val="24"/>
        </w:rPr>
        <w:t xml:space="preserve">Dodatkowe informacje na temat wskaźników podano w Instrukcji wypełniania </w:t>
      </w:r>
      <w:r w:rsidR="001543E9">
        <w:rPr>
          <w:rFonts w:ascii="Arial" w:hAnsi="Arial" w:cs="Arial"/>
          <w:sz w:val="24"/>
          <w:szCs w:val="24"/>
        </w:rPr>
        <w:t>formularza wniosku o dofinansowanie.</w:t>
      </w:r>
      <w:r w:rsidRPr="00790010">
        <w:rPr>
          <w:rFonts w:ascii="Arial" w:hAnsi="Arial" w:cs="Arial"/>
          <w:sz w:val="24"/>
          <w:szCs w:val="24"/>
        </w:rPr>
        <w:t xml:space="preserve"> </w:t>
      </w:r>
    </w:p>
    <w:sectPr w:rsidR="00385A7E" w:rsidRPr="000D17BF" w:rsidSect="00702173">
      <w:headerReference w:type="default" r:id="rId12"/>
      <w:footerReference w:type="even" r:id="rId13"/>
      <w:footerReference w:type="default" r:id="rId14"/>
      <w:headerReference w:type="first" r:id="rId15"/>
      <w:pgSz w:w="16838" w:h="11906" w:orient="landscape"/>
      <w:pgMar w:top="709" w:right="1258" w:bottom="1077" w:left="107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B5F3E7" w14:textId="77777777" w:rsidR="004151AC" w:rsidRDefault="004151AC" w:rsidP="00E865C7">
      <w:r>
        <w:separator/>
      </w:r>
    </w:p>
  </w:endnote>
  <w:endnote w:type="continuationSeparator" w:id="0">
    <w:p w14:paraId="6157CA04" w14:textId="77777777" w:rsidR="004151AC" w:rsidRDefault="004151AC" w:rsidP="00E8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A2C1E" w14:textId="77777777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EB59E9" w14:textId="77777777" w:rsidR="00DB0D2C" w:rsidRDefault="00DB0D2C" w:rsidP="00E04B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728B9" w14:textId="0D04F761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40489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2D522949" w14:textId="77777777" w:rsidR="00DB0D2C" w:rsidRDefault="00DB0D2C" w:rsidP="00E04B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04774" w14:textId="77777777" w:rsidR="004151AC" w:rsidRDefault="004151AC" w:rsidP="00E865C7">
      <w:r>
        <w:separator/>
      </w:r>
    </w:p>
  </w:footnote>
  <w:footnote w:type="continuationSeparator" w:id="0">
    <w:p w14:paraId="5DE45A5B" w14:textId="77777777" w:rsidR="004151AC" w:rsidRDefault="004151AC" w:rsidP="00E86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D33C3" w14:textId="69B738CC" w:rsidR="00DB0D2C" w:rsidRDefault="00DB0D2C">
    <w:pPr>
      <w:pStyle w:val="Nagwek"/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2C77E" w14:textId="350AC752" w:rsidR="00702173" w:rsidRDefault="00702173" w:rsidP="0070217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98D6D20" wp14:editId="41A06ABF">
          <wp:extent cx="7767528" cy="626745"/>
          <wp:effectExtent l="0" t="0" r="0" b="0"/>
          <wp:docPr id="1339670637" name="Obraz 1339670637" descr="Logotypy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-rp-ue-pdk-FE-2021-2027-dla-Podkarpacia-poziom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415" cy="6268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E19A3"/>
    <w:multiLevelType w:val="hybridMultilevel"/>
    <w:tmpl w:val="4C6C3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16B"/>
    <w:multiLevelType w:val="hybridMultilevel"/>
    <w:tmpl w:val="E2440C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955D3"/>
    <w:multiLevelType w:val="hybridMultilevel"/>
    <w:tmpl w:val="890E4962"/>
    <w:lvl w:ilvl="0" w:tplc="C7CC6F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294BFD"/>
    <w:multiLevelType w:val="hybridMultilevel"/>
    <w:tmpl w:val="2658709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D7761"/>
    <w:multiLevelType w:val="hybridMultilevel"/>
    <w:tmpl w:val="8D64C73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B784E"/>
    <w:multiLevelType w:val="hybridMultilevel"/>
    <w:tmpl w:val="43265CAA"/>
    <w:lvl w:ilvl="0" w:tplc="A09C2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535FE"/>
    <w:multiLevelType w:val="hybridMultilevel"/>
    <w:tmpl w:val="BC242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F2"/>
    <w:multiLevelType w:val="hybridMultilevel"/>
    <w:tmpl w:val="2258027C"/>
    <w:lvl w:ilvl="0" w:tplc="75DE4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F55CF"/>
    <w:multiLevelType w:val="hybridMultilevel"/>
    <w:tmpl w:val="A290DF32"/>
    <w:lvl w:ilvl="0" w:tplc="36EA2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E4928"/>
    <w:multiLevelType w:val="hybridMultilevel"/>
    <w:tmpl w:val="B17466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4152E7"/>
    <w:multiLevelType w:val="hybridMultilevel"/>
    <w:tmpl w:val="DE74C736"/>
    <w:lvl w:ilvl="0" w:tplc="25D82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A7C5B"/>
    <w:multiLevelType w:val="hybridMultilevel"/>
    <w:tmpl w:val="5290E7C8"/>
    <w:lvl w:ilvl="0" w:tplc="6B0E62F6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57532A"/>
    <w:multiLevelType w:val="hybridMultilevel"/>
    <w:tmpl w:val="35FC6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71225"/>
    <w:multiLevelType w:val="hybridMultilevel"/>
    <w:tmpl w:val="757CB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E17285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B4549"/>
    <w:multiLevelType w:val="hybridMultilevel"/>
    <w:tmpl w:val="970C3B0E"/>
    <w:lvl w:ilvl="0" w:tplc="D96EDE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8736F"/>
    <w:multiLevelType w:val="hybridMultilevel"/>
    <w:tmpl w:val="69B0E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707BA"/>
    <w:multiLevelType w:val="hybridMultilevel"/>
    <w:tmpl w:val="1090D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3E5B"/>
    <w:multiLevelType w:val="hybridMultilevel"/>
    <w:tmpl w:val="D8F245C8"/>
    <w:lvl w:ilvl="0" w:tplc="D5FEEA0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D6726B0"/>
    <w:multiLevelType w:val="multilevel"/>
    <w:tmpl w:val="5290E7C8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43FF6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07570"/>
    <w:multiLevelType w:val="hybridMultilevel"/>
    <w:tmpl w:val="570AAD08"/>
    <w:lvl w:ilvl="0" w:tplc="CE1A6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8F2362"/>
    <w:multiLevelType w:val="hybridMultilevel"/>
    <w:tmpl w:val="EF844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E1B57"/>
    <w:multiLevelType w:val="hybridMultilevel"/>
    <w:tmpl w:val="1204A27C"/>
    <w:lvl w:ilvl="0" w:tplc="07849BC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6CA53E66"/>
    <w:multiLevelType w:val="hybridMultilevel"/>
    <w:tmpl w:val="3300E3F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ED0704"/>
    <w:multiLevelType w:val="hybridMultilevel"/>
    <w:tmpl w:val="CD3620F8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EE26CE"/>
    <w:multiLevelType w:val="hybridMultilevel"/>
    <w:tmpl w:val="E2440C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5550D"/>
    <w:multiLevelType w:val="hybridMultilevel"/>
    <w:tmpl w:val="13E24D48"/>
    <w:lvl w:ilvl="0" w:tplc="6E4CE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94B1F"/>
    <w:multiLevelType w:val="hybridMultilevel"/>
    <w:tmpl w:val="8E0AA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082315">
    <w:abstractNumId w:val="9"/>
  </w:num>
  <w:num w:numId="2" w16cid:durableId="379787992">
    <w:abstractNumId w:val="10"/>
  </w:num>
  <w:num w:numId="3" w16cid:durableId="49889437">
    <w:abstractNumId w:val="18"/>
  </w:num>
  <w:num w:numId="4" w16cid:durableId="1126855424">
    <w:abstractNumId w:val="0"/>
  </w:num>
  <w:num w:numId="5" w16cid:durableId="1609316412">
    <w:abstractNumId w:val="12"/>
  </w:num>
  <w:num w:numId="6" w16cid:durableId="2058049436">
    <w:abstractNumId w:val="1"/>
  </w:num>
  <w:num w:numId="7" w16cid:durableId="244653243">
    <w:abstractNumId w:val="4"/>
  </w:num>
  <w:num w:numId="8" w16cid:durableId="941297731">
    <w:abstractNumId w:val="7"/>
  </w:num>
  <w:num w:numId="9" w16cid:durableId="1613782300">
    <w:abstractNumId w:val="5"/>
  </w:num>
  <w:num w:numId="10" w16cid:durableId="1935433794">
    <w:abstractNumId w:val="14"/>
  </w:num>
  <w:num w:numId="11" w16cid:durableId="689375667">
    <w:abstractNumId w:val="21"/>
  </w:num>
  <w:num w:numId="12" w16cid:durableId="856580604">
    <w:abstractNumId w:val="20"/>
  </w:num>
  <w:num w:numId="13" w16cid:durableId="761027691">
    <w:abstractNumId w:val="25"/>
  </w:num>
  <w:num w:numId="14" w16cid:durableId="260769541">
    <w:abstractNumId w:val="17"/>
  </w:num>
  <w:num w:numId="15" w16cid:durableId="513736824">
    <w:abstractNumId w:val="24"/>
  </w:num>
  <w:num w:numId="16" w16cid:durableId="1220898702">
    <w:abstractNumId w:val="27"/>
  </w:num>
  <w:num w:numId="17" w16cid:durableId="1921669298">
    <w:abstractNumId w:val="23"/>
  </w:num>
  <w:num w:numId="18" w16cid:durableId="1306199053">
    <w:abstractNumId w:val="3"/>
  </w:num>
  <w:num w:numId="19" w16cid:durableId="91123713">
    <w:abstractNumId w:val="26"/>
  </w:num>
  <w:num w:numId="20" w16cid:durableId="229509845">
    <w:abstractNumId w:val="15"/>
  </w:num>
  <w:num w:numId="21" w16cid:durableId="1592809937">
    <w:abstractNumId w:val="8"/>
  </w:num>
  <w:num w:numId="22" w16cid:durableId="369762686">
    <w:abstractNumId w:val="6"/>
  </w:num>
  <w:num w:numId="23" w16cid:durableId="2080127288">
    <w:abstractNumId w:val="11"/>
  </w:num>
  <w:num w:numId="24" w16cid:durableId="1516991081">
    <w:abstractNumId w:val="28"/>
  </w:num>
  <w:num w:numId="25" w16cid:durableId="1609698651">
    <w:abstractNumId w:val="19"/>
  </w:num>
  <w:num w:numId="26" w16cid:durableId="546071744">
    <w:abstractNumId w:val="2"/>
  </w:num>
  <w:num w:numId="27" w16cid:durableId="806780303">
    <w:abstractNumId w:val="16"/>
  </w:num>
  <w:num w:numId="28" w16cid:durableId="1161656297">
    <w:abstractNumId w:val="22"/>
  </w:num>
  <w:num w:numId="29" w16cid:durableId="10081408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557"/>
    <w:rsid w:val="00002296"/>
    <w:rsid w:val="000045FF"/>
    <w:rsid w:val="00005D01"/>
    <w:rsid w:val="0000794C"/>
    <w:rsid w:val="000100DB"/>
    <w:rsid w:val="00010F79"/>
    <w:rsid w:val="00011C75"/>
    <w:rsid w:val="0001519B"/>
    <w:rsid w:val="00017017"/>
    <w:rsid w:val="00017445"/>
    <w:rsid w:val="00020143"/>
    <w:rsid w:val="000214E4"/>
    <w:rsid w:val="000312A3"/>
    <w:rsid w:val="000335A2"/>
    <w:rsid w:val="00034F69"/>
    <w:rsid w:val="00037439"/>
    <w:rsid w:val="00053F23"/>
    <w:rsid w:val="00057736"/>
    <w:rsid w:val="00060CDF"/>
    <w:rsid w:val="000624EE"/>
    <w:rsid w:val="00074198"/>
    <w:rsid w:val="00075468"/>
    <w:rsid w:val="00080AB6"/>
    <w:rsid w:val="00084005"/>
    <w:rsid w:val="000869A4"/>
    <w:rsid w:val="00094BB7"/>
    <w:rsid w:val="00097FED"/>
    <w:rsid w:val="000A179F"/>
    <w:rsid w:val="000A34C6"/>
    <w:rsid w:val="000A48AA"/>
    <w:rsid w:val="000A7369"/>
    <w:rsid w:val="000A7435"/>
    <w:rsid w:val="000B0912"/>
    <w:rsid w:val="000B7F1A"/>
    <w:rsid w:val="000C05D2"/>
    <w:rsid w:val="000C198C"/>
    <w:rsid w:val="000C2340"/>
    <w:rsid w:val="000D17BF"/>
    <w:rsid w:val="000D2CEC"/>
    <w:rsid w:val="000E07FF"/>
    <w:rsid w:val="000E1B8E"/>
    <w:rsid w:val="000E30A8"/>
    <w:rsid w:val="000E3D9A"/>
    <w:rsid w:val="000E63D4"/>
    <w:rsid w:val="000E7E2C"/>
    <w:rsid w:val="000F1B18"/>
    <w:rsid w:val="000F1CB6"/>
    <w:rsid w:val="000F5AD1"/>
    <w:rsid w:val="00104BFF"/>
    <w:rsid w:val="00104FEB"/>
    <w:rsid w:val="0010795F"/>
    <w:rsid w:val="00111641"/>
    <w:rsid w:val="00117135"/>
    <w:rsid w:val="00117D9D"/>
    <w:rsid w:val="00123357"/>
    <w:rsid w:val="001248CC"/>
    <w:rsid w:val="0012614B"/>
    <w:rsid w:val="001268AC"/>
    <w:rsid w:val="00127E01"/>
    <w:rsid w:val="0013095A"/>
    <w:rsid w:val="00135261"/>
    <w:rsid w:val="001409FD"/>
    <w:rsid w:val="00142279"/>
    <w:rsid w:val="0014370C"/>
    <w:rsid w:val="00145000"/>
    <w:rsid w:val="00152E4E"/>
    <w:rsid w:val="001543E9"/>
    <w:rsid w:val="00161A89"/>
    <w:rsid w:val="0018395A"/>
    <w:rsid w:val="001943FE"/>
    <w:rsid w:val="001954AD"/>
    <w:rsid w:val="00195BFA"/>
    <w:rsid w:val="001A18EC"/>
    <w:rsid w:val="001C6183"/>
    <w:rsid w:val="001D2947"/>
    <w:rsid w:val="001D62D5"/>
    <w:rsid w:val="001E036F"/>
    <w:rsid w:val="001E097D"/>
    <w:rsid w:val="001E3905"/>
    <w:rsid w:val="001E7968"/>
    <w:rsid w:val="001F1FC7"/>
    <w:rsid w:val="001F664D"/>
    <w:rsid w:val="002000CC"/>
    <w:rsid w:val="00204020"/>
    <w:rsid w:val="00210557"/>
    <w:rsid w:val="00210F3A"/>
    <w:rsid w:val="00225EB4"/>
    <w:rsid w:val="00236A57"/>
    <w:rsid w:val="00251B5F"/>
    <w:rsid w:val="00257B07"/>
    <w:rsid w:val="00263A18"/>
    <w:rsid w:val="00270F61"/>
    <w:rsid w:val="00271740"/>
    <w:rsid w:val="002760C3"/>
    <w:rsid w:val="00282C67"/>
    <w:rsid w:val="00284F36"/>
    <w:rsid w:val="00285C8C"/>
    <w:rsid w:val="00286EA5"/>
    <w:rsid w:val="00292EE8"/>
    <w:rsid w:val="00293719"/>
    <w:rsid w:val="002A35B2"/>
    <w:rsid w:val="002A38DE"/>
    <w:rsid w:val="002A64D6"/>
    <w:rsid w:val="002B18A1"/>
    <w:rsid w:val="002C18C7"/>
    <w:rsid w:val="002C5F80"/>
    <w:rsid w:val="002D1DDD"/>
    <w:rsid w:val="002E167A"/>
    <w:rsid w:val="002E4877"/>
    <w:rsid w:val="002E5681"/>
    <w:rsid w:val="002F1A1D"/>
    <w:rsid w:val="002F1CD0"/>
    <w:rsid w:val="002F1EB9"/>
    <w:rsid w:val="002F2B51"/>
    <w:rsid w:val="002F38F9"/>
    <w:rsid w:val="002F4A2C"/>
    <w:rsid w:val="00300B41"/>
    <w:rsid w:val="00301320"/>
    <w:rsid w:val="00314EF0"/>
    <w:rsid w:val="0032055E"/>
    <w:rsid w:val="003227CB"/>
    <w:rsid w:val="00324CD0"/>
    <w:rsid w:val="00330BFE"/>
    <w:rsid w:val="003337B8"/>
    <w:rsid w:val="00335D6C"/>
    <w:rsid w:val="00337669"/>
    <w:rsid w:val="00341998"/>
    <w:rsid w:val="00346E78"/>
    <w:rsid w:val="00351B66"/>
    <w:rsid w:val="00353A3D"/>
    <w:rsid w:val="00354A40"/>
    <w:rsid w:val="00355B80"/>
    <w:rsid w:val="00357C97"/>
    <w:rsid w:val="003660CA"/>
    <w:rsid w:val="0036721A"/>
    <w:rsid w:val="00367D7F"/>
    <w:rsid w:val="00371DAA"/>
    <w:rsid w:val="00385A7E"/>
    <w:rsid w:val="00386FD5"/>
    <w:rsid w:val="003943AC"/>
    <w:rsid w:val="003960AE"/>
    <w:rsid w:val="003A2AC2"/>
    <w:rsid w:val="003A3AC0"/>
    <w:rsid w:val="003A603E"/>
    <w:rsid w:val="003B0BC6"/>
    <w:rsid w:val="003B3D53"/>
    <w:rsid w:val="003B72F0"/>
    <w:rsid w:val="003C7562"/>
    <w:rsid w:val="003D0E7E"/>
    <w:rsid w:val="003D19C0"/>
    <w:rsid w:val="003D50D1"/>
    <w:rsid w:val="003E0B53"/>
    <w:rsid w:val="003E2F46"/>
    <w:rsid w:val="003E4517"/>
    <w:rsid w:val="003E5FE9"/>
    <w:rsid w:val="003E6FBE"/>
    <w:rsid w:val="00401CB5"/>
    <w:rsid w:val="004053B8"/>
    <w:rsid w:val="00410CD2"/>
    <w:rsid w:val="004131B6"/>
    <w:rsid w:val="004151AC"/>
    <w:rsid w:val="0041612D"/>
    <w:rsid w:val="00433896"/>
    <w:rsid w:val="00440691"/>
    <w:rsid w:val="004432C9"/>
    <w:rsid w:val="00452E1F"/>
    <w:rsid w:val="00454AC5"/>
    <w:rsid w:val="00456846"/>
    <w:rsid w:val="00466E61"/>
    <w:rsid w:val="00476D14"/>
    <w:rsid w:val="00490985"/>
    <w:rsid w:val="00497093"/>
    <w:rsid w:val="004A2F4F"/>
    <w:rsid w:val="004A5C4E"/>
    <w:rsid w:val="004B25D7"/>
    <w:rsid w:val="004B4491"/>
    <w:rsid w:val="004C5A14"/>
    <w:rsid w:val="004D6F21"/>
    <w:rsid w:val="004E0DF2"/>
    <w:rsid w:val="004E1201"/>
    <w:rsid w:val="00510B6A"/>
    <w:rsid w:val="00510BA8"/>
    <w:rsid w:val="0051207E"/>
    <w:rsid w:val="00513A21"/>
    <w:rsid w:val="00521415"/>
    <w:rsid w:val="005246E6"/>
    <w:rsid w:val="00527AB2"/>
    <w:rsid w:val="00533E5C"/>
    <w:rsid w:val="0053489A"/>
    <w:rsid w:val="005414A6"/>
    <w:rsid w:val="00546A15"/>
    <w:rsid w:val="00556A8D"/>
    <w:rsid w:val="00561EBF"/>
    <w:rsid w:val="00562F50"/>
    <w:rsid w:val="00564687"/>
    <w:rsid w:val="00571EEB"/>
    <w:rsid w:val="00573511"/>
    <w:rsid w:val="00573590"/>
    <w:rsid w:val="005758B3"/>
    <w:rsid w:val="00580962"/>
    <w:rsid w:val="0058694B"/>
    <w:rsid w:val="00591EA6"/>
    <w:rsid w:val="0059306F"/>
    <w:rsid w:val="00596B3F"/>
    <w:rsid w:val="005A08DB"/>
    <w:rsid w:val="005A3F8A"/>
    <w:rsid w:val="005B1BA8"/>
    <w:rsid w:val="005B2C1A"/>
    <w:rsid w:val="005B7F36"/>
    <w:rsid w:val="005C2433"/>
    <w:rsid w:val="005C3CC2"/>
    <w:rsid w:val="005C7AB3"/>
    <w:rsid w:val="005D386B"/>
    <w:rsid w:val="005E1CC0"/>
    <w:rsid w:val="005E5BE3"/>
    <w:rsid w:val="005E5C3D"/>
    <w:rsid w:val="005E688D"/>
    <w:rsid w:val="005F3C9D"/>
    <w:rsid w:val="005F6DAD"/>
    <w:rsid w:val="005F714C"/>
    <w:rsid w:val="00601B5B"/>
    <w:rsid w:val="00607CDD"/>
    <w:rsid w:val="00607F72"/>
    <w:rsid w:val="00610034"/>
    <w:rsid w:val="00616506"/>
    <w:rsid w:val="006211C1"/>
    <w:rsid w:val="006229C3"/>
    <w:rsid w:val="006229D7"/>
    <w:rsid w:val="0062555A"/>
    <w:rsid w:val="00631BF2"/>
    <w:rsid w:val="0063300F"/>
    <w:rsid w:val="006413B1"/>
    <w:rsid w:val="006448DA"/>
    <w:rsid w:val="006500B1"/>
    <w:rsid w:val="00655D30"/>
    <w:rsid w:val="0066139C"/>
    <w:rsid w:val="00662A58"/>
    <w:rsid w:val="006667F9"/>
    <w:rsid w:val="00670C35"/>
    <w:rsid w:val="006856EA"/>
    <w:rsid w:val="00690233"/>
    <w:rsid w:val="006907E5"/>
    <w:rsid w:val="006923F5"/>
    <w:rsid w:val="0069277E"/>
    <w:rsid w:val="00697FBE"/>
    <w:rsid w:val="006A4BA7"/>
    <w:rsid w:val="006A5363"/>
    <w:rsid w:val="006A59DE"/>
    <w:rsid w:val="006B2412"/>
    <w:rsid w:val="006B7ADE"/>
    <w:rsid w:val="006C0FD4"/>
    <w:rsid w:val="006E168F"/>
    <w:rsid w:val="006E2C25"/>
    <w:rsid w:val="006F0080"/>
    <w:rsid w:val="006F210F"/>
    <w:rsid w:val="006F3F5F"/>
    <w:rsid w:val="006F578F"/>
    <w:rsid w:val="00702173"/>
    <w:rsid w:val="00705002"/>
    <w:rsid w:val="007101D6"/>
    <w:rsid w:val="0071630F"/>
    <w:rsid w:val="007168F0"/>
    <w:rsid w:val="00717642"/>
    <w:rsid w:val="007262D6"/>
    <w:rsid w:val="00730DD8"/>
    <w:rsid w:val="00743B44"/>
    <w:rsid w:val="00790010"/>
    <w:rsid w:val="007A2517"/>
    <w:rsid w:val="007A35AE"/>
    <w:rsid w:val="007A3601"/>
    <w:rsid w:val="007B70DE"/>
    <w:rsid w:val="007C07DC"/>
    <w:rsid w:val="007D4434"/>
    <w:rsid w:val="007D49D2"/>
    <w:rsid w:val="007D548C"/>
    <w:rsid w:val="007E45DD"/>
    <w:rsid w:val="0080150D"/>
    <w:rsid w:val="00802F48"/>
    <w:rsid w:val="008042BE"/>
    <w:rsid w:val="00805FD8"/>
    <w:rsid w:val="0081353F"/>
    <w:rsid w:val="00814100"/>
    <w:rsid w:val="00814DDC"/>
    <w:rsid w:val="008167AE"/>
    <w:rsid w:val="00820E79"/>
    <w:rsid w:val="008217EA"/>
    <w:rsid w:val="00824CB2"/>
    <w:rsid w:val="00826AF3"/>
    <w:rsid w:val="00832551"/>
    <w:rsid w:val="00832C0E"/>
    <w:rsid w:val="0084447F"/>
    <w:rsid w:val="00846A26"/>
    <w:rsid w:val="00847D08"/>
    <w:rsid w:val="008616CD"/>
    <w:rsid w:val="008627B4"/>
    <w:rsid w:val="00866FED"/>
    <w:rsid w:val="00872BD1"/>
    <w:rsid w:val="00873B4E"/>
    <w:rsid w:val="00873C87"/>
    <w:rsid w:val="0087715F"/>
    <w:rsid w:val="00877AC1"/>
    <w:rsid w:val="00885873"/>
    <w:rsid w:val="008864CB"/>
    <w:rsid w:val="0088693E"/>
    <w:rsid w:val="00886C7B"/>
    <w:rsid w:val="00887BB6"/>
    <w:rsid w:val="008A2957"/>
    <w:rsid w:val="008A7F93"/>
    <w:rsid w:val="008B3392"/>
    <w:rsid w:val="008B4AAB"/>
    <w:rsid w:val="008B5CA4"/>
    <w:rsid w:val="008C0DEA"/>
    <w:rsid w:val="008C33E2"/>
    <w:rsid w:val="008D1A83"/>
    <w:rsid w:val="008D75D9"/>
    <w:rsid w:val="008E3BCE"/>
    <w:rsid w:val="008E7346"/>
    <w:rsid w:val="008F13AF"/>
    <w:rsid w:val="008F2AAD"/>
    <w:rsid w:val="008F3A78"/>
    <w:rsid w:val="008F48CD"/>
    <w:rsid w:val="00904E53"/>
    <w:rsid w:val="0090567A"/>
    <w:rsid w:val="00907707"/>
    <w:rsid w:val="00917A83"/>
    <w:rsid w:val="00917B2A"/>
    <w:rsid w:val="009272EE"/>
    <w:rsid w:val="009274FC"/>
    <w:rsid w:val="00954F2B"/>
    <w:rsid w:val="00965642"/>
    <w:rsid w:val="00967C94"/>
    <w:rsid w:val="00972174"/>
    <w:rsid w:val="00974E1D"/>
    <w:rsid w:val="00975AF0"/>
    <w:rsid w:val="009851A6"/>
    <w:rsid w:val="00986E6B"/>
    <w:rsid w:val="00987EF4"/>
    <w:rsid w:val="00992C7A"/>
    <w:rsid w:val="009A117D"/>
    <w:rsid w:val="009A154A"/>
    <w:rsid w:val="009A4B6B"/>
    <w:rsid w:val="009A515B"/>
    <w:rsid w:val="009A6E89"/>
    <w:rsid w:val="009B02B8"/>
    <w:rsid w:val="009B28E3"/>
    <w:rsid w:val="009B51A4"/>
    <w:rsid w:val="009B532C"/>
    <w:rsid w:val="009C41B1"/>
    <w:rsid w:val="009C77B2"/>
    <w:rsid w:val="009D2570"/>
    <w:rsid w:val="009E0F27"/>
    <w:rsid w:val="009E158B"/>
    <w:rsid w:val="009E41D1"/>
    <w:rsid w:val="009F2F08"/>
    <w:rsid w:val="009F3AB1"/>
    <w:rsid w:val="009F4115"/>
    <w:rsid w:val="009F46B7"/>
    <w:rsid w:val="009F50BC"/>
    <w:rsid w:val="009F60B3"/>
    <w:rsid w:val="009F69BB"/>
    <w:rsid w:val="00A00521"/>
    <w:rsid w:val="00A00922"/>
    <w:rsid w:val="00A00E09"/>
    <w:rsid w:val="00A0570B"/>
    <w:rsid w:val="00A070B0"/>
    <w:rsid w:val="00A0795C"/>
    <w:rsid w:val="00A10CEB"/>
    <w:rsid w:val="00A11850"/>
    <w:rsid w:val="00A1246C"/>
    <w:rsid w:val="00A26282"/>
    <w:rsid w:val="00A27E70"/>
    <w:rsid w:val="00A31F69"/>
    <w:rsid w:val="00A36BC0"/>
    <w:rsid w:val="00A373EF"/>
    <w:rsid w:val="00A40489"/>
    <w:rsid w:val="00A4696B"/>
    <w:rsid w:val="00A50920"/>
    <w:rsid w:val="00A51081"/>
    <w:rsid w:val="00A556F0"/>
    <w:rsid w:val="00A556F2"/>
    <w:rsid w:val="00A57304"/>
    <w:rsid w:val="00A6219D"/>
    <w:rsid w:val="00A62FEC"/>
    <w:rsid w:val="00A700FF"/>
    <w:rsid w:val="00A72C2B"/>
    <w:rsid w:val="00A7591E"/>
    <w:rsid w:val="00A76B94"/>
    <w:rsid w:val="00A770DD"/>
    <w:rsid w:val="00A8090E"/>
    <w:rsid w:val="00A847FF"/>
    <w:rsid w:val="00A86534"/>
    <w:rsid w:val="00A8685A"/>
    <w:rsid w:val="00A86D0A"/>
    <w:rsid w:val="00A93180"/>
    <w:rsid w:val="00A946D6"/>
    <w:rsid w:val="00A94D41"/>
    <w:rsid w:val="00A950DA"/>
    <w:rsid w:val="00A973A3"/>
    <w:rsid w:val="00AA55EC"/>
    <w:rsid w:val="00AA5A3F"/>
    <w:rsid w:val="00AB3525"/>
    <w:rsid w:val="00AB7083"/>
    <w:rsid w:val="00AC036C"/>
    <w:rsid w:val="00AC03E8"/>
    <w:rsid w:val="00AC0E5E"/>
    <w:rsid w:val="00AC3753"/>
    <w:rsid w:val="00AE324C"/>
    <w:rsid w:val="00AE5382"/>
    <w:rsid w:val="00AF036D"/>
    <w:rsid w:val="00AF36C9"/>
    <w:rsid w:val="00AF5A85"/>
    <w:rsid w:val="00B01A1D"/>
    <w:rsid w:val="00B041A0"/>
    <w:rsid w:val="00B04905"/>
    <w:rsid w:val="00B04FCF"/>
    <w:rsid w:val="00B0565E"/>
    <w:rsid w:val="00B1031D"/>
    <w:rsid w:val="00B10E6B"/>
    <w:rsid w:val="00B37824"/>
    <w:rsid w:val="00B43B05"/>
    <w:rsid w:val="00B46933"/>
    <w:rsid w:val="00B730B1"/>
    <w:rsid w:val="00B7517C"/>
    <w:rsid w:val="00B82272"/>
    <w:rsid w:val="00B90E66"/>
    <w:rsid w:val="00BA1553"/>
    <w:rsid w:val="00BA2F5A"/>
    <w:rsid w:val="00BA6517"/>
    <w:rsid w:val="00BA79F6"/>
    <w:rsid w:val="00BB2A13"/>
    <w:rsid w:val="00BB4B10"/>
    <w:rsid w:val="00BB6177"/>
    <w:rsid w:val="00BC2D45"/>
    <w:rsid w:val="00BC6D95"/>
    <w:rsid w:val="00BD2CED"/>
    <w:rsid w:val="00BD405B"/>
    <w:rsid w:val="00BD61BE"/>
    <w:rsid w:val="00BD681F"/>
    <w:rsid w:val="00BE47B9"/>
    <w:rsid w:val="00BE7E47"/>
    <w:rsid w:val="00BF129C"/>
    <w:rsid w:val="00BF1795"/>
    <w:rsid w:val="00BF210B"/>
    <w:rsid w:val="00BF32AA"/>
    <w:rsid w:val="00BF3F95"/>
    <w:rsid w:val="00C119C8"/>
    <w:rsid w:val="00C14107"/>
    <w:rsid w:val="00C14131"/>
    <w:rsid w:val="00C14AFD"/>
    <w:rsid w:val="00C20657"/>
    <w:rsid w:val="00C24E0C"/>
    <w:rsid w:val="00C25384"/>
    <w:rsid w:val="00C31693"/>
    <w:rsid w:val="00C35579"/>
    <w:rsid w:val="00C40AB7"/>
    <w:rsid w:val="00C431F3"/>
    <w:rsid w:val="00C436E9"/>
    <w:rsid w:val="00C5254C"/>
    <w:rsid w:val="00C53FAC"/>
    <w:rsid w:val="00C65BF2"/>
    <w:rsid w:val="00C7340B"/>
    <w:rsid w:val="00C73ECA"/>
    <w:rsid w:val="00C76D31"/>
    <w:rsid w:val="00C83431"/>
    <w:rsid w:val="00C8736B"/>
    <w:rsid w:val="00C907CC"/>
    <w:rsid w:val="00C94649"/>
    <w:rsid w:val="00CA3BF1"/>
    <w:rsid w:val="00CB045E"/>
    <w:rsid w:val="00CB17AB"/>
    <w:rsid w:val="00CC69C1"/>
    <w:rsid w:val="00CC79AF"/>
    <w:rsid w:val="00CD560A"/>
    <w:rsid w:val="00CD5627"/>
    <w:rsid w:val="00CD7C38"/>
    <w:rsid w:val="00CE5BE6"/>
    <w:rsid w:val="00CF11BB"/>
    <w:rsid w:val="00CF3026"/>
    <w:rsid w:val="00CF6630"/>
    <w:rsid w:val="00D02898"/>
    <w:rsid w:val="00D11C1C"/>
    <w:rsid w:val="00D13307"/>
    <w:rsid w:val="00D16DAF"/>
    <w:rsid w:val="00D25E4E"/>
    <w:rsid w:val="00D4458A"/>
    <w:rsid w:val="00D53CC4"/>
    <w:rsid w:val="00D66ACD"/>
    <w:rsid w:val="00D70932"/>
    <w:rsid w:val="00D72683"/>
    <w:rsid w:val="00D749F8"/>
    <w:rsid w:val="00D91F39"/>
    <w:rsid w:val="00D96BA2"/>
    <w:rsid w:val="00DA2818"/>
    <w:rsid w:val="00DA7319"/>
    <w:rsid w:val="00DB0D2C"/>
    <w:rsid w:val="00DD48EC"/>
    <w:rsid w:val="00DD5750"/>
    <w:rsid w:val="00DE34F5"/>
    <w:rsid w:val="00DE4D40"/>
    <w:rsid w:val="00E04B64"/>
    <w:rsid w:val="00E06F6C"/>
    <w:rsid w:val="00E10139"/>
    <w:rsid w:val="00E155DC"/>
    <w:rsid w:val="00E16BCA"/>
    <w:rsid w:val="00E23DD1"/>
    <w:rsid w:val="00E250B3"/>
    <w:rsid w:val="00E26FA9"/>
    <w:rsid w:val="00E32F9F"/>
    <w:rsid w:val="00E42E2D"/>
    <w:rsid w:val="00E455CB"/>
    <w:rsid w:val="00E46B08"/>
    <w:rsid w:val="00E507B7"/>
    <w:rsid w:val="00E722A6"/>
    <w:rsid w:val="00E7267B"/>
    <w:rsid w:val="00E74EBE"/>
    <w:rsid w:val="00E80133"/>
    <w:rsid w:val="00E808EA"/>
    <w:rsid w:val="00E80A84"/>
    <w:rsid w:val="00E8357B"/>
    <w:rsid w:val="00E8425C"/>
    <w:rsid w:val="00E84469"/>
    <w:rsid w:val="00E84600"/>
    <w:rsid w:val="00E865C7"/>
    <w:rsid w:val="00E93E9D"/>
    <w:rsid w:val="00EB1A96"/>
    <w:rsid w:val="00EB40B7"/>
    <w:rsid w:val="00EB4D3A"/>
    <w:rsid w:val="00EC1B4D"/>
    <w:rsid w:val="00EC4049"/>
    <w:rsid w:val="00EC7BAC"/>
    <w:rsid w:val="00ED114D"/>
    <w:rsid w:val="00ED16EB"/>
    <w:rsid w:val="00EE0380"/>
    <w:rsid w:val="00EE0CE8"/>
    <w:rsid w:val="00EE334B"/>
    <w:rsid w:val="00EE69B7"/>
    <w:rsid w:val="00EF2134"/>
    <w:rsid w:val="00EF7855"/>
    <w:rsid w:val="00F107BA"/>
    <w:rsid w:val="00F10E58"/>
    <w:rsid w:val="00F12EC6"/>
    <w:rsid w:val="00F20D83"/>
    <w:rsid w:val="00F33069"/>
    <w:rsid w:val="00F43445"/>
    <w:rsid w:val="00F4408C"/>
    <w:rsid w:val="00F55E9D"/>
    <w:rsid w:val="00F61B31"/>
    <w:rsid w:val="00F632A6"/>
    <w:rsid w:val="00F63DEB"/>
    <w:rsid w:val="00F72F8C"/>
    <w:rsid w:val="00F7561A"/>
    <w:rsid w:val="00F82BE1"/>
    <w:rsid w:val="00F84661"/>
    <w:rsid w:val="00F86B20"/>
    <w:rsid w:val="00F90446"/>
    <w:rsid w:val="00F9335B"/>
    <w:rsid w:val="00F96221"/>
    <w:rsid w:val="00F96BD2"/>
    <w:rsid w:val="00FA0B22"/>
    <w:rsid w:val="00FA1D4A"/>
    <w:rsid w:val="00FA3CBE"/>
    <w:rsid w:val="00FA3D83"/>
    <w:rsid w:val="00FA7C28"/>
    <w:rsid w:val="00FB4CAE"/>
    <w:rsid w:val="00FB5D0B"/>
    <w:rsid w:val="00FB5F2B"/>
    <w:rsid w:val="00FC05B9"/>
    <w:rsid w:val="00FC2116"/>
    <w:rsid w:val="00FC52EF"/>
    <w:rsid w:val="00FD1524"/>
    <w:rsid w:val="00FD2510"/>
    <w:rsid w:val="00FD3EA5"/>
    <w:rsid w:val="00FD7399"/>
    <w:rsid w:val="00FE3C7E"/>
    <w:rsid w:val="00FE715E"/>
    <w:rsid w:val="00FF1E5D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1E38D5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EA5"/>
  </w:style>
  <w:style w:type="paragraph" w:styleId="Nagwek1">
    <w:name w:val="heading 1"/>
    <w:basedOn w:val="Normalny"/>
    <w:next w:val="Normalny"/>
    <w:link w:val="Nagwek1Znak"/>
    <w:uiPriority w:val="9"/>
    <w:qFormat/>
    <w:rsid w:val="00790010"/>
    <w:pPr>
      <w:keepNext/>
      <w:keepLines/>
      <w:spacing w:after="0" w:line="360" w:lineRule="auto"/>
      <w:jc w:val="right"/>
      <w:outlineLvl w:val="0"/>
    </w:pPr>
    <w:rPr>
      <w:rFonts w:ascii="Arial" w:eastAsiaTheme="majorEastAsia" w:hAnsi="Arial" w:cstheme="majorBidi"/>
      <w:color w:val="262626" w:themeColor="text1" w:themeTint="D9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86E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86E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EA5"/>
    <w:pPr>
      <w:keepNext/>
      <w:keepLines/>
      <w:spacing w:before="40" w:after="0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EA5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EA5"/>
    <w:pPr>
      <w:keepNext/>
      <w:keepLines/>
      <w:spacing w:before="40" w:after="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E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EA5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EA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10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styleId="Numerstrony">
    <w:name w:val="page number"/>
    <w:basedOn w:val="Domylnaczcionkaakapitu"/>
    <w:rsid w:val="00210557"/>
  </w:style>
  <w:style w:type="paragraph" w:styleId="Nagwek">
    <w:name w:val="header"/>
    <w:basedOn w:val="Normalny"/>
    <w:link w:val="NagwekZnak"/>
    <w:uiPriority w:val="99"/>
    <w:unhideWhenUsed/>
    <w:rsid w:val="00210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Default">
    <w:name w:val="Default"/>
    <w:rsid w:val="0021055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105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05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55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E3D9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qFormat/>
    <w:rsid w:val="00263A18"/>
    <w:pPr>
      <w:tabs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6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263A18"/>
    <w:rPr>
      <w:rFonts w:ascii="Arial" w:eastAsia="Times New Roman" w:hAnsi="Arial" w:cs="Times New Roman"/>
      <w:sz w:val="16"/>
      <w:szCs w:val="20"/>
      <w:lang w:eastAsia="pl-PL"/>
    </w:rPr>
  </w:style>
  <w:style w:type="character" w:styleId="Odwoanieprzypisudolnego">
    <w:name w:val="footnote reference"/>
    <w:aliases w:val="Footnote Reference Number,Odwołanie przypisu,EN Footnote Reference,Times 10 Point,Exposant 3 Point,Footnote symbol,Footnote reference number,note TESI,stylish,Footnote Reference Superscript,Znak Znak11,Footnote Reference/"/>
    <w:uiPriority w:val="99"/>
    <w:qFormat/>
    <w:rsid w:val="00263A1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DE34F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E34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34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4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4F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86EA5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customStyle="1" w:styleId="Standard">
    <w:name w:val="Standard"/>
    <w:rsid w:val="0062555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character" w:customStyle="1" w:styleId="FootnoteSymbol">
    <w:name w:val="Footnote Symbol"/>
    <w:rsid w:val="0062555A"/>
    <w:rPr>
      <w:position w:val="0"/>
      <w:vertAlign w:val="superscript"/>
    </w:rPr>
  </w:style>
  <w:style w:type="character" w:customStyle="1" w:styleId="TekstprzypisudolnegoZnak1">
    <w:name w:val="Tekst przypisu dolnego Znak1"/>
    <w:uiPriority w:val="99"/>
    <w:semiHidden/>
    <w:rsid w:val="00A946D6"/>
    <w:rPr>
      <w:kern w:val="3"/>
      <w:szCs w:val="18"/>
      <w:lang w:eastAsia="zh-CN" w:bidi="hi-IN"/>
    </w:rPr>
  </w:style>
  <w:style w:type="table" w:styleId="Tabela-Siatka">
    <w:name w:val="Table Grid"/>
    <w:basedOn w:val="Standardowy"/>
    <w:uiPriority w:val="59"/>
    <w:unhideWhenUsed/>
    <w:rsid w:val="007D4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90010"/>
    <w:rPr>
      <w:rFonts w:ascii="Arial" w:eastAsiaTheme="majorEastAsia" w:hAnsi="Arial" w:cstheme="majorBidi"/>
      <w:color w:val="262626" w:themeColor="text1" w:themeTint="D9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86EA5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EA5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EA5"/>
    <w:rPr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EA5"/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EA5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EA5"/>
    <w:rPr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EA5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86EA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86EA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EA5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286EA5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286EA5"/>
    <w:rPr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286EA5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286EA5"/>
    <w:rPr>
      <w:i/>
      <w:iCs/>
      <w:color w:val="auto"/>
    </w:rPr>
  </w:style>
  <w:style w:type="paragraph" w:styleId="Bezodstpw">
    <w:name w:val="No Spacing"/>
    <w:uiPriority w:val="1"/>
    <w:qFormat/>
    <w:rsid w:val="00286EA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86EA5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EA5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EA5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EA5"/>
    <w:rPr>
      <w:i/>
      <w:iCs/>
      <w:color w:val="404040" w:themeColor="text1" w:themeTint="BF"/>
    </w:rPr>
  </w:style>
  <w:style w:type="character" w:styleId="Wyrnieniedelikatne">
    <w:name w:val="Subtle Emphasis"/>
    <w:basedOn w:val="Domylnaczcionkaakapitu"/>
    <w:uiPriority w:val="19"/>
    <w:qFormat/>
    <w:rsid w:val="00286EA5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86EA5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286EA5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286EA5"/>
    <w:rPr>
      <w:b/>
      <w:bCs/>
      <w:smallCaps/>
      <w:color w:val="404040" w:themeColor="text1" w:themeTint="BF"/>
      <w:spacing w:val="5"/>
    </w:rPr>
  </w:style>
  <w:style w:type="character" w:styleId="Tytuksiki">
    <w:name w:val="Book Title"/>
    <w:basedOn w:val="Domylnaczcionkaakapitu"/>
    <w:uiPriority w:val="33"/>
    <w:qFormat/>
    <w:rsid w:val="00286EA5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86EA5"/>
    <w:pPr>
      <w:outlineLvl w:val="9"/>
    </w:pPr>
  </w:style>
  <w:style w:type="character" w:customStyle="1" w:styleId="markedcontent">
    <w:name w:val="markedcontent"/>
    <w:basedOn w:val="Domylnaczcionkaakapitu"/>
    <w:rsid w:val="00117135"/>
  </w:style>
  <w:style w:type="character" w:styleId="Hipercze">
    <w:name w:val="Hyperlink"/>
    <w:basedOn w:val="Domylnaczcionkaakapitu"/>
    <w:uiPriority w:val="99"/>
    <w:unhideWhenUsed/>
    <w:rsid w:val="00D91F3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F1EB9"/>
    <w:rPr>
      <w:color w:val="800080" w:themeColor="followedHyperlink"/>
      <w:u w:val="single"/>
    </w:rPr>
  </w:style>
  <w:style w:type="paragraph" w:customStyle="1" w:styleId="pf0">
    <w:name w:val="pf0"/>
    <w:basedOn w:val="Normalny"/>
    <w:rsid w:val="00887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887BB6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A5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1">
    <w:name w:val="Bieżąca lista1"/>
    <w:uiPriority w:val="99"/>
    <w:rsid w:val="001F1FC7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Kilowatogodzin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waluacja.gov.pl/strony/monitorowanie/lista-wskaznikow-kluczowych/lista-wskaznikow-kluczowych-efrr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pl.wikipedia.org/wiki/D%C5%BCu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.wikipedia.org/wiki/Giga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9246A-182C-4091-A0C5-00C7210B1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3152</Words>
  <Characters>18915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wskaźników (EFRR) 10-15 RLM</vt:lpstr>
    </vt:vector>
  </TitlesOfParts>
  <Company/>
  <LinksUpToDate>false</LinksUpToDate>
  <CharactersWithSpaces>22023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wskaźników (EFRR) 10-15 RLM</dc:title>
  <dc:creator/>
  <cp:lastModifiedBy/>
  <cp:revision>1</cp:revision>
  <dcterms:created xsi:type="dcterms:W3CDTF">2024-04-22T07:35:00Z</dcterms:created>
  <dcterms:modified xsi:type="dcterms:W3CDTF">2024-09-04T10:03:00Z</dcterms:modified>
</cp:coreProperties>
</file>