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7F3C" w14:textId="77777777" w:rsidR="00B205B8" w:rsidRDefault="00B205B8" w:rsidP="00B205B8">
      <w:pPr>
        <w:pStyle w:val="SzOOP2"/>
        <w:numPr>
          <w:ilvl w:val="0"/>
          <w:numId w:val="0"/>
        </w:numPr>
        <w:tabs>
          <w:tab w:val="clear" w:pos="992"/>
          <w:tab w:val="left" w:pos="851"/>
        </w:tabs>
        <w:spacing w:after="240"/>
        <w:jc w:val="center"/>
        <w:rPr>
          <w:rFonts w:asciiTheme="minorHAnsi" w:hAnsiTheme="minorHAnsi"/>
        </w:rPr>
      </w:pPr>
      <w:bookmarkStart w:id="0" w:name="_Toc433875232"/>
      <w:bookmarkStart w:id="1" w:name="_Toc441241801"/>
      <w:r w:rsidRPr="00B3081B">
        <w:rPr>
          <w:noProof/>
        </w:rPr>
        <w:drawing>
          <wp:inline distT="0" distB="0" distL="0" distR="0" wp14:anchorId="4932FB7C" wp14:editId="43E6975E">
            <wp:extent cx="6076950" cy="581025"/>
            <wp:effectExtent l="0" t="0" r="0" b="9525"/>
            <wp:docPr id="1" name="Obraz 1" descr="RPO+FLAGA RP+MAZOWSZE+EF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RPO+FLAGA RP+MAZOWSZE+EFS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C3F1A5" w14:textId="77777777" w:rsidR="000D1A91" w:rsidRPr="0018044E" w:rsidRDefault="000D1A91" w:rsidP="000C4D08">
      <w:pPr>
        <w:pStyle w:val="SzOOP2"/>
        <w:numPr>
          <w:ilvl w:val="0"/>
          <w:numId w:val="0"/>
        </w:numPr>
        <w:tabs>
          <w:tab w:val="clear" w:pos="992"/>
          <w:tab w:val="left" w:pos="851"/>
        </w:tabs>
        <w:spacing w:after="240"/>
        <w:rPr>
          <w:rFonts w:asciiTheme="minorHAnsi" w:hAnsiTheme="minorHAnsi"/>
        </w:rPr>
      </w:pPr>
      <w:r w:rsidRPr="0018044E">
        <w:rPr>
          <w:rFonts w:asciiTheme="minorHAnsi" w:hAnsiTheme="minorHAnsi"/>
        </w:rPr>
        <w:t>Załącznik 1 - Tabela transpozycji PI na działania/ poddziałania w poszczególnych osiach priorytetowych</w:t>
      </w:r>
      <w:bookmarkEnd w:id="0"/>
      <w:bookmarkEnd w:id="1"/>
    </w:p>
    <w:tbl>
      <w:tblPr>
        <w:tblW w:w="5000" w:type="pct"/>
        <w:tblBorders>
          <w:top w:val="single" w:sz="4" w:space="0" w:color="660066"/>
          <w:left w:val="single" w:sz="4" w:space="0" w:color="660066"/>
          <w:bottom w:val="single" w:sz="4" w:space="0" w:color="660066"/>
          <w:right w:val="single" w:sz="4" w:space="0" w:color="660066"/>
          <w:insideH w:val="single" w:sz="4" w:space="0" w:color="660066"/>
          <w:insideV w:val="single" w:sz="4" w:space="0" w:color="66006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Załacznik 1 do Szczegółowego Opisu Osi Priorytetowych"/>
        <w:tblDescription w:val="Tabela transpozycji Priorytetów Inwestycyjnych na działania/poddziałania w poszczególnych osiach priorytetowych zawiera: nazwę osi proiorytetowej, nr działania, nazwę działania nr poddziałania, nazwę poddziałania, cel tematyczny i priorytet tematyczny. "/>
      </w:tblPr>
      <w:tblGrid>
        <w:gridCol w:w="1808"/>
        <w:gridCol w:w="1022"/>
        <w:gridCol w:w="1276"/>
        <w:gridCol w:w="1419"/>
        <w:gridCol w:w="1842"/>
        <w:gridCol w:w="1984"/>
        <w:gridCol w:w="4643"/>
      </w:tblGrid>
      <w:tr w:rsidR="00DA33B1" w:rsidRPr="00C318FB" w14:paraId="4C7108FA" w14:textId="77777777" w:rsidTr="005E6F5D">
        <w:trPr>
          <w:trHeight w:val="720"/>
          <w:tblHeader/>
        </w:trPr>
        <w:tc>
          <w:tcPr>
            <w:tcW w:w="646" w:type="pct"/>
            <w:shd w:val="clear" w:color="000000" w:fill="E5E0EC"/>
            <w:vAlign w:val="center"/>
            <w:hideMark/>
          </w:tcPr>
          <w:p w14:paraId="131A206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Oś Priorytetowa</w:t>
            </w:r>
          </w:p>
        </w:tc>
        <w:tc>
          <w:tcPr>
            <w:tcW w:w="365" w:type="pct"/>
            <w:shd w:val="clear" w:color="000000" w:fill="E5E0EC"/>
            <w:vAlign w:val="center"/>
            <w:hideMark/>
          </w:tcPr>
          <w:p w14:paraId="6C5A0AF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Działania</w:t>
            </w:r>
          </w:p>
        </w:tc>
        <w:tc>
          <w:tcPr>
            <w:tcW w:w="456" w:type="pct"/>
            <w:shd w:val="clear" w:color="000000" w:fill="E5E0EC"/>
            <w:vAlign w:val="center"/>
            <w:hideMark/>
          </w:tcPr>
          <w:p w14:paraId="5563E07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Działania</w:t>
            </w:r>
          </w:p>
        </w:tc>
        <w:tc>
          <w:tcPr>
            <w:tcW w:w="507" w:type="pct"/>
            <w:shd w:val="clear" w:color="000000" w:fill="E5E0EC"/>
            <w:vAlign w:val="center"/>
            <w:hideMark/>
          </w:tcPr>
          <w:p w14:paraId="73A68E7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Nr Poddziałania</w:t>
            </w:r>
          </w:p>
        </w:tc>
        <w:tc>
          <w:tcPr>
            <w:tcW w:w="658" w:type="pct"/>
            <w:shd w:val="clear" w:color="000000" w:fill="E5E0EC"/>
            <w:vAlign w:val="center"/>
            <w:hideMark/>
          </w:tcPr>
          <w:p w14:paraId="57B5552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Nazwa Poddziałania</w:t>
            </w:r>
          </w:p>
        </w:tc>
        <w:tc>
          <w:tcPr>
            <w:tcW w:w="709" w:type="pct"/>
            <w:shd w:val="clear" w:color="000000" w:fill="E5E0EC"/>
            <w:vAlign w:val="center"/>
            <w:hideMark/>
          </w:tcPr>
          <w:p w14:paraId="628FDFC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Cel tematyczny</w:t>
            </w:r>
          </w:p>
        </w:tc>
        <w:tc>
          <w:tcPr>
            <w:tcW w:w="1659" w:type="pct"/>
            <w:shd w:val="clear" w:color="000000" w:fill="E5E0EC"/>
            <w:vAlign w:val="center"/>
            <w:hideMark/>
          </w:tcPr>
          <w:p w14:paraId="4488BABF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Priorytet inwestycyjny</w:t>
            </w:r>
          </w:p>
        </w:tc>
      </w:tr>
      <w:tr w:rsidR="00DA33B1" w:rsidRPr="00C318FB" w14:paraId="74E2D5F7" w14:textId="77777777" w:rsidTr="005E6F5D">
        <w:trPr>
          <w:trHeight w:val="1020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277245A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Wykorzystanie działalności badawczo-rozwojowej w gospodarce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5E5C6B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1.1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3B045DA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Działalność badawczo - rozwojowa jednostek naukowych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318991FB" w14:textId="77777777" w:rsidR="000D1A91" w:rsidRPr="00D4320A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05B21A83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1CAFBC4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Wzmacnianie badań naukowych, rozwoju technologicznego i innowacji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1CD6BB7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1a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Udoskonalanie infrastruktury B+I i zwiększanie zdolności do osiągnięcia doskonałości w zakresie B+I oraz wspieranie ośrodków kompetencji, w szczególności tych, które leżą w interesie Europy</w:t>
            </w:r>
          </w:p>
        </w:tc>
      </w:tr>
      <w:tr w:rsidR="00DA33B1" w:rsidRPr="00C318FB" w14:paraId="46E9E2CC" w14:textId="77777777" w:rsidTr="005E6F5D">
        <w:trPr>
          <w:trHeight w:val="1110"/>
        </w:trPr>
        <w:tc>
          <w:tcPr>
            <w:tcW w:w="646" w:type="pct"/>
            <w:vMerge/>
            <w:vAlign w:val="center"/>
            <w:hideMark/>
          </w:tcPr>
          <w:p w14:paraId="3D3749B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D14857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1.2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6750193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Działalność badawczo - rozwojowa przedsiębiorstw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06E432AB" w14:textId="77777777" w:rsidR="000D1A91" w:rsidRPr="00D4320A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pl-PL"/>
              </w:rPr>
            </w:pPr>
            <w:r w:rsidRPr="00D4320A"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7B787BDF" w14:textId="77777777" w:rsidR="000D1A91" w:rsidRPr="00D4320A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</w:pPr>
            <w:r w:rsidRPr="00D432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58350B3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05FC9B9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1b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Promowanie inwestycji przedsiębiorstw w badania i innowacje, rozwijanie powiązań i synergii między przedsiębiorstwami, ośrodkami badawczo-rozwojowymi i sektorem szkolnictwa wyższego, w szczególności promowanie inwestycji w zakresie rozwoju produktów i usług, transferu technologii, innowacji społecznych, </w:t>
            </w:r>
            <w:proofErr w:type="spellStart"/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ekoinnowacji</w:t>
            </w:r>
            <w:proofErr w:type="spellEnd"/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zastosowań w dziedzinie usług publicznych, tworzenia sieci, pobudzania popytu, klastrów i otwartych innowacji poprzez inteligentną specjalizację, oraz wspieranie badań technologicznych i stosowanych, linii pilotażowych, działań w zakresie wczesnej walidacji produktów, zaawansowanych zdolności produkcyjnych i pierwszej produkcji, w szczególności w dziedzinie kluczowych technologii 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wspomagających, oraz rozpowszechnianie technologii o ogólnym przeznaczeniu</w:t>
            </w:r>
          </w:p>
        </w:tc>
      </w:tr>
      <w:tr w:rsidR="00DA33B1" w:rsidRPr="00C318FB" w14:paraId="596B4FDB" w14:textId="77777777" w:rsidTr="005E6F5D">
        <w:trPr>
          <w:trHeight w:val="870"/>
        </w:trPr>
        <w:tc>
          <w:tcPr>
            <w:tcW w:w="646" w:type="pct"/>
            <w:vMerge w:val="restart"/>
            <w:shd w:val="clear" w:color="000000" w:fill="FFFFFF"/>
            <w:vAlign w:val="center"/>
            <w:hideMark/>
          </w:tcPr>
          <w:p w14:paraId="15AE780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II Wzrost e-potencjału Mazowsza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613EE50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2.1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44E4300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E-usługi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1126BA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2.1.1</w:t>
            </w:r>
          </w:p>
        </w:tc>
        <w:tc>
          <w:tcPr>
            <w:tcW w:w="658" w:type="pct"/>
            <w:shd w:val="clear" w:color="000000" w:fill="FFFFCC"/>
            <w:noWrap/>
            <w:vAlign w:val="center"/>
            <w:hideMark/>
          </w:tcPr>
          <w:p w14:paraId="3AB7F47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-usługi dla Mazowsza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3E29CE6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Zwiększanie dostępności, stopnia wykorzystania i jakości technologii informacyjnych i komunikacyjnych (TIK)</w:t>
            </w: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64DEFBB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2c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Wzmocnienie zastosowań TIK dla e-administracji, e-uczenia się, e-włączenia społecznego, e-kultury i e-zdrowia</w:t>
            </w:r>
          </w:p>
        </w:tc>
      </w:tr>
      <w:tr w:rsidR="00DA33B1" w:rsidRPr="00C318FB" w14:paraId="543ABDDC" w14:textId="77777777" w:rsidTr="005E6F5D">
        <w:trPr>
          <w:trHeight w:val="870"/>
        </w:trPr>
        <w:tc>
          <w:tcPr>
            <w:tcW w:w="646" w:type="pct"/>
            <w:vMerge/>
            <w:vAlign w:val="center"/>
            <w:hideMark/>
          </w:tcPr>
          <w:p w14:paraId="04E35D2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217862E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2277F0D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E5E702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2.1.2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38011CB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 -usługi dla Mazowsza w ramach ZIT</w:t>
            </w:r>
          </w:p>
        </w:tc>
        <w:tc>
          <w:tcPr>
            <w:tcW w:w="709" w:type="pct"/>
            <w:vMerge/>
            <w:vAlign w:val="center"/>
            <w:hideMark/>
          </w:tcPr>
          <w:p w14:paraId="1DB6D02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095D1D5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05B54FFB" w14:textId="77777777" w:rsidTr="005E6F5D">
        <w:trPr>
          <w:trHeight w:val="510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6C92906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III Rozwój potencjału innowacyjnego i przedsiębiorczości 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4DBB172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1D73717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Poprawa rozwoju MŚP na Mazowszu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0D463E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3.1.1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1F08886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Rozwój MŚP w ramach ZIT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2566A7C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  <w:r w:rsidR="009A3C76"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Wzmacnianie konkurencyjności małych i średnich przedsiębiorstw (MŚP)</w:t>
            </w: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6E3F192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3a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Promowanie przedsiębiorczości, w szczególności poprzez ułatwianie gospodarczego wykorzystywania nowych pomysłów oraz sprzyjanie tworzeniu nowych firm, w tym również poprze</w:t>
            </w:r>
            <w:r w:rsidR="006E5D8A"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inkubatory przedsiębiorczości</w:t>
            </w:r>
          </w:p>
        </w:tc>
      </w:tr>
      <w:tr w:rsidR="00DA33B1" w:rsidRPr="00C318FB" w14:paraId="2B0699EE" w14:textId="77777777" w:rsidTr="005E6F5D">
        <w:trPr>
          <w:trHeight w:val="315"/>
        </w:trPr>
        <w:tc>
          <w:tcPr>
            <w:tcW w:w="646" w:type="pct"/>
            <w:vMerge/>
            <w:vAlign w:val="center"/>
            <w:hideMark/>
          </w:tcPr>
          <w:p w14:paraId="17C9FD1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3AFE477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4807CB3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E0AC40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3.1.2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2E10423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Rozwój MŚP</w:t>
            </w:r>
          </w:p>
        </w:tc>
        <w:tc>
          <w:tcPr>
            <w:tcW w:w="709" w:type="pct"/>
            <w:vMerge/>
            <w:vAlign w:val="center"/>
            <w:hideMark/>
          </w:tcPr>
          <w:p w14:paraId="40C874C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6534860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168EE1D6" w14:textId="77777777" w:rsidTr="005E6F5D">
        <w:trPr>
          <w:trHeight w:val="570"/>
        </w:trPr>
        <w:tc>
          <w:tcPr>
            <w:tcW w:w="646" w:type="pct"/>
            <w:vMerge/>
            <w:vAlign w:val="center"/>
            <w:hideMark/>
          </w:tcPr>
          <w:p w14:paraId="374BFBB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790403B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2A0FE08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Internacjonalizacja MŚP</w:t>
            </w:r>
          </w:p>
        </w:tc>
        <w:tc>
          <w:tcPr>
            <w:tcW w:w="507" w:type="pct"/>
            <w:shd w:val="clear" w:color="auto" w:fill="auto"/>
            <w:noWrap/>
            <w:vAlign w:val="center"/>
          </w:tcPr>
          <w:p w14:paraId="3E25222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shd w:val="clear" w:color="000000" w:fill="FFFFCC"/>
            <w:vAlign w:val="center"/>
          </w:tcPr>
          <w:p w14:paraId="319C628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14:paraId="577D850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0565342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3b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Opracowywanie i wdrażanie nowych modeli biznesowych dla MŚP, w szczególności w celu umiędzynarodowienia</w:t>
            </w:r>
          </w:p>
        </w:tc>
      </w:tr>
      <w:tr w:rsidR="00DA33B1" w:rsidRPr="00C318FB" w14:paraId="19B21DC6" w14:textId="77777777" w:rsidTr="005E6F5D">
        <w:trPr>
          <w:trHeight w:val="525"/>
        </w:trPr>
        <w:tc>
          <w:tcPr>
            <w:tcW w:w="646" w:type="pct"/>
            <w:vMerge/>
            <w:vAlign w:val="center"/>
            <w:hideMark/>
          </w:tcPr>
          <w:p w14:paraId="027A998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346067C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717AC6D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E2B0CC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3.2.2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2495429F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Internacjonalizacja przedsiębiorstw</w:t>
            </w:r>
          </w:p>
        </w:tc>
        <w:tc>
          <w:tcPr>
            <w:tcW w:w="709" w:type="pct"/>
            <w:vMerge/>
            <w:vAlign w:val="center"/>
            <w:hideMark/>
          </w:tcPr>
          <w:p w14:paraId="0D29A6E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11F5B1C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057215F3" w14:textId="77777777" w:rsidTr="005E6F5D">
        <w:trPr>
          <w:trHeight w:val="585"/>
        </w:trPr>
        <w:tc>
          <w:tcPr>
            <w:tcW w:w="646" w:type="pct"/>
            <w:vMerge/>
            <w:vAlign w:val="center"/>
            <w:hideMark/>
          </w:tcPr>
          <w:p w14:paraId="612CFFC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165D871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1D14DC6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Innowacje w MŚP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458C4E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3.3</w:t>
            </w:r>
          </w:p>
        </w:tc>
        <w:tc>
          <w:tcPr>
            <w:tcW w:w="658" w:type="pct"/>
            <w:shd w:val="clear" w:color="000000" w:fill="F2F2F2"/>
            <w:vAlign w:val="center"/>
            <w:hideMark/>
          </w:tcPr>
          <w:p w14:paraId="1C865EBC" w14:textId="77777777" w:rsidR="000D1A91" w:rsidRPr="00D4320A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</w:pPr>
            <w:r w:rsidRPr="00D4320A"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69ED081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455C6A9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3c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Wspieranie tworzenia i poszerzania zaawansowanych zdolności w zakresie rozwoju produktów i usług</w:t>
            </w:r>
          </w:p>
        </w:tc>
      </w:tr>
      <w:tr w:rsidR="00DA33B1" w:rsidRPr="00C318FB" w14:paraId="0C0A89D0" w14:textId="77777777" w:rsidTr="005E6F5D">
        <w:trPr>
          <w:trHeight w:val="795"/>
        </w:trPr>
        <w:tc>
          <w:tcPr>
            <w:tcW w:w="646" w:type="pct"/>
            <w:vMerge w:val="restart"/>
            <w:shd w:val="clear" w:color="000000" w:fill="FFFFFF"/>
            <w:vAlign w:val="center"/>
            <w:hideMark/>
          </w:tcPr>
          <w:p w14:paraId="04C0BEC2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IV Przejście na gospodarkę niskoemisyjną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162C3C8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4.1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74FDCF68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Odnawialne źródła energii</w:t>
            </w:r>
          </w:p>
        </w:tc>
        <w:tc>
          <w:tcPr>
            <w:tcW w:w="507" w:type="pct"/>
            <w:shd w:val="clear" w:color="000000" w:fill="F2F2F2"/>
            <w:noWrap/>
            <w:hideMark/>
          </w:tcPr>
          <w:p w14:paraId="480ABD72" w14:textId="77777777" w:rsidR="008A27BA" w:rsidRPr="00E408F7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color w:val="F2F2F2" w:themeColor="background1" w:themeShade="F2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hideMark/>
          </w:tcPr>
          <w:p w14:paraId="5F129135" w14:textId="77777777" w:rsidR="008A27BA" w:rsidRPr="00E408F7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color w:val="F2F2F2" w:themeColor="background1" w:themeShade="F2"/>
              </w:rPr>
              <w:t>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66599371" w14:textId="77777777" w:rsidR="008A27BA" w:rsidRPr="00C318FB" w:rsidRDefault="008A27BA" w:rsidP="008A27BA">
            <w:pPr>
              <w:spacing w:after="24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Wspieranie przejścia na gospodarkę 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niskoemisyjną we wszystkich sektorach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157A3331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4a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Wspieranie wytwarzania i dystrybucji energii pochodzącej ze źródeł odnawialnych</w:t>
            </w:r>
          </w:p>
        </w:tc>
      </w:tr>
      <w:tr w:rsidR="00DA33B1" w:rsidRPr="00C318FB" w14:paraId="256B134B" w14:textId="77777777" w:rsidTr="005E6F5D">
        <w:trPr>
          <w:trHeight w:val="1200"/>
        </w:trPr>
        <w:tc>
          <w:tcPr>
            <w:tcW w:w="646" w:type="pct"/>
            <w:vMerge/>
            <w:vAlign w:val="center"/>
            <w:hideMark/>
          </w:tcPr>
          <w:p w14:paraId="0B55AE15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10413F9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4.2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447F2813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Efektywność energetyczna </w:t>
            </w:r>
          </w:p>
        </w:tc>
        <w:tc>
          <w:tcPr>
            <w:tcW w:w="507" w:type="pct"/>
            <w:shd w:val="clear" w:color="000000" w:fill="F2F2F2"/>
            <w:noWrap/>
            <w:hideMark/>
          </w:tcPr>
          <w:p w14:paraId="5D313B0A" w14:textId="77777777" w:rsidR="008A27BA" w:rsidRPr="00E408F7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color w:val="F2F2F2" w:themeColor="background1" w:themeShade="F2"/>
              </w:rPr>
              <w:t>Nie dotyczy</w:t>
            </w:r>
          </w:p>
        </w:tc>
        <w:tc>
          <w:tcPr>
            <w:tcW w:w="658" w:type="pct"/>
            <w:shd w:val="clear" w:color="000000" w:fill="F2F2F2"/>
            <w:hideMark/>
          </w:tcPr>
          <w:p w14:paraId="44B2DC2E" w14:textId="77777777" w:rsidR="008A27BA" w:rsidRPr="00E408F7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color w:val="F2F2F2" w:themeColor="background1" w:themeShade="F2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1CB5999E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7DD3121E" w14:textId="77777777" w:rsidR="008A27BA" w:rsidRPr="00C318FB" w:rsidRDefault="008A27BA" w:rsidP="008A27BA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4c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Wspieranie efektywności energetycznej, inteligentnego zarządzania energią i wykorzystywania odnawialnych źródeł energii w budynkach publicznych i w sektorze mieszkaniowym</w:t>
            </w:r>
          </w:p>
        </w:tc>
      </w:tr>
      <w:tr w:rsidR="00DA33B1" w:rsidRPr="00C318FB" w14:paraId="527D2F34" w14:textId="77777777" w:rsidTr="005E6F5D">
        <w:trPr>
          <w:trHeight w:val="750"/>
        </w:trPr>
        <w:tc>
          <w:tcPr>
            <w:tcW w:w="646" w:type="pct"/>
            <w:vMerge/>
            <w:vAlign w:val="center"/>
            <w:hideMark/>
          </w:tcPr>
          <w:p w14:paraId="17CFEA9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1E68054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4.3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179FBE9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Redukcja emisji zanieczyszczeń powietrza 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65EED4F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4.3.1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62C2DCB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Ograniczanie zanieczyszczeń powietrza i rozwój mobilności miejskiej</w:t>
            </w:r>
          </w:p>
        </w:tc>
        <w:tc>
          <w:tcPr>
            <w:tcW w:w="709" w:type="pct"/>
            <w:vMerge/>
            <w:vAlign w:val="center"/>
            <w:hideMark/>
          </w:tcPr>
          <w:p w14:paraId="689A63B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05EF903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4e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Promowanie strategii niskoemisyjnych dla wszystkich rodzajów terytoriów, w szczególności dla obszarów miejskich, w tym wspieranie zrównoważonej multimodalnej mobilności miejskiej i działań adaptacyjnych mających oddziaływanie łagodzące na zmiany klimatu.</w:t>
            </w:r>
          </w:p>
        </w:tc>
      </w:tr>
      <w:tr w:rsidR="00DA33B1" w:rsidRPr="00C318FB" w14:paraId="77CA4D8E" w14:textId="77777777" w:rsidTr="005E6F5D">
        <w:trPr>
          <w:trHeight w:val="690"/>
        </w:trPr>
        <w:tc>
          <w:tcPr>
            <w:tcW w:w="646" w:type="pct"/>
            <w:vMerge/>
            <w:vAlign w:val="center"/>
            <w:hideMark/>
          </w:tcPr>
          <w:p w14:paraId="2788BCD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43C0C9D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560AFE4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EC9380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4.3.2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0877C07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Mobilność miejska w ramach ZIT</w:t>
            </w:r>
          </w:p>
        </w:tc>
        <w:tc>
          <w:tcPr>
            <w:tcW w:w="709" w:type="pct"/>
            <w:vMerge/>
            <w:vAlign w:val="center"/>
            <w:hideMark/>
          </w:tcPr>
          <w:p w14:paraId="751F26D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4721D3E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172E1135" w14:textId="77777777" w:rsidTr="005E6F5D">
        <w:trPr>
          <w:trHeight w:val="1605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270E333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V Gospodarka przyjazna środowisku 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6D00E9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5.1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56CD6F0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Dostosowanie do zmian klimatu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22286EA1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vAlign w:val="center"/>
            <w:hideMark/>
          </w:tcPr>
          <w:p w14:paraId="0428D43C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2D62A8B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  <w:r w:rsidR="009A3C76"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Promowanie dostosowania do zmiany klimatu, zapobiegania ryzyku </w:t>
            </w:r>
            <w:r w:rsidR="006E5D8A"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zarządzania ryzykiem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3CEE25D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5b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Wspieranie inwestycji ukierunkowanych na konkretne rodzaje zagrożeń, przy jednoczesnym zwiększeniu odporności na klęski i katastrofy i rozwijaniu systemów zarządzania klęskami i katastrofami</w:t>
            </w:r>
          </w:p>
        </w:tc>
      </w:tr>
      <w:tr w:rsidR="00DA33B1" w:rsidRPr="00C318FB" w14:paraId="1E0EAD85" w14:textId="77777777" w:rsidTr="005E6F5D">
        <w:trPr>
          <w:trHeight w:val="1005"/>
        </w:trPr>
        <w:tc>
          <w:tcPr>
            <w:tcW w:w="646" w:type="pct"/>
            <w:vMerge/>
            <w:vAlign w:val="center"/>
            <w:hideMark/>
          </w:tcPr>
          <w:p w14:paraId="5D56D3E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70C20D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5.2</w:t>
            </w:r>
          </w:p>
        </w:tc>
        <w:tc>
          <w:tcPr>
            <w:tcW w:w="456" w:type="pct"/>
            <w:shd w:val="clear" w:color="000000" w:fill="FFFFCC"/>
            <w:noWrap/>
            <w:vAlign w:val="center"/>
            <w:hideMark/>
          </w:tcPr>
          <w:p w14:paraId="5755468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Gospodarka odpadami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7D7F8221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1FB02B12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4471076A" w14:textId="77777777" w:rsidR="000D1A91" w:rsidRPr="00C318FB" w:rsidRDefault="009A3C76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 </w:t>
            </w:r>
            <w:r w:rsidR="000D1A91" w:rsidRPr="00C318FB">
              <w:rPr>
                <w:rFonts w:ascii="Arial" w:hAnsi="Arial" w:cs="Arial"/>
                <w:iCs/>
                <w:sz w:val="20"/>
                <w:szCs w:val="20"/>
              </w:rPr>
              <w:t xml:space="preserve">Zachowanie </w:t>
            </w:r>
            <w:r w:rsidR="006E5D8A" w:rsidRPr="00C318FB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0D1A91" w:rsidRPr="00C318FB">
              <w:rPr>
                <w:rFonts w:ascii="Arial" w:hAnsi="Arial" w:cs="Arial"/>
                <w:iCs/>
                <w:sz w:val="20"/>
                <w:szCs w:val="20"/>
              </w:rPr>
              <w:t xml:space="preserve">i ochrona środowiska naturalnego oraz promowanie efektywnego gospodarowania zasobami 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3F3637F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6a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Inwestowanie w sektor gospodarki odpadami celem wypełnienia zobowiązań określonych w dorobku prawnym Unii w zakresie środowiska oraz zaspokojenia wykraczających poza te zobowiązania potrzeb inwestycyjnych określonych przez państwa członkowskie</w:t>
            </w:r>
          </w:p>
        </w:tc>
      </w:tr>
      <w:tr w:rsidR="00DA33B1" w:rsidRPr="00C318FB" w14:paraId="738C45AC" w14:textId="77777777" w:rsidTr="005E6F5D">
        <w:trPr>
          <w:trHeight w:val="570"/>
        </w:trPr>
        <w:tc>
          <w:tcPr>
            <w:tcW w:w="646" w:type="pct"/>
            <w:vMerge/>
            <w:vAlign w:val="center"/>
            <w:hideMark/>
          </w:tcPr>
          <w:p w14:paraId="34237B2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038EEC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5.3</w:t>
            </w:r>
          </w:p>
        </w:tc>
        <w:tc>
          <w:tcPr>
            <w:tcW w:w="456" w:type="pct"/>
            <w:shd w:val="clear" w:color="000000" w:fill="FFFFCC"/>
            <w:noWrap/>
            <w:vAlign w:val="center"/>
            <w:hideMark/>
          </w:tcPr>
          <w:p w14:paraId="332CE6B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Dziedzictwo kulturowe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5C9BCA94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5FB77046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1B5B057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0DEDB6D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6c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Zachowanie, ochrona, promowanie i rozwój dziedzictwa naturalnego i kulturowego</w:t>
            </w:r>
          </w:p>
        </w:tc>
      </w:tr>
      <w:tr w:rsidR="00DA33B1" w:rsidRPr="00C318FB" w14:paraId="01491BBB" w14:textId="77777777" w:rsidTr="005E6F5D">
        <w:trPr>
          <w:trHeight w:val="1035"/>
        </w:trPr>
        <w:tc>
          <w:tcPr>
            <w:tcW w:w="646" w:type="pct"/>
            <w:vMerge/>
            <w:vAlign w:val="center"/>
            <w:hideMark/>
          </w:tcPr>
          <w:p w14:paraId="6759C31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99DD02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5.4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3648162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Ochrona bioróżnorodności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0685CA6E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vAlign w:val="center"/>
            <w:hideMark/>
          </w:tcPr>
          <w:p w14:paraId="55B39AA7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6640D77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60964E5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6d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hAnsi="Arial" w:cs="Arial"/>
                <w:sz w:val="20"/>
                <w:szCs w:val="20"/>
              </w:rPr>
              <w:t xml:space="preserve">Ochrona i przywrócenie różnorodności biologicznej, ochrona i rekultywacja gleby oraz wspieranie usług ekosystemowych, także poprzez program „Natura 2000” i zieloną infrastrukturę </w:t>
            </w:r>
          </w:p>
        </w:tc>
      </w:tr>
      <w:tr w:rsidR="00DA33B1" w:rsidRPr="00C318FB" w14:paraId="31627D10" w14:textId="77777777" w:rsidTr="005E6F5D">
        <w:trPr>
          <w:trHeight w:val="1185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6CB99585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 Jakość życia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6A9FF30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6.1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62AF9ACB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Infrastruktura ochrony zdrowia 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05D24D18" w14:textId="77777777" w:rsidR="00312A81" w:rsidRPr="00E408F7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658" w:type="pct"/>
            <w:shd w:val="clear" w:color="000000" w:fill="F2F2F2"/>
            <w:vAlign w:val="center"/>
            <w:hideMark/>
          </w:tcPr>
          <w:p w14:paraId="6FE4420B" w14:textId="77777777" w:rsidR="00312A81" w:rsidRPr="00E408F7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22C6A645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Wspieranie włączenia społecznego, walka z ubóstwem i wszelką dyskryminacją </w:t>
            </w: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39E56BB9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9a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Inwestycje w infrastrukturę zdrowotną i społeczną, które przyczyniają się do rozwoju krajowego, regionalnego i lokalnego, zmniejszania nierówności w zakresie stanu zdrowia, promowanie włączenia społecznego poprzez lepszy dostęp do usług społecznych, kulturalnych i rekreacyjnych oraz przejścia z usług instytucjonalnych do usług na poziomie społeczności lokalnych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  <w:tr w:rsidR="00DA33B1" w:rsidRPr="00C318FB" w14:paraId="2B53699F" w14:textId="77777777" w:rsidTr="005E6F5D">
        <w:trPr>
          <w:trHeight w:val="1155"/>
        </w:trPr>
        <w:tc>
          <w:tcPr>
            <w:tcW w:w="646" w:type="pct"/>
            <w:vMerge/>
            <w:vAlign w:val="center"/>
            <w:hideMark/>
          </w:tcPr>
          <w:p w14:paraId="2A649506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6FB5C238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6.2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2AE8E3A5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Rewitalizacja obszarów zmarginalizowanych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4371E9D0" w14:textId="77777777" w:rsidR="00312A81" w:rsidRPr="00E408F7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0423A53C" w14:textId="77777777" w:rsidR="00312A81" w:rsidRPr="00E408F7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6686AC03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5781D84A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9b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hAnsi="Arial" w:cs="Arial"/>
                <w:sz w:val="20"/>
                <w:szCs w:val="20"/>
              </w:rPr>
              <w:t xml:space="preserve">Wspieranie rewitalizacji fizycznej, gospodarczej i społecznej ubogich społeczności na obszarach miejskich i wiejskich </w:t>
            </w:r>
          </w:p>
        </w:tc>
      </w:tr>
      <w:tr w:rsidR="00DA33B1" w:rsidRPr="00C318FB" w14:paraId="04D3CE8D" w14:textId="77777777" w:rsidTr="005E6F5D">
        <w:trPr>
          <w:trHeight w:val="1155"/>
        </w:trPr>
        <w:tc>
          <w:tcPr>
            <w:tcW w:w="646" w:type="pct"/>
            <w:vMerge/>
            <w:vAlign w:val="center"/>
          </w:tcPr>
          <w:p w14:paraId="3A07D154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14:paraId="58F651D1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6.3</w:t>
            </w:r>
          </w:p>
        </w:tc>
        <w:tc>
          <w:tcPr>
            <w:tcW w:w="456" w:type="pct"/>
            <w:shd w:val="clear" w:color="000000" w:fill="FFFFCC"/>
            <w:vAlign w:val="center"/>
          </w:tcPr>
          <w:p w14:paraId="7CAD91A5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12A81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Wsparcie ochrony zdrowia w ramach ZIT w związku z epidemią COVID-19</w:t>
            </w:r>
          </w:p>
        </w:tc>
        <w:tc>
          <w:tcPr>
            <w:tcW w:w="507" w:type="pct"/>
            <w:shd w:val="clear" w:color="000000" w:fill="F2F2F2"/>
            <w:noWrap/>
            <w:vAlign w:val="center"/>
          </w:tcPr>
          <w:p w14:paraId="29B9552A" w14:textId="77777777" w:rsidR="00312A81" w:rsidRPr="00E408F7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shd w:val="clear" w:color="000000" w:fill="F2F2F2"/>
            <w:noWrap/>
            <w:vAlign w:val="center"/>
          </w:tcPr>
          <w:p w14:paraId="4604E73A" w14:textId="77777777" w:rsidR="00312A81" w:rsidRPr="00E408F7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</w:p>
        </w:tc>
        <w:tc>
          <w:tcPr>
            <w:tcW w:w="709" w:type="pct"/>
            <w:vMerge/>
            <w:vAlign w:val="center"/>
          </w:tcPr>
          <w:p w14:paraId="45277409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</w:tcPr>
          <w:p w14:paraId="159B608D" w14:textId="77777777" w:rsidR="00312A81" w:rsidRPr="00C318FB" w:rsidRDefault="00312A81" w:rsidP="00C318FB">
            <w:pPr>
              <w:spacing w:after="0" w:line="312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312A8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9a </w:t>
            </w:r>
            <w:r w:rsidRPr="006D07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Inwestycje w infrastrukturę zdrowotną i społeczną, które przyczyniają się do rozwoju krajowego, regionalnego i lokalnego, zmniejszania nierówności w zakresie stanu zdrowia, promowanie włączenia społecznego poprzez lepszy dostęp do usług społecznych, kulturalnych i rekreacyjnych oraz przejścia z usług instytucjonalnych do usług na poziomie społeczności lokalnych</w:t>
            </w:r>
          </w:p>
        </w:tc>
      </w:tr>
      <w:tr w:rsidR="00DA33B1" w:rsidRPr="00C318FB" w14:paraId="6C13213F" w14:textId="77777777" w:rsidTr="005E6F5D">
        <w:trPr>
          <w:trHeight w:val="975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4CA7BC1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VII Rozwój regionalnego systemu transportowego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59E748B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7.1</w:t>
            </w:r>
          </w:p>
        </w:tc>
        <w:tc>
          <w:tcPr>
            <w:tcW w:w="456" w:type="pct"/>
            <w:shd w:val="clear" w:color="000000" w:fill="FFFFCC"/>
            <w:noWrap/>
            <w:vAlign w:val="center"/>
            <w:hideMark/>
          </w:tcPr>
          <w:p w14:paraId="18DCB10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Infrastruktura drogowa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65811823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2487DD72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0B47130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Promowanie zrównoważonego transportu i usuwanie niedoborów przepustowości w działaniu najważniejszej infrastruktury sieciowej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40B1478F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7b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Zwiększanie mobilności regionalnej poprzez łączenie węzłów drugorzędnych i trzeciorzędnych z infrastrukturą TEN-T, w tym z węzłami multimodalnymi</w:t>
            </w:r>
          </w:p>
        </w:tc>
      </w:tr>
      <w:tr w:rsidR="00DA33B1" w:rsidRPr="00C318FB" w14:paraId="553C0499" w14:textId="77777777" w:rsidTr="005E6F5D">
        <w:trPr>
          <w:trHeight w:val="1125"/>
        </w:trPr>
        <w:tc>
          <w:tcPr>
            <w:tcW w:w="646" w:type="pct"/>
            <w:vMerge/>
            <w:vAlign w:val="center"/>
            <w:hideMark/>
          </w:tcPr>
          <w:p w14:paraId="34EF681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000000" w:fill="FFFFFF"/>
            <w:noWrap/>
            <w:vAlign w:val="center"/>
            <w:hideMark/>
          </w:tcPr>
          <w:p w14:paraId="5F79447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7.2</w:t>
            </w:r>
          </w:p>
        </w:tc>
        <w:tc>
          <w:tcPr>
            <w:tcW w:w="456" w:type="pct"/>
            <w:shd w:val="clear" w:color="000000" w:fill="FFFFCC"/>
            <w:noWrap/>
            <w:vAlign w:val="center"/>
            <w:hideMark/>
          </w:tcPr>
          <w:p w14:paraId="4A43C08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Infrastruktura kolejowa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243EB3B9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14817329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452BB32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000000" w:fill="FFFFFF"/>
            <w:vAlign w:val="center"/>
            <w:hideMark/>
          </w:tcPr>
          <w:p w14:paraId="3884AF0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7d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rozwój i rehabilitacja kompleksowych, wysokiej jakości i </w:t>
            </w:r>
            <w:proofErr w:type="spellStart"/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interoperacyjnych</w:t>
            </w:r>
            <w:proofErr w:type="spellEnd"/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systemów transportu kolejowego oraz propagowanie działań służących zmniejszeniu hałasu</w:t>
            </w:r>
          </w:p>
        </w:tc>
      </w:tr>
      <w:tr w:rsidR="00DA33B1" w:rsidRPr="00C318FB" w14:paraId="6931B9B2" w14:textId="77777777" w:rsidTr="005E6F5D">
        <w:trPr>
          <w:trHeight w:val="855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7A8945F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VIII Rozwój rynku pracy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7F4EBDA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8.1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0ACF4355" w14:textId="504FFCE4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Aktywizacja zawodowa osób bezrobotnych przez PUP</w:t>
            </w:r>
            <w:r w:rsidR="00461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i przeciwdziałani</w:t>
            </w:r>
            <w:r w:rsidR="001833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  <w:r w:rsidR="00461D63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skutkom epidemii COVID-19</w:t>
            </w:r>
          </w:p>
        </w:tc>
        <w:tc>
          <w:tcPr>
            <w:tcW w:w="507" w:type="pct"/>
            <w:vMerge w:val="restart"/>
            <w:shd w:val="clear" w:color="000000" w:fill="F2F2F2"/>
            <w:noWrap/>
            <w:vAlign w:val="center"/>
            <w:hideMark/>
          </w:tcPr>
          <w:p w14:paraId="4C56D13F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vMerge w:val="restart"/>
            <w:shd w:val="clear" w:color="000000" w:fill="F2F2F2"/>
            <w:vAlign w:val="center"/>
            <w:hideMark/>
          </w:tcPr>
          <w:p w14:paraId="39A62EA9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3758DBE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="006E5D8A"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Promowanie trwałego i wysokiej jakości zatrudnienia oraz wsparcie mobilności pracowników </w:t>
            </w: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66F8932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8i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Dostęp do zatrudnienia dla osób poszukujących pracy i osób biernych zawodowo, w tym długotrwale bezrobotnych oraz oddalonych od rynku pracy, także poprzez lokalne inicjatywy na rzecz zatrudnienia oraz wspieranie mobilności pracowników </w:t>
            </w:r>
          </w:p>
        </w:tc>
      </w:tr>
      <w:tr w:rsidR="00DA33B1" w:rsidRPr="00C318FB" w14:paraId="3DC25FD8" w14:textId="77777777" w:rsidTr="005E6F5D">
        <w:trPr>
          <w:trHeight w:val="810"/>
        </w:trPr>
        <w:tc>
          <w:tcPr>
            <w:tcW w:w="646" w:type="pct"/>
            <w:vMerge/>
            <w:vAlign w:val="center"/>
            <w:hideMark/>
          </w:tcPr>
          <w:p w14:paraId="33ADD7E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2F40848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5928C6B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vMerge/>
            <w:vAlign w:val="center"/>
            <w:hideMark/>
          </w:tcPr>
          <w:p w14:paraId="0C5C69F9" w14:textId="77777777" w:rsidR="000D1A91" w:rsidRPr="00D4320A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658" w:type="pct"/>
            <w:vMerge/>
            <w:vAlign w:val="center"/>
            <w:hideMark/>
          </w:tcPr>
          <w:p w14:paraId="505A22DD" w14:textId="77777777" w:rsidR="000D1A91" w:rsidRPr="00D4320A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  <w:lang w:eastAsia="pl-PL"/>
              </w:rPr>
            </w:pPr>
          </w:p>
        </w:tc>
        <w:tc>
          <w:tcPr>
            <w:tcW w:w="709" w:type="pct"/>
            <w:vMerge/>
            <w:vAlign w:val="center"/>
            <w:hideMark/>
          </w:tcPr>
          <w:p w14:paraId="2CF854F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4DE0A26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79137010" w14:textId="77777777" w:rsidTr="005E6F5D">
        <w:trPr>
          <w:trHeight w:val="810"/>
        </w:trPr>
        <w:tc>
          <w:tcPr>
            <w:tcW w:w="646" w:type="pct"/>
            <w:vMerge/>
            <w:vAlign w:val="center"/>
            <w:hideMark/>
          </w:tcPr>
          <w:p w14:paraId="64E3BDE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FFA32D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8.2</w:t>
            </w:r>
          </w:p>
        </w:tc>
        <w:tc>
          <w:tcPr>
            <w:tcW w:w="456" w:type="pct"/>
            <w:shd w:val="clear" w:color="000000" w:fill="FFFFCC"/>
            <w:vAlign w:val="bottom"/>
            <w:hideMark/>
          </w:tcPr>
          <w:p w14:paraId="0C7D6B1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Aktywizacja zawodowa osób nieaktywnych zawodowo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4281933D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vAlign w:val="center"/>
            <w:hideMark/>
          </w:tcPr>
          <w:p w14:paraId="7FFA751B" w14:textId="77777777" w:rsidR="000D1A91" w:rsidRPr="00E408F7" w:rsidRDefault="008A27BA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466B86D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2621C87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13DEE782" w14:textId="77777777" w:rsidTr="005E6F5D">
        <w:trPr>
          <w:trHeight w:val="945"/>
        </w:trPr>
        <w:tc>
          <w:tcPr>
            <w:tcW w:w="646" w:type="pct"/>
            <w:vMerge/>
            <w:vAlign w:val="center"/>
            <w:hideMark/>
          </w:tcPr>
          <w:p w14:paraId="79BF0DE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3185F72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8.3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7B67FDC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Ułatwianie powrotu do aktywności zawodowej osób sprawujących opiekę nad dziećmi do lat 3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F7F3D8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8.3.1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2F68C25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Ułatwianie powrotu do aktywności zawodowej</w:t>
            </w:r>
          </w:p>
        </w:tc>
        <w:tc>
          <w:tcPr>
            <w:tcW w:w="709" w:type="pct"/>
            <w:vMerge/>
            <w:vAlign w:val="center"/>
            <w:hideMark/>
          </w:tcPr>
          <w:p w14:paraId="60F4F42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30464C0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8iv 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Równość mężczyzn i kobiet we wszystkich dziedzinach, w tym dostęp do zatrudnienia, rozwój kariery, godzenie życia zawodowego i prywatnego oraz promowanie równości wynagrodzeń za taką samą pracę</w:t>
            </w:r>
          </w:p>
        </w:tc>
      </w:tr>
      <w:tr w:rsidR="00DA33B1" w:rsidRPr="00C318FB" w14:paraId="6DE36DD5" w14:textId="77777777" w:rsidTr="005E6F5D">
        <w:trPr>
          <w:trHeight w:val="1065"/>
        </w:trPr>
        <w:tc>
          <w:tcPr>
            <w:tcW w:w="646" w:type="pct"/>
            <w:vMerge/>
            <w:vAlign w:val="center"/>
            <w:hideMark/>
          </w:tcPr>
          <w:p w14:paraId="6964269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422949D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4501C46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000000" w:fill="FFFFFF"/>
            <w:noWrap/>
            <w:vAlign w:val="center"/>
            <w:hideMark/>
          </w:tcPr>
          <w:p w14:paraId="6FD83EF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8.3.2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55F56A1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Ułatwianie powrotu do aktywności zawodowej </w:t>
            </w:r>
            <w:r w:rsidR="006E5D8A"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 ramach ZIT</w:t>
            </w:r>
          </w:p>
        </w:tc>
        <w:tc>
          <w:tcPr>
            <w:tcW w:w="709" w:type="pct"/>
            <w:vMerge/>
            <w:vAlign w:val="center"/>
            <w:hideMark/>
          </w:tcPr>
          <w:p w14:paraId="42F4E4A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47F3C54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70644E2A" w14:textId="77777777" w:rsidTr="005E6F5D">
        <w:trPr>
          <w:trHeight w:val="1305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48F9840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IX Wspieranie włączenia społecznego </w:t>
            </w:r>
            <w:r w:rsidR="006E5D8A"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</w: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i walka z ubóstwem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274BFAB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9.1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28DDC1A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Aktywizacja społeczno-zawodowa osób wykluczonych i przeciwdziałanie wykluczeniu społecznemu 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5E5A0917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3F1B9BC2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21334A9A" w14:textId="77777777" w:rsidR="000D1A91" w:rsidRPr="00C318FB" w:rsidRDefault="006E5D8A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 </w:t>
            </w:r>
            <w:r w:rsidR="000D1A91" w:rsidRPr="00C318FB">
              <w:rPr>
                <w:rFonts w:ascii="Arial" w:hAnsi="Arial" w:cs="Arial"/>
                <w:iCs/>
                <w:sz w:val="20"/>
                <w:szCs w:val="20"/>
              </w:rPr>
              <w:t xml:space="preserve">Wspieranie włączenia społecznego, walka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0D1A91" w:rsidRPr="00C318FB">
              <w:rPr>
                <w:rFonts w:ascii="Arial" w:hAnsi="Arial" w:cs="Arial"/>
                <w:iCs/>
                <w:sz w:val="20"/>
                <w:szCs w:val="20"/>
              </w:rPr>
              <w:t>z ubóstwem i wszelką dyskryminacją</w:t>
            </w: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47C1C9B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9i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Aktywne włączenie, w tym z myślą o promowaniu równych szans oraz aktywnego uczestnictwa i zwiększaniu szans na zatrudnienie </w:t>
            </w:r>
          </w:p>
        </w:tc>
      </w:tr>
      <w:tr w:rsidR="00DA33B1" w:rsidRPr="00C318FB" w14:paraId="77F76F4F" w14:textId="77777777" w:rsidTr="005E6F5D">
        <w:trPr>
          <w:trHeight w:val="675"/>
        </w:trPr>
        <w:tc>
          <w:tcPr>
            <w:tcW w:w="646" w:type="pct"/>
            <w:vMerge/>
            <w:vAlign w:val="center"/>
            <w:hideMark/>
          </w:tcPr>
          <w:p w14:paraId="5317958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4AD0F21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9.2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4CE4ABE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Usługi społeczne i usługi opieki zdrowotnej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BA3C2A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9.2.1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546FD65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Zwiększenie dostępności usług społecznych</w:t>
            </w:r>
          </w:p>
        </w:tc>
        <w:tc>
          <w:tcPr>
            <w:tcW w:w="709" w:type="pct"/>
            <w:vMerge/>
            <w:vAlign w:val="center"/>
            <w:hideMark/>
          </w:tcPr>
          <w:p w14:paraId="617F891F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74BC543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9iv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Ułatwianie dostępu do niedrogich, trwałych oraz wysokiej jakości usług, w tym opieki zdrowotnej i usług socjalnych świadczonych w interesie ogólnym</w:t>
            </w:r>
          </w:p>
        </w:tc>
      </w:tr>
      <w:tr w:rsidR="00DA33B1" w:rsidRPr="00C318FB" w14:paraId="24D62CAA" w14:textId="77777777" w:rsidTr="005E6F5D">
        <w:trPr>
          <w:trHeight w:val="630"/>
        </w:trPr>
        <w:tc>
          <w:tcPr>
            <w:tcW w:w="646" w:type="pct"/>
            <w:vMerge/>
            <w:vAlign w:val="center"/>
            <w:hideMark/>
          </w:tcPr>
          <w:p w14:paraId="6A7625D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51971BA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2D0C880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54CB040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9.2.2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0B67579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Zwiększenie dostępności usług zdrowotnych</w:t>
            </w:r>
          </w:p>
        </w:tc>
        <w:tc>
          <w:tcPr>
            <w:tcW w:w="709" w:type="pct"/>
            <w:vMerge/>
            <w:vAlign w:val="center"/>
            <w:hideMark/>
          </w:tcPr>
          <w:p w14:paraId="16971E4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3E718A5F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007094DE" w14:textId="77777777" w:rsidTr="005E6F5D">
        <w:trPr>
          <w:trHeight w:val="675"/>
        </w:trPr>
        <w:tc>
          <w:tcPr>
            <w:tcW w:w="646" w:type="pct"/>
            <w:vMerge/>
            <w:vAlign w:val="center"/>
            <w:hideMark/>
          </w:tcPr>
          <w:p w14:paraId="477C3A8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03DEB69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9.3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120FC5B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Rozwój ekonomii społecznej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0221489D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vAlign w:val="center"/>
            <w:hideMark/>
          </w:tcPr>
          <w:p w14:paraId="51EB72EB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50A490F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545949C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9v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Wspieranie przedsiębiorczości społecznej i integracji zawodowej w przedsiębiorstwach społecznych oraz ekonomii społecznej i solidarnej w celu ułatwiania dostępu do zatrudnienia </w:t>
            </w:r>
          </w:p>
        </w:tc>
      </w:tr>
      <w:tr w:rsidR="00DA33B1" w:rsidRPr="00C318FB" w14:paraId="37ACA912" w14:textId="77777777" w:rsidTr="005E6F5D">
        <w:trPr>
          <w:trHeight w:val="585"/>
        </w:trPr>
        <w:tc>
          <w:tcPr>
            <w:tcW w:w="646" w:type="pct"/>
            <w:vMerge w:val="restart"/>
            <w:shd w:val="clear" w:color="auto" w:fill="auto"/>
            <w:vAlign w:val="center"/>
            <w:hideMark/>
          </w:tcPr>
          <w:p w14:paraId="7A0BAAE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 Edukacja dla rozwoju regionu</w:t>
            </w: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2CA7C70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10.1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3B8BCAB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Kształcenie i rozwój dzieci i młodzieży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CEB85A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10.1.1.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7273F91D" w14:textId="77777777" w:rsidR="000D1A91" w:rsidRPr="00C318FB" w:rsidRDefault="000D1A91" w:rsidP="002056E8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Edukacja 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  <w:hideMark/>
          </w:tcPr>
          <w:p w14:paraId="6628C17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</w:t>
            </w:r>
            <w:r w:rsidR="006E5D8A"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Inwestowanie w kształcenie, szkolenie oraz szkolenie zawodowe na rzecz zdobywania umiejętności i uczenia się przez całe życie</w:t>
            </w: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4492329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10i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Ograniczenie i zapobieganie przedwczesnemu kończeniu nauki szkolnej oraz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zapewnianie równego dostępu do dobrej jakości wczesnej edukacji elementarnej oraz kształcenia podstawowego, gimnazjalnego i ponadgimnazjalnego, z uwzględnieniem formalnych, nieformalnych i </w:t>
            </w:r>
            <w:proofErr w:type="spellStart"/>
            <w:r w:rsidRPr="00C318FB">
              <w:rPr>
                <w:rFonts w:ascii="Arial" w:hAnsi="Arial" w:cs="Arial"/>
                <w:iCs/>
                <w:sz w:val="20"/>
                <w:szCs w:val="20"/>
              </w:rPr>
              <w:t>pozaformalnych</w:t>
            </w:r>
            <w:proofErr w:type="spellEnd"/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 ścieżek kształcenia umożliwiających ponowne podjęcie kształcenia i szkolenia </w:t>
            </w:r>
          </w:p>
        </w:tc>
      </w:tr>
      <w:tr w:rsidR="00DA33B1" w:rsidRPr="00C318FB" w14:paraId="48D8DBD3" w14:textId="77777777" w:rsidTr="005E6F5D">
        <w:trPr>
          <w:trHeight w:val="615"/>
        </w:trPr>
        <w:tc>
          <w:tcPr>
            <w:tcW w:w="646" w:type="pct"/>
            <w:vMerge/>
            <w:vAlign w:val="center"/>
            <w:hideMark/>
          </w:tcPr>
          <w:p w14:paraId="75DEF0E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04CDA8B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60CD33B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B44D94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10.1.2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5B5059A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Edukacja ogólna w ramach ZIT</w:t>
            </w:r>
          </w:p>
        </w:tc>
        <w:tc>
          <w:tcPr>
            <w:tcW w:w="709" w:type="pct"/>
            <w:vMerge/>
            <w:vAlign w:val="center"/>
            <w:hideMark/>
          </w:tcPr>
          <w:p w14:paraId="348D165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239FE9C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2B57505A" w14:textId="77777777" w:rsidTr="005E6F5D">
        <w:trPr>
          <w:trHeight w:val="315"/>
        </w:trPr>
        <w:tc>
          <w:tcPr>
            <w:tcW w:w="646" w:type="pct"/>
            <w:vMerge/>
            <w:vAlign w:val="center"/>
            <w:hideMark/>
          </w:tcPr>
          <w:p w14:paraId="427607A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450FFE3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1197489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73C8717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10.1.3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6BB5CD4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Programy stypendialne</w:t>
            </w:r>
          </w:p>
        </w:tc>
        <w:tc>
          <w:tcPr>
            <w:tcW w:w="709" w:type="pct"/>
            <w:vMerge/>
            <w:vAlign w:val="center"/>
            <w:hideMark/>
          </w:tcPr>
          <w:p w14:paraId="3891F28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521283C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5C96EC7B" w14:textId="77777777" w:rsidTr="005E6F5D">
        <w:trPr>
          <w:trHeight w:val="315"/>
        </w:trPr>
        <w:tc>
          <w:tcPr>
            <w:tcW w:w="646" w:type="pct"/>
            <w:vMerge/>
            <w:vAlign w:val="center"/>
            <w:hideMark/>
          </w:tcPr>
          <w:p w14:paraId="4FB2505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06C18DB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4A66C3C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6372884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10.1.4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3BE21E5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Edukacja przedszkolna</w:t>
            </w:r>
          </w:p>
        </w:tc>
        <w:tc>
          <w:tcPr>
            <w:tcW w:w="709" w:type="pct"/>
            <w:vMerge/>
            <w:vAlign w:val="center"/>
            <w:hideMark/>
          </w:tcPr>
          <w:p w14:paraId="6CB2218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08BD2DE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30BDDFA1" w14:textId="77777777" w:rsidTr="005E6F5D">
        <w:trPr>
          <w:trHeight w:val="1290"/>
        </w:trPr>
        <w:tc>
          <w:tcPr>
            <w:tcW w:w="646" w:type="pct"/>
            <w:vMerge/>
            <w:vAlign w:val="center"/>
            <w:hideMark/>
          </w:tcPr>
          <w:p w14:paraId="24FB044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4CE0BAB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10.2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6468CA6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Upowszechnianie kompetencji kluczowych wśród osób dorosłych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232A119C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2F2F2"/>
            <w:noWrap/>
            <w:vAlign w:val="center"/>
            <w:hideMark/>
          </w:tcPr>
          <w:p w14:paraId="1FF263FE" w14:textId="77777777" w:rsidR="000D1A91" w:rsidRPr="00E408F7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709" w:type="pct"/>
            <w:vMerge/>
            <w:vAlign w:val="center"/>
            <w:hideMark/>
          </w:tcPr>
          <w:p w14:paraId="30F2C45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shd w:val="clear" w:color="auto" w:fill="auto"/>
            <w:vAlign w:val="center"/>
            <w:hideMark/>
          </w:tcPr>
          <w:p w14:paraId="6C6318D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10iii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Wyrównywanie dostępu do uczenia się przez całe życie o charakterze formalnym, nieformalnym i </w:t>
            </w:r>
            <w:proofErr w:type="spellStart"/>
            <w:r w:rsidRPr="00C318FB">
              <w:rPr>
                <w:rFonts w:ascii="Arial" w:hAnsi="Arial" w:cs="Arial"/>
                <w:iCs/>
                <w:sz w:val="20"/>
                <w:szCs w:val="20"/>
              </w:rPr>
              <w:t>pozaformalnym</w:t>
            </w:r>
            <w:proofErr w:type="spellEnd"/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 wszystkich grup wiekowych, poszerzanie wiedzy, podnoszenie umiejętności i kompetencji siły roboczej oraz promowanie elastycznych ścieżek kształcenia, w tym poprzez doradztwo zawodowe i potwierdzanie nabytych kompetencji </w:t>
            </w:r>
          </w:p>
        </w:tc>
      </w:tr>
      <w:tr w:rsidR="00DA33B1" w:rsidRPr="00C318FB" w14:paraId="5E32514B" w14:textId="77777777" w:rsidTr="005E6F5D">
        <w:trPr>
          <w:trHeight w:val="585"/>
        </w:trPr>
        <w:tc>
          <w:tcPr>
            <w:tcW w:w="646" w:type="pct"/>
            <w:vMerge/>
            <w:vAlign w:val="center"/>
            <w:hideMark/>
          </w:tcPr>
          <w:p w14:paraId="7F38FB6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 w:val="restart"/>
            <w:shd w:val="clear" w:color="auto" w:fill="auto"/>
            <w:noWrap/>
            <w:vAlign w:val="center"/>
            <w:hideMark/>
          </w:tcPr>
          <w:p w14:paraId="4810948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10.3</w:t>
            </w:r>
          </w:p>
        </w:tc>
        <w:tc>
          <w:tcPr>
            <w:tcW w:w="456" w:type="pct"/>
            <w:vMerge w:val="restart"/>
            <w:shd w:val="clear" w:color="000000" w:fill="FFFFCC"/>
            <w:vAlign w:val="center"/>
            <w:hideMark/>
          </w:tcPr>
          <w:p w14:paraId="3F1FB6AC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Doskonalenie zawodowe</w:t>
            </w: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3EAFA8F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10.3.1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73F20CA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Doskonalenie zawodowe uczniów</w:t>
            </w:r>
          </w:p>
        </w:tc>
        <w:tc>
          <w:tcPr>
            <w:tcW w:w="709" w:type="pct"/>
            <w:vMerge/>
            <w:vAlign w:val="center"/>
            <w:hideMark/>
          </w:tcPr>
          <w:p w14:paraId="27DD603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 w:val="restart"/>
            <w:shd w:val="clear" w:color="auto" w:fill="auto"/>
            <w:vAlign w:val="center"/>
            <w:hideMark/>
          </w:tcPr>
          <w:p w14:paraId="72C0816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10iv</w:t>
            </w: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Lepsze dostosowanie systemów kształcenia </w:t>
            </w:r>
            <w:r w:rsidR="006E5D8A" w:rsidRPr="00C318FB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t xml:space="preserve">i szkolenia do potrzeb rynku pracy, ułatwianie przechodzenia z etapu kształcenia do etapu zatrudnienia oraz wzmacnianie systemów kształcenia i szkolenia zawodowego i ich jakości, w tym poprzez mechanizmy prognozowania umiejętności, dostosowania programów nauczania </w:t>
            </w:r>
            <w:r w:rsidRPr="00C318FB">
              <w:rPr>
                <w:rFonts w:ascii="Arial" w:hAnsi="Arial" w:cs="Arial"/>
                <w:iCs/>
                <w:sz w:val="20"/>
                <w:szCs w:val="20"/>
              </w:rPr>
              <w:lastRenderedPageBreak/>
              <w:t xml:space="preserve">oraz tworzenia i rozwoju systemów uczenia się poprzez praktyczną naukę zawodu realizowaną w ścisłej współpracy z pracodawcami </w:t>
            </w:r>
          </w:p>
        </w:tc>
      </w:tr>
      <w:tr w:rsidR="00DA33B1" w:rsidRPr="00C318FB" w14:paraId="548F60E9" w14:textId="77777777" w:rsidTr="005E6F5D">
        <w:trPr>
          <w:trHeight w:val="585"/>
        </w:trPr>
        <w:tc>
          <w:tcPr>
            <w:tcW w:w="646" w:type="pct"/>
            <w:vMerge/>
            <w:vAlign w:val="center"/>
            <w:hideMark/>
          </w:tcPr>
          <w:p w14:paraId="4B659FA9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14AAE21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7AAFB7E8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422F4AA6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10.3.2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2B4F9673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Programy stypendialne</w:t>
            </w:r>
          </w:p>
        </w:tc>
        <w:tc>
          <w:tcPr>
            <w:tcW w:w="709" w:type="pct"/>
            <w:vMerge/>
            <w:vAlign w:val="center"/>
            <w:hideMark/>
          </w:tcPr>
          <w:p w14:paraId="274B92F2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1951073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7564871A" w14:textId="77777777" w:rsidTr="005E6F5D">
        <w:trPr>
          <w:trHeight w:val="645"/>
        </w:trPr>
        <w:tc>
          <w:tcPr>
            <w:tcW w:w="646" w:type="pct"/>
            <w:vMerge/>
            <w:vAlign w:val="center"/>
            <w:hideMark/>
          </w:tcPr>
          <w:p w14:paraId="1B85BBD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7484D25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26874C1F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2F80115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10.3.3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5F26D6E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Doradztwo </w:t>
            </w:r>
            <w:proofErr w:type="spellStart"/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edukacyjno</w:t>
            </w:r>
            <w:proofErr w:type="spellEnd"/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lastRenderedPageBreak/>
              <w:t>zawodowe w ramach ZIT</w:t>
            </w:r>
          </w:p>
        </w:tc>
        <w:tc>
          <w:tcPr>
            <w:tcW w:w="709" w:type="pct"/>
            <w:vMerge/>
            <w:vAlign w:val="center"/>
            <w:hideMark/>
          </w:tcPr>
          <w:p w14:paraId="7010408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3A8758C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26C1C34A" w14:textId="77777777" w:rsidTr="005E6F5D">
        <w:trPr>
          <w:trHeight w:val="525"/>
        </w:trPr>
        <w:tc>
          <w:tcPr>
            <w:tcW w:w="646" w:type="pct"/>
            <w:vMerge/>
            <w:vAlign w:val="center"/>
            <w:hideMark/>
          </w:tcPr>
          <w:p w14:paraId="2C9FE9FB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vMerge/>
            <w:vAlign w:val="center"/>
            <w:hideMark/>
          </w:tcPr>
          <w:p w14:paraId="0DE00DA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6" w:type="pct"/>
            <w:vMerge/>
            <w:vAlign w:val="center"/>
            <w:hideMark/>
          </w:tcPr>
          <w:p w14:paraId="6777FCAE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07" w:type="pct"/>
            <w:shd w:val="clear" w:color="auto" w:fill="auto"/>
            <w:noWrap/>
            <w:vAlign w:val="center"/>
            <w:hideMark/>
          </w:tcPr>
          <w:p w14:paraId="0125909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10.3.4</w:t>
            </w:r>
          </w:p>
        </w:tc>
        <w:tc>
          <w:tcPr>
            <w:tcW w:w="658" w:type="pct"/>
            <w:shd w:val="clear" w:color="000000" w:fill="FFFFCC"/>
            <w:vAlign w:val="center"/>
            <w:hideMark/>
          </w:tcPr>
          <w:p w14:paraId="192850CA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Kształcenie praz doskonalenie zawodowe osób dorosłych</w:t>
            </w:r>
          </w:p>
        </w:tc>
        <w:tc>
          <w:tcPr>
            <w:tcW w:w="709" w:type="pct"/>
            <w:vMerge/>
            <w:vAlign w:val="center"/>
            <w:hideMark/>
          </w:tcPr>
          <w:p w14:paraId="3AB012C0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vAlign w:val="center"/>
            <w:hideMark/>
          </w:tcPr>
          <w:p w14:paraId="0FCC2C07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A33B1" w:rsidRPr="00C318FB" w14:paraId="0FE3AB25" w14:textId="77777777" w:rsidTr="005E6F5D">
        <w:trPr>
          <w:trHeight w:val="630"/>
        </w:trPr>
        <w:tc>
          <w:tcPr>
            <w:tcW w:w="646" w:type="pct"/>
            <w:shd w:val="clear" w:color="auto" w:fill="auto"/>
            <w:vAlign w:val="center"/>
            <w:hideMark/>
          </w:tcPr>
          <w:p w14:paraId="726DB0F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XI Pomoc Techniczna</w:t>
            </w:r>
          </w:p>
        </w:tc>
        <w:tc>
          <w:tcPr>
            <w:tcW w:w="365" w:type="pct"/>
            <w:shd w:val="clear" w:color="auto" w:fill="auto"/>
            <w:noWrap/>
            <w:vAlign w:val="center"/>
            <w:hideMark/>
          </w:tcPr>
          <w:p w14:paraId="7529FD31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11.1</w:t>
            </w:r>
          </w:p>
        </w:tc>
        <w:tc>
          <w:tcPr>
            <w:tcW w:w="456" w:type="pct"/>
            <w:shd w:val="clear" w:color="000000" w:fill="FFFFCC"/>
            <w:vAlign w:val="center"/>
            <w:hideMark/>
          </w:tcPr>
          <w:p w14:paraId="66E3338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Pomoc Techniczna</w:t>
            </w:r>
          </w:p>
        </w:tc>
        <w:tc>
          <w:tcPr>
            <w:tcW w:w="507" w:type="pct"/>
            <w:shd w:val="clear" w:color="000000" w:fill="F2F2F2"/>
            <w:noWrap/>
            <w:vAlign w:val="center"/>
            <w:hideMark/>
          </w:tcPr>
          <w:p w14:paraId="353C2C64" w14:textId="77777777" w:rsidR="000D1A91" w:rsidRPr="00D4320A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  <w:r w:rsidR="008A27BA"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658" w:type="pct"/>
            <w:shd w:val="clear" w:color="000000" w:fill="FFFFCC"/>
            <w:noWrap/>
            <w:vAlign w:val="center"/>
            <w:hideMark/>
          </w:tcPr>
          <w:p w14:paraId="607FBF35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Pomoc Techniczna</w:t>
            </w:r>
          </w:p>
        </w:tc>
        <w:tc>
          <w:tcPr>
            <w:tcW w:w="709" w:type="pct"/>
            <w:shd w:val="clear" w:color="auto" w:fill="auto"/>
            <w:vAlign w:val="center"/>
            <w:hideMark/>
          </w:tcPr>
          <w:p w14:paraId="1FD74E04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659" w:type="pct"/>
            <w:shd w:val="clear" w:color="auto" w:fill="auto"/>
            <w:noWrap/>
            <w:vAlign w:val="center"/>
            <w:hideMark/>
          </w:tcPr>
          <w:p w14:paraId="21D8A94D" w14:textId="77777777" w:rsidR="000D1A91" w:rsidRPr="00C318FB" w:rsidRDefault="000D1A91" w:rsidP="00C318FB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318F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 Techniczna</w:t>
            </w:r>
          </w:p>
        </w:tc>
      </w:tr>
      <w:tr w:rsidR="00DA33B1" w:rsidRPr="00C318FB" w14:paraId="24E3FFD1" w14:textId="77777777" w:rsidTr="005E6F5D">
        <w:trPr>
          <w:trHeight w:val="630"/>
        </w:trPr>
        <w:tc>
          <w:tcPr>
            <w:tcW w:w="646" w:type="pct"/>
            <w:vMerge w:val="restart"/>
            <w:shd w:val="clear" w:color="auto" w:fill="auto"/>
            <w:vAlign w:val="center"/>
          </w:tcPr>
          <w:p w14:paraId="0DD1C713" w14:textId="419916FF" w:rsidR="00113710" w:rsidRPr="00C318FB" w:rsidRDefault="00113710" w:rsidP="00D637FF">
            <w:pPr>
              <w:spacing w:after="0" w:line="312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XII REACT-EU dla Mazowsza</w:t>
            </w:r>
          </w:p>
        </w:tc>
        <w:tc>
          <w:tcPr>
            <w:tcW w:w="365" w:type="pct"/>
            <w:shd w:val="clear" w:color="auto" w:fill="auto"/>
            <w:noWrap/>
            <w:vAlign w:val="center"/>
          </w:tcPr>
          <w:p w14:paraId="43CEE697" w14:textId="612FF3AC" w:rsidR="00113710" w:rsidRPr="00C318FB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12.1</w:t>
            </w:r>
          </w:p>
        </w:tc>
        <w:tc>
          <w:tcPr>
            <w:tcW w:w="456" w:type="pct"/>
            <w:shd w:val="clear" w:color="000000" w:fill="FFFFCC"/>
            <w:vAlign w:val="center"/>
          </w:tcPr>
          <w:p w14:paraId="7370FBA7" w14:textId="05C77C9F" w:rsidR="00113710" w:rsidRPr="00C318FB" w:rsidRDefault="00D637FF" w:rsidP="0011371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REACT-EU dla termomodernizacji budynków użyteczności publicznej na Mazowszu</w:t>
            </w:r>
          </w:p>
        </w:tc>
        <w:tc>
          <w:tcPr>
            <w:tcW w:w="507" w:type="pct"/>
            <w:shd w:val="clear" w:color="000000" w:fill="F2F2F2"/>
            <w:noWrap/>
            <w:vAlign w:val="center"/>
          </w:tcPr>
          <w:p w14:paraId="50733CD7" w14:textId="72F615A9" w:rsidR="00113710" w:rsidRPr="00D637FF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658" w:type="pct"/>
            <w:shd w:val="clear" w:color="auto" w:fill="F2F2F2"/>
            <w:noWrap/>
            <w:vAlign w:val="center"/>
          </w:tcPr>
          <w:p w14:paraId="6FF1D1A7" w14:textId="65A9F5F2" w:rsidR="00113710" w:rsidRPr="00D637FF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642BD1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709" w:type="pct"/>
            <w:vMerge w:val="restart"/>
            <w:shd w:val="clear" w:color="auto" w:fill="auto"/>
            <w:vAlign w:val="center"/>
          </w:tcPr>
          <w:p w14:paraId="2B04F3CC" w14:textId="09DAF482" w:rsidR="00113710" w:rsidRPr="00C318FB" w:rsidRDefault="00113710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13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Wspieranie kryzysowych działań naprawczych w kontekście pandemii COVID-19 i przygotowania do ekologicznej i cyfrowej odbudowy gospodarki zwiększającej jej odporność</w:t>
            </w:r>
          </w:p>
        </w:tc>
        <w:tc>
          <w:tcPr>
            <w:tcW w:w="1659" w:type="pct"/>
            <w:vMerge w:val="restart"/>
            <w:shd w:val="clear" w:color="auto" w:fill="auto"/>
            <w:noWrap/>
            <w:vAlign w:val="center"/>
          </w:tcPr>
          <w:p w14:paraId="7809A3F6" w14:textId="05E411AE" w:rsidR="00D1486E" w:rsidRPr="00D637FF" w:rsidRDefault="00642BD1" w:rsidP="00D637FF">
            <w:pPr>
              <w:spacing w:after="0" w:line="312" w:lineRule="auto"/>
              <w:ind w:left="79" w:right="32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D63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13</w:t>
            </w:r>
            <w:r w:rsidR="00C74B49" w:rsidRPr="00D637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(EFRR)</w:t>
            </w:r>
            <w:r w:rsidRPr="0011371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Wspieranie kryzysowych działań naprawczych w kontekście pandemii COVID-19 i przygotowania do ekologicznej i cyfrowej odbudowy gospodarki zwiększającej jej odporność</w:t>
            </w:r>
          </w:p>
        </w:tc>
      </w:tr>
      <w:tr w:rsidR="00DA33B1" w:rsidRPr="00C318FB" w14:paraId="595A6384" w14:textId="77777777" w:rsidTr="005E6F5D">
        <w:trPr>
          <w:trHeight w:val="630"/>
        </w:trPr>
        <w:tc>
          <w:tcPr>
            <w:tcW w:w="646" w:type="pct"/>
            <w:vMerge/>
            <w:shd w:val="clear" w:color="auto" w:fill="auto"/>
            <w:vAlign w:val="center"/>
          </w:tcPr>
          <w:p w14:paraId="45E08A37" w14:textId="77777777" w:rsidR="00113710" w:rsidRPr="00C318FB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65" w:type="pct"/>
            <w:shd w:val="clear" w:color="auto" w:fill="auto"/>
            <w:noWrap/>
            <w:vAlign w:val="center"/>
          </w:tcPr>
          <w:p w14:paraId="5223462F" w14:textId="29AC4188" w:rsidR="00113710" w:rsidRPr="00C318FB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12.2</w:t>
            </w:r>
          </w:p>
        </w:tc>
        <w:tc>
          <w:tcPr>
            <w:tcW w:w="456" w:type="pct"/>
            <w:shd w:val="clear" w:color="000000" w:fill="FFFFCC"/>
            <w:vAlign w:val="center"/>
          </w:tcPr>
          <w:p w14:paraId="2E4860A0" w14:textId="05816A20" w:rsidR="00113710" w:rsidRPr="00C318FB" w:rsidRDefault="00D637FF" w:rsidP="00113710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637FF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REACT-EU dla e-usług na Mazowszu</w:t>
            </w:r>
          </w:p>
        </w:tc>
        <w:tc>
          <w:tcPr>
            <w:tcW w:w="507" w:type="pct"/>
            <w:shd w:val="clear" w:color="000000" w:fill="F2F2F2"/>
            <w:noWrap/>
            <w:vAlign w:val="center"/>
          </w:tcPr>
          <w:p w14:paraId="29AFB504" w14:textId="444D2100" w:rsidR="00113710" w:rsidRPr="00D637FF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E408F7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658" w:type="pct"/>
            <w:shd w:val="clear" w:color="auto" w:fill="F2F2F2"/>
            <w:noWrap/>
            <w:vAlign w:val="center"/>
          </w:tcPr>
          <w:p w14:paraId="54C01A97" w14:textId="5DF7DFE7" w:rsidR="00113710" w:rsidRPr="00D637FF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</w:pPr>
            <w:r w:rsidRPr="00642BD1">
              <w:rPr>
                <w:rFonts w:ascii="Arial" w:eastAsia="Times New Roman" w:hAnsi="Arial" w:cs="Arial"/>
                <w:bCs/>
                <w:color w:val="F2F2F2" w:themeColor="background1" w:themeShade="F2"/>
                <w:sz w:val="20"/>
                <w:szCs w:val="20"/>
                <w:lang w:eastAsia="pl-PL"/>
              </w:rPr>
              <w:t> Nie dotyczy</w:t>
            </w:r>
          </w:p>
        </w:tc>
        <w:tc>
          <w:tcPr>
            <w:tcW w:w="709" w:type="pct"/>
            <w:vMerge/>
            <w:shd w:val="clear" w:color="auto" w:fill="auto"/>
            <w:vAlign w:val="center"/>
          </w:tcPr>
          <w:p w14:paraId="68C8FF46" w14:textId="77777777" w:rsidR="00113710" w:rsidRPr="00C318FB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59" w:type="pct"/>
            <w:vMerge/>
            <w:shd w:val="clear" w:color="auto" w:fill="auto"/>
            <w:noWrap/>
            <w:vAlign w:val="center"/>
          </w:tcPr>
          <w:p w14:paraId="01F61A44" w14:textId="77777777" w:rsidR="00113710" w:rsidRPr="00C318FB" w:rsidRDefault="00113710" w:rsidP="00113710">
            <w:pPr>
              <w:spacing w:after="0" w:line="312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C295873" w14:textId="77777777" w:rsidR="004B4F1C" w:rsidRDefault="00194338" w:rsidP="009A3C76"/>
    <w:sectPr w:rsidR="004B4F1C" w:rsidSect="00014E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5B46C" w14:textId="77777777" w:rsidR="00A537E8" w:rsidRDefault="00A537E8" w:rsidP="00014E15">
      <w:pPr>
        <w:spacing w:after="0" w:line="240" w:lineRule="auto"/>
      </w:pPr>
      <w:r>
        <w:separator/>
      </w:r>
    </w:p>
  </w:endnote>
  <w:endnote w:type="continuationSeparator" w:id="0">
    <w:p w14:paraId="34CD0248" w14:textId="77777777" w:rsidR="00A537E8" w:rsidRDefault="00A537E8" w:rsidP="0001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C69C3" w14:textId="77777777" w:rsidR="008452C4" w:rsidRDefault="008452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2455943"/>
      <w:docPartObj>
        <w:docPartGallery w:val="Page Numbers (Bottom of Page)"/>
        <w:docPartUnique/>
      </w:docPartObj>
    </w:sdtPr>
    <w:sdtEndPr/>
    <w:sdtContent>
      <w:p w14:paraId="33D9FDF2" w14:textId="77777777" w:rsidR="00014E15" w:rsidRDefault="00014E15" w:rsidP="00014E1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726">
          <w:rPr>
            <w:noProof/>
          </w:rPr>
          <w:t>4</w:t>
        </w:r>
        <w:r>
          <w:fldChar w:fldCharType="end"/>
        </w:r>
      </w:p>
    </w:sdtContent>
  </w:sdt>
  <w:p w14:paraId="4CEFEEED" w14:textId="77777777" w:rsidR="00014E15" w:rsidRDefault="00014E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F1ED" w14:textId="77777777" w:rsidR="008452C4" w:rsidRDefault="008452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1C4D6" w14:textId="77777777" w:rsidR="00A537E8" w:rsidRDefault="00A537E8" w:rsidP="00014E15">
      <w:pPr>
        <w:spacing w:after="0" w:line="240" w:lineRule="auto"/>
      </w:pPr>
      <w:r>
        <w:separator/>
      </w:r>
    </w:p>
  </w:footnote>
  <w:footnote w:type="continuationSeparator" w:id="0">
    <w:p w14:paraId="0E72EE62" w14:textId="77777777" w:rsidR="00A537E8" w:rsidRDefault="00A537E8" w:rsidP="00014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98D7" w14:textId="77777777" w:rsidR="008452C4" w:rsidRDefault="008452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29BD0" w14:textId="77777777" w:rsidR="008452C4" w:rsidRDefault="008452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DCE2E" w14:textId="77777777" w:rsidR="008452C4" w:rsidRDefault="008452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780"/>
    <w:multiLevelType w:val="multilevel"/>
    <w:tmpl w:val="20A25398"/>
    <w:lvl w:ilvl="0">
      <w:start w:val="1"/>
      <w:numFmt w:val="upperRoman"/>
      <w:pStyle w:val="SzOOP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SzOOP2"/>
      <w:lvlText w:val="%1.%2."/>
      <w:lvlJc w:val="left"/>
      <w:pPr>
        <w:ind w:left="5699" w:hanging="737"/>
      </w:pPr>
      <w:rPr>
        <w:rFonts w:asciiTheme="minorHAnsi" w:hAnsiTheme="minorHAnsi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26"/>
        <w:u w:val="none"/>
        <w:vertAlign w:val="baseline"/>
        <w:em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4741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A91"/>
    <w:rsid w:val="00014E15"/>
    <w:rsid w:val="000C4D08"/>
    <w:rsid w:val="000D1A91"/>
    <w:rsid w:val="00113710"/>
    <w:rsid w:val="0018338E"/>
    <w:rsid w:val="00194338"/>
    <w:rsid w:val="002056E8"/>
    <w:rsid w:val="00215EB0"/>
    <w:rsid w:val="00312A81"/>
    <w:rsid w:val="0033641E"/>
    <w:rsid w:val="003D7FAD"/>
    <w:rsid w:val="00427B81"/>
    <w:rsid w:val="004362C8"/>
    <w:rsid w:val="00461D63"/>
    <w:rsid w:val="004A6788"/>
    <w:rsid w:val="005534DC"/>
    <w:rsid w:val="005E6F5D"/>
    <w:rsid w:val="00642BD1"/>
    <w:rsid w:val="00683A00"/>
    <w:rsid w:val="006D0726"/>
    <w:rsid w:val="006E5D8A"/>
    <w:rsid w:val="0073273A"/>
    <w:rsid w:val="00744F69"/>
    <w:rsid w:val="007B23A7"/>
    <w:rsid w:val="008452C4"/>
    <w:rsid w:val="00856C12"/>
    <w:rsid w:val="00895DF4"/>
    <w:rsid w:val="008A27BA"/>
    <w:rsid w:val="009169AA"/>
    <w:rsid w:val="009A3C76"/>
    <w:rsid w:val="00A36AF2"/>
    <w:rsid w:val="00A537E8"/>
    <w:rsid w:val="00A560D2"/>
    <w:rsid w:val="00AE5B74"/>
    <w:rsid w:val="00B205B8"/>
    <w:rsid w:val="00B81846"/>
    <w:rsid w:val="00B842EA"/>
    <w:rsid w:val="00B961B3"/>
    <w:rsid w:val="00BA090E"/>
    <w:rsid w:val="00BD290D"/>
    <w:rsid w:val="00C318FB"/>
    <w:rsid w:val="00C74B49"/>
    <w:rsid w:val="00D1486E"/>
    <w:rsid w:val="00D4320A"/>
    <w:rsid w:val="00D637FF"/>
    <w:rsid w:val="00DA33B1"/>
    <w:rsid w:val="00DA58EF"/>
    <w:rsid w:val="00DE1F91"/>
    <w:rsid w:val="00DF7665"/>
    <w:rsid w:val="00E03236"/>
    <w:rsid w:val="00E408F7"/>
    <w:rsid w:val="00E43C78"/>
    <w:rsid w:val="00EC134E"/>
    <w:rsid w:val="00F6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656818"/>
  <w15:chartTrackingRefBased/>
  <w15:docId w15:val="{94554B73-C765-447F-85D6-27F45404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A9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1A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zOOP">
    <w:name w:val="SzOOP"/>
    <w:basedOn w:val="Nagwek1"/>
    <w:qFormat/>
    <w:rsid w:val="000D1A91"/>
    <w:pPr>
      <w:keepLines w:val="0"/>
      <w:numPr>
        <w:numId w:val="1"/>
      </w:numPr>
      <w:tabs>
        <w:tab w:val="num" w:pos="360"/>
      </w:tabs>
      <w:spacing w:after="60"/>
      <w:ind w:left="0" w:firstLine="0"/>
    </w:pPr>
    <w:rPr>
      <w:rFonts w:ascii="Calibri" w:eastAsia="Times New Roman" w:hAnsi="Calibri" w:cs="Times New Roman"/>
      <w:b/>
      <w:bCs/>
      <w:color w:val="auto"/>
      <w:kern w:val="32"/>
      <w:szCs w:val="18"/>
    </w:rPr>
  </w:style>
  <w:style w:type="paragraph" w:customStyle="1" w:styleId="SzOOP2">
    <w:name w:val="SzOOP 2"/>
    <w:basedOn w:val="Nagwek2"/>
    <w:qFormat/>
    <w:rsid w:val="000D1A91"/>
    <w:pPr>
      <w:keepLines w:val="0"/>
      <w:numPr>
        <w:ilvl w:val="1"/>
        <w:numId w:val="1"/>
      </w:numPr>
      <w:tabs>
        <w:tab w:val="num" w:pos="360"/>
        <w:tab w:val="left" w:pos="992"/>
      </w:tabs>
      <w:spacing w:before="240" w:after="60"/>
      <w:ind w:left="0" w:firstLine="0"/>
    </w:pPr>
    <w:rPr>
      <w:rFonts w:ascii="Calibri" w:eastAsia="Times New Roman" w:hAnsi="Calibri" w:cs="Times New Roman"/>
      <w:b/>
      <w:bCs/>
      <w:iCs/>
      <w:color w:val="auto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D1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01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4E1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14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4E1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710"/>
    <w:rPr>
      <w:rFonts w:ascii="Segoe UI" w:eastAsia="Calibr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19433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59EDE-FA1A-48E0-8B11-E5C0D06CE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1539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Szczegółowego Opisu Osi Priorytetowych - Tabela transpozycji Priorytetów Inwestycyjnych</vt:lpstr>
    </vt:vector>
  </TitlesOfParts>
  <Company/>
  <LinksUpToDate>false</LinksUpToDate>
  <CharactersWithSpaces>10752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Szczegółowego Opisu Osi Priorytetowych - Tabela transpozycji Priorytetów Inwestycyjnych</dc:title>
  <dc:subject/>
  <dc:creator>Lis Ewelina</dc:creator>
  <cp:keywords/>
  <dc:description/>
  <cp:lastModifiedBy>Regeńczuk Eliza</cp:lastModifiedBy>
  <cp:revision>8</cp:revision>
  <cp:lastPrinted>2023-05-16T12:15:00Z</cp:lastPrinted>
  <dcterms:created xsi:type="dcterms:W3CDTF">2021-06-17T08:28:00Z</dcterms:created>
  <dcterms:modified xsi:type="dcterms:W3CDTF">2023-05-16T12:16:00Z</dcterms:modified>
</cp:coreProperties>
</file>