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C0FC27" w14:textId="5896079A" w:rsidR="007520F9" w:rsidRDefault="00374520" w:rsidP="007520F9">
      <w:pPr>
        <w:shd w:val="clear" w:color="auto" w:fill="D9E2F3" w:themeFill="accent1" w:themeFillTint="33"/>
        <w:spacing w:after="0" w:line="360" w:lineRule="auto"/>
        <w:rPr>
          <w:rFonts w:ascii="Arial" w:hAnsi="Arial" w:cs="Arial"/>
          <w:sz w:val="24"/>
          <w:szCs w:val="24"/>
        </w:rPr>
      </w:pPr>
      <w:r>
        <w:rPr>
          <w:rFonts w:ascii="Arial" w:hAnsi="Arial" w:cs="Arial"/>
          <w:sz w:val="24"/>
          <w:szCs w:val="24"/>
        </w:rPr>
        <w:t>Z</w:t>
      </w:r>
      <w:r w:rsidR="007520F9" w:rsidRPr="007520F9">
        <w:rPr>
          <w:rFonts w:ascii="Arial" w:hAnsi="Arial" w:cs="Arial"/>
          <w:sz w:val="24"/>
          <w:szCs w:val="24"/>
        </w:rPr>
        <w:t>ałącznik</w:t>
      </w:r>
      <w:r>
        <w:rPr>
          <w:rFonts w:ascii="Arial" w:hAnsi="Arial" w:cs="Arial"/>
          <w:sz w:val="24"/>
          <w:szCs w:val="24"/>
        </w:rPr>
        <w:t xml:space="preserve"> 4.c.1</w:t>
      </w:r>
    </w:p>
    <w:p w14:paraId="2ADC755D" w14:textId="52E52433" w:rsidR="007520F9" w:rsidRPr="007520F9" w:rsidRDefault="00374520" w:rsidP="007520F9">
      <w:pPr>
        <w:shd w:val="clear" w:color="auto" w:fill="D9E2F3" w:themeFill="accent1" w:themeFillTint="33"/>
        <w:spacing w:after="360" w:line="360" w:lineRule="auto"/>
        <w:rPr>
          <w:rFonts w:ascii="Arial" w:hAnsi="Arial" w:cs="Arial"/>
          <w:b/>
          <w:sz w:val="24"/>
          <w:szCs w:val="24"/>
        </w:rPr>
      </w:pPr>
      <w:r>
        <w:rPr>
          <w:rFonts w:ascii="Arial" w:hAnsi="Arial" w:cs="Arial"/>
          <w:b/>
          <w:sz w:val="24"/>
          <w:szCs w:val="24"/>
        </w:rPr>
        <w:t xml:space="preserve">INSTRUKCJA DO ZAŁĄCZNIKA 4.c </w:t>
      </w:r>
      <w:r w:rsidR="007520F9" w:rsidRPr="007520F9">
        <w:rPr>
          <w:rFonts w:ascii="Arial" w:hAnsi="Arial" w:cs="Arial"/>
          <w:b/>
          <w:sz w:val="24"/>
          <w:szCs w:val="24"/>
        </w:rPr>
        <w:t>ANALIZA ZGODNOŚCI PROJEKTU Z ZASADAMI POMOCY PUBLICZNEJ I/LUB POMOCY DE MINIMIS</w:t>
      </w:r>
    </w:p>
    <w:p w14:paraId="6276C097" w14:textId="0EC0673E" w:rsidR="004F5061" w:rsidRPr="007520F9" w:rsidRDefault="00E8539D" w:rsidP="007520F9">
      <w:pPr>
        <w:spacing w:line="360" w:lineRule="auto"/>
        <w:rPr>
          <w:rFonts w:ascii="Arial" w:hAnsi="Arial" w:cs="Arial"/>
          <w:sz w:val="24"/>
          <w:szCs w:val="24"/>
        </w:rPr>
      </w:pPr>
      <w:r w:rsidRPr="007520F9">
        <w:rPr>
          <w:rFonts w:ascii="Arial" w:hAnsi="Arial" w:cs="Arial"/>
          <w:sz w:val="24"/>
          <w:szCs w:val="24"/>
        </w:rPr>
        <w:t xml:space="preserve">Załącznik </w:t>
      </w:r>
      <w:r w:rsidR="004F5061" w:rsidRPr="007520F9">
        <w:rPr>
          <w:rFonts w:ascii="Arial" w:hAnsi="Arial" w:cs="Arial"/>
          <w:sz w:val="24"/>
          <w:szCs w:val="24"/>
        </w:rPr>
        <w:t xml:space="preserve">ANALIZA ZGODNOŚCI PROJEKTU Z ZASADAMI POMOCY PUBLICZNEJ I/LUB POMOCY DE MINIMIS jest </w:t>
      </w:r>
      <w:r w:rsidR="00E122AC" w:rsidRPr="007520F9">
        <w:rPr>
          <w:rFonts w:ascii="Arial" w:hAnsi="Arial" w:cs="Arial"/>
          <w:sz w:val="24"/>
          <w:szCs w:val="24"/>
        </w:rPr>
        <w:t xml:space="preserve">obowiązkowy – musisz </w:t>
      </w:r>
      <w:r w:rsidRPr="007520F9">
        <w:rPr>
          <w:rFonts w:ascii="Arial" w:hAnsi="Arial" w:cs="Arial"/>
          <w:sz w:val="24"/>
          <w:szCs w:val="24"/>
        </w:rPr>
        <w:t>wypełnić każdorazowo, chyba, że w regulaminie naboru wskazano inaczej.</w:t>
      </w:r>
      <w:r w:rsidR="004F5061" w:rsidRPr="007520F9">
        <w:rPr>
          <w:rFonts w:ascii="Arial" w:hAnsi="Arial" w:cs="Arial"/>
          <w:sz w:val="24"/>
          <w:szCs w:val="24"/>
        </w:rPr>
        <w:t xml:space="preserve"> Składa się on z części wskazującej beneficjenta </w:t>
      </w:r>
      <w:r w:rsidR="0058030F" w:rsidRPr="007520F9">
        <w:rPr>
          <w:rFonts w:ascii="Arial" w:hAnsi="Arial" w:cs="Arial"/>
          <w:sz w:val="24"/>
          <w:szCs w:val="24"/>
        </w:rPr>
        <w:t>pomocy</w:t>
      </w:r>
      <w:r w:rsidR="004F5061" w:rsidRPr="007520F9">
        <w:rPr>
          <w:rFonts w:ascii="Arial" w:hAnsi="Arial" w:cs="Arial"/>
          <w:sz w:val="24"/>
          <w:szCs w:val="24"/>
        </w:rPr>
        <w:t xml:space="preserve"> oraz dwóch głównych części: testu występowania pomocy publicznej oraz ustalenia wielkości przedsiębiorstwa. Poniżej przedstawiamy instrukcje, jak wypełnić poszczególne elementy wraz z istotnymi wskazówkami.</w:t>
      </w:r>
    </w:p>
    <w:p w14:paraId="37615724" w14:textId="77777777" w:rsidR="00E8539D" w:rsidRPr="007520F9" w:rsidRDefault="00E8539D" w:rsidP="007520F9">
      <w:pPr>
        <w:spacing w:line="360" w:lineRule="auto"/>
        <w:rPr>
          <w:rFonts w:ascii="Arial" w:hAnsi="Arial" w:cs="Arial"/>
          <w:sz w:val="24"/>
          <w:szCs w:val="24"/>
        </w:rPr>
      </w:pPr>
      <w:r w:rsidRPr="007520F9">
        <w:rPr>
          <w:rFonts w:ascii="Arial" w:hAnsi="Arial" w:cs="Arial"/>
          <w:bCs/>
          <w:sz w:val="24"/>
          <w:szCs w:val="24"/>
        </w:rPr>
        <w:t xml:space="preserve">Nagłówek załącznika </w:t>
      </w:r>
      <w:r w:rsidRPr="007520F9">
        <w:rPr>
          <w:rFonts w:ascii="Arial" w:hAnsi="Arial" w:cs="Arial"/>
          <w:sz w:val="24"/>
          <w:szCs w:val="24"/>
        </w:rPr>
        <w:t>stanowi część identyfikacyjną. Wpisz tutaj dane: nazwę podmiotu i tytuł projektu.</w:t>
      </w:r>
    </w:p>
    <w:p w14:paraId="2C58C7A3" w14:textId="77777777" w:rsidR="006C2591" w:rsidRPr="007520F9" w:rsidRDefault="006C2591" w:rsidP="007520F9">
      <w:pPr>
        <w:pStyle w:val="Akapitzlist"/>
        <w:numPr>
          <w:ilvl w:val="0"/>
          <w:numId w:val="1"/>
        </w:numPr>
        <w:shd w:val="clear" w:color="auto" w:fill="D9E2F3" w:themeFill="accent1" w:themeFillTint="33"/>
        <w:spacing w:before="360" w:after="360" w:line="360" w:lineRule="auto"/>
        <w:ind w:left="284" w:hanging="295"/>
        <w:rPr>
          <w:rFonts w:ascii="Arial" w:hAnsi="Arial" w:cs="Arial"/>
          <w:b/>
          <w:sz w:val="24"/>
          <w:szCs w:val="24"/>
          <w:u w:val="single"/>
        </w:rPr>
      </w:pPr>
      <w:bookmarkStart w:id="0" w:name="_Hlk129597196"/>
      <w:r w:rsidRPr="007520F9">
        <w:rPr>
          <w:rFonts w:ascii="Arial" w:hAnsi="Arial" w:cs="Arial"/>
          <w:b/>
          <w:sz w:val="24"/>
          <w:szCs w:val="24"/>
          <w:u w:val="single"/>
        </w:rPr>
        <w:t>TEST WYSTĘPOWANIA POMOCY PUBLICZNEJ</w:t>
      </w:r>
    </w:p>
    <w:bookmarkEnd w:id="0"/>
    <w:p w14:paraId="52B23810" w14:textId="070FDF39" w:rsidR="00E8539D" w:rsidRPr="007520F9" w:rsidRDefault="00E8539D" w:rsidP="007520F9">
      <w:pPr>
        <w:spacing w:line="360" w:lineRule="auto"/>
        <w:rPr>
          <w:rFonts w:ascii="Arial" w:hAnsi="Arial" w:cs="Arial"/>
          <w:sz w:val="24"/>
          <w:szCs w:val="24"/>
        </w:rPr>
      </w:pPr>
      <w:r w:rsidRPr="007520F9">
        <w:rPr>
          <w:rFonts w:ascii="Arial" w:hAnsi="Arial" w:cs="Arial"/>
          <w:sz w:val="24"/>
          <w:szCs w:val="24"/>
        </w:rPr>
        <w:t xml:space="preserve">Główną cześć załącznika stanowi </w:t>
      </w:r>
      <w:r w:rsidRPr="007520F9">
        <w:rPr>
          <w:rFonts w:ascii="Arial" w:hAnsi="Arial" w:cs="Arial"/>
          <w:b/>
          <w:sz w:val="24"/>
          <w:szCs w:val="24"/>
        </w:rPr>
        <w:t>TEST POMOCY PUBLICZNEJ</w:t>
      </w:r>
      <w:r w:rsidRPr="007520F9">
        <w:rPr>
          <w:rFonts w:ascii="Arial" w:hAnsi="Arial" w:cs="Arial"/>
          <w:sz w:val="24"/>
          <w:szCs w:val="24"/>
        </w:rPr>
        <w:t>. Test składa się z pięciu pytań i pozwoli określić, czy w projekcie wystąpi pomoc publiczna.</w:t>
      </w:r>
    </w:p>
    <w:p w14:paraId="1A1DA3B8" w14:textId="3D6EB5DE" w:rsidR="00E8539D" w:rsidRPr="007520F9" w:rsidRDefault="00E8539D" w:rsidP="007520F9">
      <w:pPr>
        <w:spacing w:line="360" w:lineRule="auto"/>
        <w:rPr>
          <w:rFonts w:ascii="Arial" w:hAnsi="Arial" w:cs="Arial"/>
          <w:sz w:val="24"/>
          <w:szCs w:val="24"/>
        </w:rPr>
      </w:pPr>
      <w:r w:rsidRPr="007520F9">
        <w:rPr>
          <w:rFonts w:ascii="Arial" w:hAnsi="Arial" w:cs="Arial"/>
          <w:sz w:val="24"/>
          <w:szCs w:val="24"/>
        </w:rPr>
        <w:t>Jeśli z góry zakładasz, że całość projektu zostanie objęta pomocą publiczną, możesz na każde pytanie</w:t>
      </w:r>
      <w:r w:rsidR="00EF2E3C" w:rsidRPr="007520F9">
        <w:rPr>
          <w:rFonts w:ascii="Arial" w:hAnsi="Arial" w:cs="Arial"/>
          <w:sz w:val="24"/>
          <w:szCs w:val="24"/>
        </w:rPr>
        <w:t xml:space="preserve"> w polu „Proszę wybrać odpowiedź” wskazać </w:t>
      </w:r>
      <w:r w:rsidRPr="007520F9">
        <w:rPr>
          <w:rFonts w:ascii="Arial" w:hAnsi="Arial" w:cs="Arial"/>
          <w:sz w:val="24"/>
          <w:szCs w:val="24"/>
        </w:rPr>
        <w:t>po prostu „TAK”</w:t>
      </w:r>
      <w:r w:rsidR="00EF2E3C" w:rsidRPr="007520F9">
        <w:rPr>
          <w:rFonts w:ascii="Arial" w:hAnsi="Arial" w:cs="Arial"/>
          <w:sz w:val="24"/>
          <w:szCs w:val="24"/>
        </w:rPr>
        <w:t xml:space="preserve"> i nie wskazywać uzasadnienia</w:t>
      </w:r>
      <w:r w:rsidRPr="007520F9">
        <w:rPr>
          <w:rFonts w:ascii="Arial" w:hAnsi="Arial" w:cs="Arial"/>
          <w:sz w:val="24"/>
          <w:szCs w:val="24"/>
        </w:rPr>
        <w:t xml:space="preserve">. W przeciwnym razie, </w:t>
      </w:r>
      <w:r w:rsidR="000E4AE9" w:rsidRPr="007520F9">
        <w:rPr>
          <w:rFonts w:ascii="Arial" w:hAnsi="Arial" w:cs="Arial"/>
          <w:sz w:val="24"/>
          <w:szCs w:val="24"/>
        </w:rPr>
        <w:t xml:space="preserve">wszystkie </w:t>
      </w:r>
      <w:r w:rsidRPr="007520F9">
        <w:rPr>
          <w:rFonts w:ascii="Arial" w:hAnsi="Arial" w:cs="Arial"/>
          <w:sz w:val="24"/>
          <w:szCs w:val="24"/>
        </w:rPr>
        <w:t>odpowiedzi wymagają uzasadnienia.</w:t>
      </w:r>
    </w:p>
    <w:p w14:paraId="2A32C757" w14:textId="06F3436F" w:rsidR="005A5649" w:rsidRPr="007520F9" w:rsidRDefault="005A5649" w:rsidP="007520F9">
      <w:pPr>
        <w:spacing w:line="360" w:lineRule="auto"/>
        <w:rPr>
          <w:rFonts w:ascii="Arial" w:hAnsi="Arial" w:cs="Arial"/>
          <w:sz w:val="24"/>
          <w:szCs w:val="24"/>
        </w:rPr>
      </w:pPr>
      <w:bookmarkStart w:id="1" w:name="_Hlk130550764"/>
      <w:bookmarkStart w:id="2" w:name="_Hlk130548316"/>
      <w:r w:rsidRPr="007520F9">
        <w:rPr>
          <w:rFonts w:ascii="Arial" w:hAnsi="Arial" w:cs="Arial"/>
          <w:sz w:val="24"/>
          <w:szCs w:val="24"/>
        </w:rPr>
        <w:t xml:space="preserve">Jeżeli, projekt obejmuje swoim zakresem różne rodzaje infrastruktury lub kilka budynków, których sposób wykorzystanie różni się od siebie, </w:t>
      </w:r>
      <w:r w:rsidR="00C629A9" w:rsidRPr="007520F9">
        <w:rPr>
          <w:rFonts w:ascii="Arial" w:hAnsi="Arial" w:cs="Arial"/>
          <w:sz w:val="24"/>
          <w:szCs w:val="24"/>
        </w:rPr>
        <w:t>przeprowad</w:t>
      </w:r>
      <w:r w:rsidR="00165817" w:rsidRPr="007520F9">
        <w:rPr>
          <w:rFonts w:ascii="Arial" w:hAnsi="Arial" w:cs="Arial"/>
          <w:sz w:val="24"/>
          <w:szCs w:val="24"/>
        </w:rPr>
        <w:t>ź</w:t>
      </w:r>
      <w:r w:rsidRPr="007520F9">
        <w:rPr>
          <w:rFonts w:ascii="Arial" w:hAnsi="Arial" w:cs="Arial"/>
          <w:sz w:val="24"/>
          <w:szCs w:val="24"/>
        </w:rPr>
        <w:t xml:space="preserve"> </w:t>
      </w:r>
      <w:r w:rsidR="00165817" w:rsidRPr="007520F9">
        <w:rPr>
          <w:rFonts w:ascii="Arial" w:hAnsi="Arial" w:cs="Arial"/>
          <w:sz w:val="24"/>
          <w:szCs w:val="24"/>
        </w:rPr>
        <w:t xml:space="preserve">test </w:t>
      </w:r>
      <w:r w:rsidRPr="007520F9">
        <w:rPr>
          <w:rFonts w:ascii="Arial" w:hAnsi="Arial" w:cs="Arial"/>
          <w:sz w:val="24"/>
          <w:szCs w:val="24"/>
        </w:rPr>
        <w:t>pomocy publiczne</w:t>
      </w:r>
      <w:r w:rsidR="00165817" w:rsidRPr="007520F9">
        <w:rPr>
          <w:rFonts w:ascii="Arial" w:hAnsi="Arial" w:cs="Arial"/>
          <w:sz w:val="24"/>
          <w:szCs w:val="24"/>
        </w:rPr>
        <w:t>j dla każdego z osobna. Możesz w tym celu skopiować tabelę z testem występowania pomocy publicznej.</w:t>
      </w:r>
      <w:bookmarkEnd w:id="1"/>
    </w:p>
    <w:bookmarkEnd w:id="2"/>
    <w:p w14:paraId="7E1E7E84" w14:textId="12B095AB" w:rsidR="00E8539D" w:rsidRPr="007520F9" w:rsidRDefault="00E8539D" w:rsidP="007520F9">
      <w:pPr>
        <w:spacing w:line="360" w:lineRule="auto"/>
        <w:rPr>
          <w:rFonts w:ascii="Arial" w:hAnsi="Arial" w:cs="Arial"/>
          <w:sz w:val="24"/>
          <w:szCs w:val="24"/>
        </w:rPr>
      </w:pPr>
      <w:r w:rsidRPr="007520F9">
        <w:rPr>
          <w:rFonts w:ascii="Arial" w:hAnsi="Arial" w:cs="Arial"/>
          <w:sz w:val="24"/>
          <w:szCs w:val="24"/>
        </w:rPr>
        <w:t xml:space="preserve">Poniżej, przedstawiamy wskazówki, które pomogą </w:t>
      </w:r>
      <w:r w:rsidR="000E4AE9" w:rsidRPr="007520F9">
        <w:rPr>
          <w:rFonts w:ascii="Arial" w:hAnsi="Arial" w:cs="Arial"/>
          <w:sz w:val="24"/>
          <w:szCs w:val="24"/>
        </w:rPr>
        <w:t xml:space="preserve">Ci </w:t>
      </w:r>
      <w:r w:rsidRPr="007520F9">
        <w:rPr>
          <w:rFonts w:ascii="Arial" w:hAnsi="Arial" w:cs="Arial"/>
          <w:sz w:val="24"/>
          <w:szCs w:val="24"/>
        </w:rPr>
        <w:t>prawidłowo odpowiedzieć na pytania</w:t>
      </w:r>
      <w:r w:rsidR="009E61A7" w:rsidRPr="007520F9">
        <w:rPr>
          <w:rFonts w:ascii="Arial" w:hAnsi="Arial" w:cs="Arial"/>
          <w:sz w:val="24"/>
          <w:szCs w:val="24"/>
        </w:rPr>
        <w:t xml:space="preserve"> wskazane w teście</w:t>
      </w:r>
      <w:r w:rsidRPr="007520F9">
        <w:rPr>
          <w:rFonts w:ascii="Arial" w:hAnsi="Arial" w:cs="Arial"/>
          <w:sz w:val="24"/>
          <w:szCs w:val="24"/>
        </w:rPr>
        <w:t>.</w:t>
      </w:r>
    </w:p>
    <w:p w14:paraId="4E5C55F9" w14:textId="77777777" w:rsidR="007C5766" w:rsidRDefault="007C5766" w:rsidP="003A0479">
      <w:pPr>
        <w:spacing w:before="360" w:after="360" w:line="360" w:lineRule="auto"/>
        <w:rPr>
          <w:rFonts w:ascii="Arial" w:hAnsi="Arial" w:cs="Arial"/>
          <w:b/>
          <w:sz w:val="24"/>
          <w:szCs w:val="24"/>
        </w:rPr>
      </w:pPr>
    </w:p>
    <w:tbl>
      <w:tblPr>
        <w:tblStyle w:val="Tabela-Siatka"/>
        <w:tblW w:w="9062" w:type="dxa"/>
        <w:tblLook w:val="04A0" w:firstRow="1" w:lastRow="0" w:firstColumn="1" w:lastColumn="0" w:noHBand="0" w:noVBand="1"/>
        <w:tblCaption w:val="test występowania pomocy publicznej"/>
        <w:tblDescription w:val="Tabela przedstawia kwestie jakie musisz przeanalizować, aby ustalić czy projekt powinien być objęty pomocą publiczną / pomocą de minimis."/>
      </w:tblPr>
      <w:tblGrid>
        <w:gridCol w:w="7083"/>
        <w:gridCol w:w="1979"/>
      </w:tblGrid>
      <w:tr w:rsidR="007C5766" w:rsidRPr="00C27622" w14:paraId="3C5D38F6" w14:textId="77777777" w:rsidTr="007C5766">
        <w:tc>
          <w:tcPr>
            <w:tcW w:w="7083" w:type="dxa"/>
            <w:shd w:val="clear" w:color="auto" w:fill="D9D9D9" w:themeFill="background1" w:themeFillShade="D9"/>
          </w:tcPr>
          <w:p w14:paraId="17BFF2DF" w14:textId="77777777" w:rsidR="007C5766" w:rsidRPr="00C27622" w:rsidRDefault="007C5766" w:rsidP="007C5766">
            <w:pPr>
              <w:pStyle w:val="Akapitzlist"/>
              <w:numPr>
                <w:ilvl w:val="0"/>
                <w:numId w:val="14"/>
              </w:numPr>
              <w:spacing w:after="0" w:line="360" w:lineRule="auto"/>
              <w:ind w:left="459"/>
              <w:rPr>
                <w:rFonts w:ascii="Arial" w:hAnsi="Arial" w:cs="Arial"/>
                <w:sz w:val="24"/>
                <w:szCs w:val="24"/>
              </w:rPr>
            </w:pPr>
            <w:r w:rsidRPr="00C27622">
              <w:rPr>
                <w:rFonts w:ascii="Arial" w:hAnsi="Arial" w:cs="Arial"/>
                <w:sz w:val="24"/>
                <w:szCs w:val="24"/>
              </w:rPr>
              <w:lastRenderedPageBreak/>
              <w:t>Czy wnioskodawca jest przedsiębiorcą w rozumieniu funkcjonalnym (wykorzystuje produkty projektu do działalności o charakterze gospodarczym)?</w:t>
            </w:r>
          </w:p>
        </w:tc>
        <w:sdt>
          <w:sdtPr>
            <w:rPr>
              <w:rFonts w:ascii="Arial" w:hAnsi="Arial" w:cs="Arial"/>
              <w:sz w:val="24"/>
              <w:szCs w:val="24"/>
            </w:rPr>
            <w:alias w:val="odpowiedź"/>
            <w:tag w:val="odpowiedź"/>
            <w:id w:val="-353952063"/>
            <w:placeholder>
              <w:docPart w:val="51C49B2C54794A5BA16583E41DF5C8C3"/>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39D5063E" w14:textId="77777777" w:rsidR="007C5766" w:rsidRPr="00C27622" w:rsidRDefault="007C5766" w:rsidP="006855FF">
                <w:pPr>
                  <w:spacing w:after="0" w:line="360" w:lineRule="auto"/>
                  <w:ind w:left="99"/>
                  <w:rPr>
                    <w:rFonts w:ascii="Arial" w:hAnsi="Arial" w:cs="Arial"/>
                    <w:sz w:val="24"/>
                    <w:szCs w:val="24"/>
                  </w:rPr>
                </w:pPr>
                <w:r w:rsidRPr="00C27622">
                  <w:rPr>
                    <w:rFonts w:ascii="Arial" w:hAnsi="Arial" w:cs="Arial"/>
                    <w:sz w:val="24"/>
                    <w:szCs w:val="24"/>
                  </w:rPr>
                  <w:t>Proszę wybrać odpowiedź</w:t>
                </w:r>
              </w:p>
            </w:tc>
          </w:sdtContent>
        </w:sdt>
      </w:tr>
      <w:tr w:rsidR="007C5766" w:rsidRPr="00E966CD" w14:paraId="5E0DA7F5" w14:textId="77777777" w:rsidTr="006855FF">
        <w:tc>
          <w:tcPr>
            <w:tcW w:w="9062" w:type="dxa"/>
            <w:gridSpan w:val="2"/>
          </w:tcPr>
          <w:p w14:paraId="08AE4216" w14:textId="3264101C" w:rsidR="007C5766" w:rsidRPr="007520F9" w:rsidRDefault="007C5766" w:rsidP="007C5766">
            <w:pPr>
              <w:spacing w:before="240" w:after="160" w:line="360" w:lineRule="auto"/>
              <w:rPr>
                <w:rFonts w:ascii="Arial" w:hAnsi="Arial" w:cs="Arial"/>
                <w:sz w:val="24"/>
                <w:szCs w:val="24"/>
              </w:rPr>
            </w:pPr>
            <w:r w:rsidRPr="007520F9">
              <w:rPr>
                <w:rFonts w:ascii="Arial" w:hAnsi="Arial" w:cs="Arial"/>
                <w:sz w:val="24"/>
                <w:szCs w:val="24"/>
              </w:rPr>
              <w:t xml:space="preserve">Trybunał Sprawiedliwości konsekwentnie definiuje przedsiębiorstwa jako podmioty prowadzące działalność gospodarczą, bez względu na ich status prawny i sposób ich finansowania. A zatem zakwalifikowanie określonego podmiotu jako przedsiębiorstwa zależy całkowicie od charakteru jego działalności. Ta ogólna zasada ma trzy ważne </w:t>
            </w:r>
            <w:r w:rsidR="0058030F" w:rsidRPr="007520F9">
              <w:rPr>
                <w:rFonts w:ascii="Arial" w:hAnsi="Arial" w:cs="Arial"/>
                <w:sz w:val="24"/>
                <w:szCs w:val="24"/>
              </w:rPr>
              <w:t>konsekwencje:</w:t>
            </w:r>
          </w:p>
          <w:p w14:paraId="202A065C" w14:textId="5446D04A" w:rsidR="007C5766" w:rsidRPr="007520F9" w:rsidRDefault="007C5766" w:rsidP="007C5766">
            <w:pPr>
              <w:pStyle w:val="Akapitzlist"/>
              <w:numPr>
                <w:ilvl w:val="0"/>
                <w:numId w:val="8"/>
              </w:numPr>
              <w:spacing w:after="160" w:line="360" w:lineRule="auto"/>
              <w:rPr>
                <w:rFonts w:ascii="Arial" w:hAnsi="Arial" w:cs="Arial"/>
                <w:b/>
                <w:sz w:val="24"/>
                <w:szCs w:val="24"/>
              </w:rPr>
            </w:pPr>
            <w:r w:rsidRPr="007520F9">
              <w:rPr>
                <w:rFonts w:ascii="Arial" w:hAnsi="Arial" w:cs="Arial"/>
                <w:sz w:val="24"/>
                <w:szCs w:val="24"/>
              </w:rPr>
              <w:t xml:space="preserve">Po pierwsze, status podmiotu na podstawie prawa krajowego nie jest decydujący. Na przykład podmiot zaklasyfikowany zgodnie z prawem krajowym jako stowarzyszenie lub klub sportowy może jednak zostać uznany za przedsiębiorstwo w rozumieniu art. 107 ust. 1 Traktatu. Ta sama zasada ma zastosowanie do podmiotu, który formalnie jest częścią administracji publicznej. </w:t>
            </w:r>
            <w:r w:rsidRPr="007520F9">
              <w:rPr>
                <w:rFonts w:ascii="Arial" w:hAnsi="Arial" w:cs="Arial"/>
                <w:b/>
                <w:sz w:val="24"/>
                <w:szCs w:val="24"/>
              </w:rPr>
              <w:t xml:space="preserve">Jedynym istotnym kryterium jest </w:t>
            </w:r>
            <w:r w:rsidR="0058030F" w:rsidRPr="007520F9">
              <w:rPr>
                <w:rFonts w:ascii="Arial" w:hAnsi="Arial" w:cs="Arial"/>
                <w:b/>
                <w:sz w:val="24"/>
                <w:szCs w:val="24"/>
              </w:rPr>
              <w:t>fakt</w:t>
            </w:r>
            <w:r w:rsidRPr="007520F9">
              <w:rPr>
                <w:rFonts w:ascii="Arial" w:hAnsi="Arial" w:cs="Arial"/>
                <w:b/>
                <w:sz w:val="24"/>
                <w:szCs w:val="24"/>
              </w:rPr>
              <w:t xml:space="preserve"> czy podmiot ten prowadzi działalność gospodarczą.</w:t>
            </w:r>
          </w:p>
          <w:p w14:paraId="0742AC06" w14:textId="77777777" w:rsidR="007C5766" w:rsidRPr="007520F9" w:rsidRDefault="007C5766" w:rsidP="007C5766">
            <w:pPr>
              <w:pStyle w:val="Akapitzlist"/>
              <w:numPr>
                <w:ilvl w:val="0"/>
                <w:numId w:val="8"/>
              </w:numPr>
              <w:spacing w:after="160" w:line="360" w:lineRule="auto"/>
              <w:rPr>
                <w:rFonts w:ascii="Arial" w:hAnsi="Arial" w:cs="Arial"/>
                <w:sz w:val="24"/>
                <w:szCs w:val="24"/>
              </w:rPr>
            </w:pPr>
            <w:r w:rsidRPr="007520F9">
              <w:rPr>
                <w:rFonts w:ascii="Arial" w:hAnsi="Arial" w:cs="Arial"/>
                <w:sz w:val="24"/>
                <w:szCs w:val="24"/>
              </w:rPr>
              <w:t>O stosowaniu zasad pomocy państwa nie decyduje to czy dany podmiot utworzono po to, aby przynosił zyski. Podmioty nienastawione na zysk również mogą oferować na rynku towary i usługi. W przeciwnym wypadku podmioty nienastawione na zysk pozostają poza zakresem kontroli pomocy państwa. W niektórych przypadkach również brak pobierania opłat nie może zostać uznany za czynnik decydujący o braku uznania danej działalności za gospodarczą. Istotne jest czy inne podmioty oferują podobną usługę/towar w ramach swojej działalności gospodarczej.</w:t>
            </w:r>
          </w:p>
          <w:p w14:paraId="23CE294A" w14:textId="77777777" w:rsidR="007C5766" w:rsidRPr="007520F9" w:rsidRDefault="007C5766" w:rsidP="007C5766">
            <w:pPr>
              <w:pStyle w:val="Akapitzlist"/>
              <w:numPr>
                <w:ilvl w:val="0"/>
                <w:numId w:val="8"/>
              </w:numPr>
              <w:spacing w:after="160" w:line="360" w:lineRule="auto"/>
              <w:rPr>
                <w:rFonts w:ascii="Arial" w:hAnsi="Arial" w:cs="Arial"/>
                <w:sz w:val="24"/>
                <w:szCs w:val="24"/>
              </w:rPr>
            </w:pPr>
            <w:r w:rsidRPr="007520F9">
              <w:rPr>
                <w:rFonts w:ascii="Arial" w:hAnsi="Arial" w:cs="Arial"/>
                <w:sz w:val="24"/>
                <w:szCs w:val="24"/>
              </w:rPr>
              <w:t xml:space="preserve">Klasyfikacja podmiotu jako przedsiębiorstwa zawsze odnosi się do konkretnej działalności. Podmiot prowadzący jednocześnie działalność gospodarczą i działalność o charakterze niegospodarczym powinien być traktowany jako przedsiębiorstwo jedynie w odniesieniu do działalności gospodarczej. </w:t>
            </w:r>
          </w:p>
          <w:p w14:paraId="3712BDD2" w14:textId="77777777" w:rsidR="007C5766" w:rsidRPr="007520F9" w:rsidRDefault="007C5766" w:rsidP="007C5766">
            <w:pPr>
              <w:spacing w:after="160" w:line="360" w:lineRule="auto"/>
              <w:rPr>
                <w:rFonts w:ascii="Arial" w:hAnsi="Arial" w:cs="Arial"/>
                <w:sz w:val="24"/>
                <w:szCs w:val="24"/>
              </w:rPr>
            </w:pPr>
            <w:r w:rsidRPr="007520F9">
              <w:rPr>
                <w:rFonts w:ascii="Arial" w:hAnsi="Arial" w:cs="Arial"/>
                <w:sz w:val="24"/>
                <w:szCs w:val="24"/>
              </w:rPr>
              <w:t xml:space="preserve">Pamiętaj, że dwa odrębne podmioty prawne mogą zostać uznane za tworzące jeden podmiot gospodarczy do celów stosowania reguł pomocy państwa. Ten podmiot gospodarczy jest w związku z tym uznawany za odnośne </w:t>
            </w:r>
            <w:r w:rsidRPr="007520F9">
              <w:rPr>
                <w:rFonts w:ascii="Arial" w:hAnsi="Arial" w:cs="Arial"/>
                <w:sz w:val="24"/>
                <w:szCs w:val="24"/>
              </w:rPr>
              <w:lastRenderedPageBreak/>
              <w:t>przedsiębiorstwo. Do celów stosowania zasad pomocy państwa szereg odrębnych podmiotów prawnych można uznać za tworzące jeden podmiot gospodarczy. Taka jednostka gospodarcza jest wówczas uznawana za odnośne przedsiębiorstwo. W tym względzie Trybunał Sprawiedliwości za istotne uznaje istnienie pakietu kontrolnego i innych powiązań funkcjonalnych, gospodarczych i organizacyjnych.</w:t>
            </w:r>
          </w:p>
          <w:p w14:paraId="6508F522" w14:textId="77777777" w:rsidR="007C5766" w:rsidRPr="007520F9" w:rsidRDefault="007C5766" w:rsidP="007C5766">
            <w:pPr>
              <w:spacing w:after="160" w:line="360" w:lineRule="auto"/>
              <w:rPr>
                <w:rFonts w:ascii="Arial" w:hAnsi="Arial" w:cs="Arial"/>
                <w:sz w:val="24"/>
                <w:szCs w:val="24"/>
              </w:rPr>
            </w:pPr>
            <w:r w:rsidRPr="007520F9">
              <w:rPr>
                <w:rFonts w:ascii="Arial" w:hAnsi="Arial" w:cs="Arial"/>
                <w:sz w:val="24"/>
                <w:szCs w:val="24"/>
              </w:rPr>
              <w:t>Aby wyjaśnić różnicę między działalnością gospodarczą a niegospodarczą, Trybunał Sprawiedliwości konsekwentnie utrzymuje, że wszelka działalność polegająca na oferowaniu na rynku towarów i usług jest działalnością gospodarczą. Kwestia tego, czy istnieje rynek dla określonych usług, może zależeć od sposobu organizacji tych usług w danym państwie członkowskim. Gospodarczy charakter niektórych usług może zatem być różny w poszczególnych państwach członkowskich. Ponadto w związku z wyborami politycznymi lub rozwojem sytuacji gospodarczej klasyfikacja określonej usługi może się zmieniać wraz z upływem czasu.</w:t>
            </w:r>
          </w:p>
          <w:p w14:paraId="23B0FD02" w14:textId="23732D14" w:rsidR="007C5766" w:rsidRPr="007520F9" w:rsidRDefault="007C5766" w:rsidP="007C5766">
            <w:pPr>
              <w:spacing w:after="160" w:line="360" w:lineRule="auto"/>
              <w:rPr>
                <w:rFonts w:ascii="Arial" w:hAnsi="Arial" w:cs="Arial"/>
                <w:sz w:val="24"/>
                <w:szCs w:val="24"/>
              </w:rPr>
            </w:pPr>
            <w:r w:rsidRPr="007520F9">
              <w:rPr>
                <w:rFonts w:ascii="Arial" w:hAnsi="Arial" w:cs="Arial"/>
                <w:sz w:val="24"/>
                <w:szCs w:val="24"/>
              </w:rPr>
              <w:t xml:space="preserve">Decyzja organu publicznego o </w:t>
            </w:r>
            <w:r w:rsidR="0058030F" w:rsidRPr="007520F9">
              <w:rPr>
                <w:rFonts w:ascii="Arial" w:hAnsi="Arial" w:cs="Arial"/>
                <w:sz w:val="24"/>
                <w:szCs w:val="24"/>
              </w:rPr>
              <w:t>niezezwoleniu</w:t>
            </w:r>
            <w:r w:rsidRPr="007520F9">
              <w:rPr>
                <w:rFonts w:ascii="Arial" w:hAnsi="Arial" w:cs="Arial"/>
                <w:sz w:val="24"/>
                <w:szCs w:val="24"/>
              </w:rPr>
              <w:t xml:space="preserve"> osobom trzecim na świadczenie określonej usługi (np. dlatego, że organ ten zamierza świadczyć tę usługę we własnym zakresie) nie wyklucza istnienia działalności gospodarczej. Mimo takiego zamknięcia rynku działalność gospodarcza może istnieć, jeżeli inne podmioty byłyby skłonne i zdolne do świadczenia danej usługi na odnośnym rynku. Bardziej ogólnie można stwierdzić, że fakt świadczenia określonej usługi we własnym zakresie nie ma znaczenia dla stwierdzenia czy dana działalność jest działalnością gospodarczą, czy nie.</w:t>
            </w:r>
          </w:p>
          <w:p w14:paraId="57E6FF88" w14:textId="77777777" w:rsidR="007C5766" w:rsidRPr="007520F9" w:rsidRDefault="007C5766" w:rsidP="007C5766">
            <w:pPr>
              <w:spacing w:after="160" w:line="360" w:lineRule="auto"/>
              <w:rPr>
                <w:rFonts w:ascii="Arial" w:hAnsi="Arial" w:cs="Arial"/>
                <w:sz w:val="24"/>
                <w:szCs w:val="24"/>
              </w:rPr>
            </w:pPr>
            <w:r w:rsidRPr="007520F9">
              <w:rPr>
                <w:rFonts w:ascii="Arial" w:hAnsi="Arial" w:cs="Arial"/>
                <w:sz w:val="24"/>
                <w:szCs w:val="24"/>
              </w:rPr>
              <w:t xml:space="preserve">W pkt 17-37 Zawiadomienia Komisji w sprawie pojęcia pomocy państwa w rozumieniu art. 107 ust. 1 Traktatu o funkcjonowaniu Unii Europejskiej” (dalej </w:t>
            </w:r>
            <w:hyperlink r:id="rId11" w:history="1">
              <w:r w:rsidRPr="007520F9">
                <w:rPr>
                  <w:rStyle w:val="Hipercze"/>
                  <w:rFonts w:ascii="Arial" w:hAnsi="Arial" w:cs="Arial"/>
                  <w:sz w:val="24"/>
                  <w:szCs w:val="24"/>
                </w:rPr>
                <w:t>Zawiadomienia Komisji</w:t>
              </w:r>
            </w:hyperlink>
            <w:r w:rsidRPr="007520F9">
              <w:rPr>
                <w:rFonts w:ascii="Arial" w:hAnsi="Arial" w:cs="Arial"/>
                <w:sz w:val="24"/>
                <w:szCs w:val="24"/>
              </w:rPr>
              <w:t>) przedstawiono analizę uznania działalności za gospodarczą w wybranych sektorach.</w:t>
            </w:r>
          </w:p>
          <w:p w14:paraId="76AC7E24" w14:textId="232B8ADE" w:rsidR="007C5766" w:rsidRDefault="007C5766" w:rsidP="007C5766">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świetle aktualnych interpretacji</w:t>
            </w:r>
            <w:r w:rsidRPr="007520F9">
              <w:rPr>
                <w:rStyle w:val="Odwoanieprzypisudolnego"/>
                <w:rFonts w:ascii="Arial" w:hAnsi="Arial" w:cs="Arial"/>
                <w:sz w:val="24"/>
                <w:szCs w:val="24"/>
              </w:rPr>
              <w:footnoteReference w:id="2"/>
            </w:r>
            <w:r w:rsidRPr="007520F9">
              <w:rPr>
                <w:rFonts w:ascii="Arial" w:hAnsi="Arial" w:cs="Arial"/>
                <w:sz w:val="24"/>
                <w:szCs w:val="24"/>
              </w:rPr>
              <w:t xml:space="preserve">, podmiot </w:t>
            </w:r>
            <w:r w:rsidRPr="007520F9">
              <w:rPr>
                <w:rFonts w:ascii="Arial" w:hAnsi="Arial" w:cs="Arial"/>
                <w:b/>
                <w:sz w:val="24"/>
                <w:szCs w:val="24"/>
              </w:rPr>
              <w:t>będzie uznany za przedsiębiorstwo nawet</w:t>
            </w:r>
            <w:r w:rsidRPr="007520F9">
              <w:rPr>
                <w:rFonts w:ascii="Arial" w:hAnsi="Arial" w:cs="Arial"/>
                <w:sz w:val="24"/>
                <w:szCs w:val="24"/>
              </w:rPr>
              <w:t xml:space="preserve"> </w:t>
            </w:r>
            <w:r w:rsidRPr="007520F9">
              <w:rPr>
                <w:rFonts w:ascii="Arial" w:hAnsi="Arial" w:cs="Arial"/>
                <w:b/>
                <w:sz w:val="24"/>
                <w:szCs w:val="24"/>
              </w:rPr>
              <w:t xml:space="preserve">jeśli jego zasadnicza działalność jest </w:t>
            </w:r>
            <w:r w:rsidRPr="007520F9">
              <w:rPr>
                <w:rFonts w:ascii="Arial" w:hAnsi="Arial" w:cs="Arial"/>
                <w:b/>
                <w:sz w:val="24"/>
                <w:szCs w:val="24"/>
              </w:rPr>
              <w:lastRenderedPageBreak/>
              <w:t xml:space="preserve">niegospodarcza i jednocześnie wykorzystuje </w:t>
            </w:r>
            <w:r w:rsidR="0058030F" w:rsidRPr="007520F9">
              <w:rPr>
                <w:rFonts w:ascii="Arial" w:hAnsi="Arial" w:cs="Arial"/>
                <w:b/>
                <w:sz w:val="24"/>
                <w:szCs w:val="24"/>
              </w:rPr>
              <w:t>infrastrukturę</w:t>
            </w:r>
            <w:r w:rsidR="0058030F" w:rsidRPr="007520F9">
              <w:rPr>
                <w:rFonts w:ascii="Arial" w:hAnsi="Arial" w:cs="Arial"/>
                <w:sz w:val="24"/>
                <w:szCs w:val="24"/>
              </w:rPr>
              <w:t xml:space="preserve"> do</w:t>
            </w:r>
            <w:r w:rsidRPr="007520F9">
              <w:rPr>
                <w:rFonts w:ascii="Arial" w:hAnsi="Arial" w:cs="Arial"/>
                <w:b/>
                <w:sz w:val="24"/>
                <w:szCs w:val="24"/>
              </w:rPr>
              <w:t xml:space="preserve"> celów działalności gospodarczej, która ma charakter czysto pomocniczy i nie przekracza 20% rocznej wydajności tej infrastruktury</w:t>
            </w:r>
            <w:r w:rsidRPr="007520F9">
              <w:rPr>
                <w:rStyle w:val="Odwoanieprzypisudolnego"/>
                <w:rFonts w:ascii="Arial" w:hAnsi="Arial" w:cs="Arial"/>
                <w:sz w:val="24"/>
                <w:szCs w:val="24"/>
              </w:rPr>
              <w:footnoteReference w:id="3"/>
            </w:r>
            <w:r w:rsidRPr="007520F9">
              <w:rPr>
                <w:rFonts w:ascii="Arial" w:hAnsi="Arial" w:cs="Arial"/>
                <w:sz w:val="24"/>
                <w:szCs w:val="24"/>
              </w:rPr>
              <w:t xml:space="preserve">. </w:t>
            </w:r>
          </w:p>
          <w:p w14:paraId="5F5F174C" w14:textId="486C1D4A" w:rsidR="007C5766" w:rsidRPr="007C5766" w:rsidRDefault="007C5766" w:rsidP="007C5766">
            <w:pPr>
              <w:spacing w:before="240" w:after="0" w:line="360" w:lineRule="auto"/>
              <w:rPr>
                <w:rFonts w:ascii="Arial" w:hAnsi="Arial" w:cs="Arial"/>
                <w:sz w:val="24"/>
                <w:szCs w:val="24"/>
              </w:rPr>
            </w:pPr>
            <w:r w:rsidRPr="007520F9">
              <w:rPr>
                <w:rFonts w:ascii="Arial" w:hAnsi="Arial" w:cs="Arial"/>
                <w:sz w:val="24"/>
                <w:szCs w:val="24"/>
              </w:rPr>
              <w:t>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tc>
      </w:tr>
      <w:tr w:rsidR="007C5766" w:rsidRPr="00C27622" w14:paraId="0108E7D3" w14:textId="77777777" w:rsidTr="007C5766">
        <w:tc>
          <w:tcPr>
            <w:tcW w:w="7083" w:type="dxa"/>
            <w:shd w:val="clear" w:color="auto" w:fill="D9D9D9" w:themeFill="background1" w:themeFillShade="D9"/>
          </w:tcPr>
          <w:p w14:paraId="2EAF0EF6" w14:textId="77777777" w:rsidR="007C5766" w:rsidRPr="007C5766" w:rsidRDefault="007C5766" w:rsidP="007C5766">
            <w:pPr>
              <w:pStyle w:val="Akapitzlist"/>
              <w:numPr>
                <w:ilvl w:val="0"/>
                <w:numId w:val="14"/>
              </w:numPr>
              <w:spacing w:after="360" w:line="360" w:lineRule="auto"/>
              <w:ind w:left="453" w:hanging="357"/>
              <w:contextualSpacing w:val="0"/>
              <w:rPr>
                <w:rFonts w:ascii="Arial" w:hAnsi="Arial" w:cs="Arial"/>
                <w:sz w:val="24"/>
                <w:szCs w:val="24"/>
              </w:rPr>
            </w:pPr>
            <w:r w:rsidRPr="007C5766">
              <w:rPr>
                <w:rFonts w:ascii="Arial" w:hAnsi="Arial" w:cs="Arial"/>
                <w:sz w:val="24"/>
                <w:szCs w:val="24"/>
              </w:rPr>
              <w:lastRenderedPageBreak/>
              <w:t>Czy transfer zasobów przypisywalny władzy publicznej jest selektywny – tzn. uprzywilejowuje określone podmioty lub wytwarzanie określonych dóbr?</w:t>
            </w:r>
          </w:p>
          <w:p w14:paraId="4CF14AAE" w14:textId="3407DC93" w:rsidR="007C5766" w:rsidRPr="00C27622" w:rsidRDefault="007C5766" w:rsidP="007C5766">
            <w:pPr>
              <w:pStyle w:val="Akapitzlist"/>
              <w:numPr>
                <w:ilvl w:val="0"/>
                <w:numId w:val="14"/>
              </w:numPr>
              <w:spacing w:after="0" w:line="360" w:lineRule="auto"/>
              <w:ind w:left="458"/>
              <w:rPr>
                <w:rFonts w:ascii="Arial" w:hAnsi="Arial" w:cs="Arial"/>
                <w:sz w:val="24"/>
                <w:szCs w:val="24"/>
              </w:rPr>
            </w:pPr>
            <w:r w:rsidRPr="007C5766">
              <w:rPr>
                <w:rFonts w:ascii="Arial" w:hAnsi="Arial" w:cs="Arial"/>
                <w:sz w:val="24"/>
                <w:szCs w:val="24"/>
              </w:rPr>
              <w:t>Czy transfer skutkuje przysporzeniem na rzecz określonego podmiotu, na warunkach korzystniejszych niż rynkowe?</w:t>
            </w:r>
          </w:p>
        </w:tc>
        <w:sdt>
          <w:sdtPr>
            <w:rPr>
              <w:rFonts w:ascii="Arial" w:hAnsi="Arial" w:cs="Arial"/>
              <w:sz w:val="24"/>
              <w:szCs w:val="24"/>
            </w:rPr>
            <w:alias w:val="odpowiedź"/>
            <w:tag w:val="odpowiedź"/>
            <w:id w:val="1317619002"/>
            <w:placeholder>
              <w:docPart w:val="DA8CE79A4F214FF0AB8F87EB7A436C28"/>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5FCAC588" w14:textId="77777777" w:rsidR="007C5766" w:rsidRPr="00C27622" w:rsidRDefault="007C5766" w:rsidP="006855FF">
                <w:pPr>
                  <w:pStyle w:val="Akapitzlist"/>
                  <w:spacing w:after="0" w:line="360" w:lineRule="auto"/>
                  <w:ind w:left="37"/>
                  <w:rPr>
                    <w:rFonts w:ascii="Arial" w:hAnsi="Arial" w:cs="Arial"/>
                    <w:sz w:val="24"/>
                    <w:szCs w:val="24"/>
                  </w:rPr>
                </w:pPr>
                <w:r w:rsidRPr="00C27622">
                  <w:rPr>
                    <w:rFonts w:ascii="Arial" w:hAnsi="Arial" w:cs="Arial"/>
                    <w:sz w:val="24"/>
                    <w:szCs w:val="24"/>
                  </w:rPr>
                  <w:t>Proszę wybrać odpowiedź</w:t>
                </w:r>
              </w:p>
            </w:tc>
          </w:sdtContent>
        </w:sdt>
      </w:tr>
      <w:tr w:rsidR="007C5766" w:rsidRPr="00E966CD" w14:paraId="47C0A51B" w14:textId="77777777" w:rsidTr="006855FF">
        <w:tc>
          <w:tcPr>
            <w:tcW w:w="9062" w:type="dxa"/>
            <w:gridSpan w:val="2"/>
          </w:tcPr>
          <w:p w14:paraId="7299D81C" w14:textId="77777777" w:rsidR="007C5766" w:rsidRDefault="007C5766" w:rsidP="007C5766">
            <w:pPr>
              <w:spacing w:before="240" w:after="160" w:line="360" w:lineRule="auto"/>
              <w:rPr>
                <w:rFonts w:ascii="Arial" w:hAnsi="Arial" w:cs="Arial"/>
                <w:sz w:val="24"/>
                <w:szCs w:val="24"/>
              </w:rPr>
            </w:pPr>
            <w:r w:rsidRPr="367C5303">
              <w:rPr>
                <w:rFonts w:ascii="Arial" w:hAnsi="Arial" w:cs="Arial"/>
                <w:sz w:val="24"/>
                <w:szCs w:val="24"/>
              </w:rPr>
              <w:t xml:space="preserve">Jeżeli w wyniku analizy odpowiedzi na pierwsze pytanie, wskażesz, że podmiot nie jest przedsiębiorcą w rozumieniu funkcjonalnym, to nie musisz na pytanie 2 i 3 udzielać pozytywnej odpowiedzi. Zgodnie bowiem z zapatrywaniami Komisji </w:t>
            </w:r>
            <w:r w:rsidRPr="367C5303">
              <w:rPr>
                <w:rFonts w:ascii="Arial" w:hAnsi="Arial" w:cs="Arial"/>
                <w:sz w:val="24"/>
                <w:szCs w:val="24"/>
              </w:rPr>
              <w:lastRenderedPageBreak/>
              <w:t xml:space="preserve">Europejskiej, zasady pomocy państwa mają zastosowanie zasadniczo wyłącznie do odbiorcy pomocy będącego przedsiębiorstwem. </w:t>
            </w:r>
          </w:p>
          <w:p w14:paraId="4DB22EF7" w14:textId="13048BF5" w:rsidR="007C5766" w:rsidRPr="007F794E" w:rsidRDefault="007C5766" w:rsidP="007C5766">
            <w:pPr>
              <w:spacing w:after="0" w:line="360" w:lineRule="auto"/>
              <w:rPr>
                <w:rFonts w:ascii="Arial" w:hAnsi="Arial" w:cs="Arial"/>
                <w:sz w:val="24"/>
                <w:szCs w:val="24"/>
              </w:rPr>
            </w:pPr>
            <w:r w:rsidRPr="007520F9">
              <w:rPr>
                <w:rFonts w:ascii="Arial" w:hAnsi="Arial" w:cs="Arial"/>
                <w:sz w:val="24"/>
                <w:szCs w:val="24"/>
              </w:rPr>
              <w:t>Jednak,</w:t>
            </w:r>
            <w:r>
              <w:rPr>
                <w:rFonts w:ascii="Arial" w:hAnsi="Arial" w:cs="Arial"/>
                <w:sz w:val="24"/>
                <w:szCs w:val="24"/>
              </w:rPr>
              <w:t xml:space="preserve"> </w:t>
            </w:r>
            <w:r w:rsidRPr="007520F9">
              <w:rPr>
                <w:rFonts w:ascii="Arial" w:hAnsi="Arial" w:cs="Arial"/>
                <w:sz w:val="24"/>
                <w:szCs w:val="24"/>
              </w:rPr>
              <w:t>jeśli podmiot jest</w:t>
            </w:r>
            <w:r w:rsidRPr="007520F9">
              <w:rPr>
                <w:rFonts w:ascii="Arial" w:hAnsi="Arial" w:cs="Arial"/>
                <w:sz w:val="24"/>
                <w:szCs w:val="24"/>
                <w:u w:val="single"/>
              </w:rPr>
              <w:t xml:space="preserve"> przedsiębiorstwem w rozumieniu prawa pomocy publicznej, w </w:t>
            </w:r>
            <w:r w:rsidRPr="367C5303">
              <w:rPr>
                <w:rFonts w:ascii="Arial" w:hAnsi="Arial" w:cs="Arial"/>
                <w:b/>
                <w:bCs/>
                <w:sz w:val="24"/>
                <w:szCs w:val="24"/>
                <w:u w:val="single"/>
              </w:rPr>
              <w:t>pytaniu 2 i 3</w:t>
            </w:r>
            <w:r w:rsidRPr="007520F9">
              <w:rPr>
                <w:rFonts w:ascii="Arial" w:hAnsi="Arial" w:cs="Arial"/>
                <w:sz w:val="24"/>
                <w:szCs w:val="24"/>
                <w:u w:val="single"/>
              </w:rPr>
              <w:t xml:space="preserve"> zaznacz odpowiedź TAK</w:t>
            </w:r>
            <w:r w:rsidRPr="007520F9">
              <w:rPr>
                <w:rFonts w:ascii="Arial" w:hAnsi="Arial" w:cs="Arial"/>
                <w:sz w:val="24"/>
                <w:szCs w:val="24"/>
              </w:rPr>
              <w:t xml:space="preserve"> z uwagi, iż obydwie przesłanki w przypadku dofinansowania z FE SL 2021-2027 będą automatycznie spełnione</w:t>
            </w:r>
            <w:r w:rsidRPr="007520F9">
              <w:rPr>
                <w:rStyle w:val="Odwoanieprzypisudolnego"/>
                <w:rFonts w:ascii="Arial" w:hAnsi="Arial" w:cs="Arial"/>
                <w:sz w:val="24"/>
                <w:szCs w:val="24"/>
              </w:rPr>
              <w:footnoteReference w:id="4"/>
            </w:r>
            <w:r w:rsidRPr="007520F9">
              <w:rPr>
                <w:rFonts w:ascii="Arial" w:hAnsi="Arial" w:cs="Arial"/>
                <w:sz w:val="24"/>
                <w:szCs w:val="24"/>
              </w:rPr>
              <w:t xml:space="preserve"> (katalog podmiotów, mogących otrzymać dofinansowanie w zależności od danego działania jest ograniczony, a otrzymane dofinansowanie skutkuje przysporzeniem na rzecz określonego podmiotu, na warunkach korzystniejszych niż rynkowe).</w:t>
            </w:r>
          </w:p>
        </w:tc>
      </w:tr>
      <w:tr w:rsidR="007C5766" w:rsidRPr="00C27622" w14:paraId="27B52940" w14:textId="77777777" w:rsidTr="007C5766">
        <w:tc>
          <w:tcPr>
            <w:tcW w:w="7083" w:type="dxa"/>
            <w:shd w:val="clear" w:color="auto" w:fill="D9D9D9" w:themeFill="background1" w:themeFillShade="D9"/>
          </w:tcPr>
          <w:p w14:paraId="6E77B254" w14:textId="77777777" w:rsidR="007C5766" w:rsidRPr="00C27622" w:rsidRDefault="007C5766" w:rsidP="007C5766">
            <w:pPr>
              <w:pStyle w:val="Akapitzlist"/>
              <w:numPr>
                <w:ilvl w:val="0"/>
                <w:numId w:val="14"/>
              </w:numPr>
              <w:spacing w:after="0" w:line="360" w:lineRule="auto"/>
              <w:rPr>
                <w:rFonts w:ascii="Arial" w:hAnsi="Arial" w:cs="Arial"/>
                <w:sz w:val="24"/>
                <w:szCs w:val="24"/>
              </w:rPr>
            </w:pPr>
            <w:r w:rsidRPr="00C27622">
              <w:rPr>
                <w:rFonts w:ascii="Arial" w:hAnsi="Arial" w:cs="Arial"/>
                <w:sz w:val="24"/>
                <w:szCs w:val="24"/>
              </w:rPr>
              <w:lastRenderedPageBreak/>
              <w:t>Czy w efekcie tego transferu występuje lub może wystąpić zakłócenie konkurencji?</w:t>
            </w:r>
          </w:p>
        </w:tc>
        <w:sdt>
          <w:sdtPr>
            <w:rPr>
              <w:rFonts w:ascii="Arial" w:hAnsi="Arial" w:cs="Arial"/>
              <w:sz w:val="24"/>
              <w:szCs w:val="24"/>
            </w:rPr>
            <w:alias w:val="odpowiedź"/>
            <w:tag w:val="odpowiedź"/>
            <w:id w:val="-224298936"/>
            <w:placeholder>
              <w:docPart w:val="433264BA1BBB4A73A515E202AC2D479C"/>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01013E06" w14:textId="77777777" w:rsidR="007C5766" w:rsidRPr="00C27622" w:rsidRDefault="007C5766" w:rsidP="006855FF">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7C5766" w:rsidRPr="00E966CD" w14:paraId="44F66D49" w14:textId="77777777" w:rsidTr="006855FF">
        <w:tc>
          <w:tcPr>
            <w:tcW w:w="9062" w:type="dxa"/>
            <w:gridSpan w:val="2"/>
          </w:tcPr>
          <w:p w14:paraId="5BDBE2DA" w14:textId="77777777" w:rsidR="007C5766" w:rsidRPr="007520F9" w:rsidRDefault="007C5766" w:rsidP="007C5766">
            <w:pPr>
              <w:spacing w:before="240" w:after="160" w:line="360" w:lineRule="auto"/>
              <w:rPr>
                <w:rFonts w:ascii="Arial" w:hAnsi="Arial" w:cs="Arial"/>
                <w:sz w:val="24"/>
                <w:szCs w:val="24"/>
              </w:rPr>
            </w:pPr>
            <w:r w:rsidRPr="007520F9">
              <w:rPr>
                <w:rFonts w:ascii="Arial" w:hAnsi="Arial" w:cs="Arial"/>
                <w:sz w:val="24"/>
                <w:szCs w:val="24"/>
              </w:rPr>
              <w:t>W odpowiedzi na pytanie 4 zwróć uwagę, że Trybunał Sprawiedliwości uznaje środek przyznany przez państwo za zakłócający lub grożący zakłóceniem konkurencji, jeżeli może on powodować poprawę pozycji konkurencyjnej przedsiębiorstwo w porównaniu z pozycją innych przedsiębiorstw, z którymi konkuruje</w:t>
            </w:r>
            <w:r w:rsidRPr="007520F9">
              <w:rPr>
                <w:rStyle w:val="Odwoanieprzypisudolnego"/>
                <w:rFonts w:ascii="Arial" w:hAnsi="Arial" w:cs="Arial"/>
                <w:sz w:val="24"/>
                <w:szCs w:val="24"/>
              </w:rPr>
              <w:footnoteReference w:id="5"/>
            </w:r>
            <w:r w:rsidRPr="007520F9">
              <w:rPr>
                <w:rFonts w:ascii="Arial" w:hAnsi="Arial" w:cs="Arial"/>
                <w:sz w:val="24"/>
                <w:szCs w:val="24"/>
              </w:rPr>
              <w:t>.</w:t>
            </w:r>
          </w:p>
          <w:p w14:paraId="1D9A9E10" w14:textId="77777777" w:rsidR="007C5766" w:rsidRPr="007520F9" w:rsidRDefault="007C5766" w:rsidP="007C5766">
            <w:pPr>
              <w:spacing w:after="160" w:line="360" w:lineRule="auto"/>
              <w:rPr>
                <w:rFonts w:ascii="Arial" w:hAnsi="Arial" w:cs="Arial"/>
                <w:sz w:val="24"/>
                <w:szCs w:val="24"/>
              </w:rPr>
            </w:pPr>
            <w:r w:rsidRPr="007520F9">
              <w:rPr>
                <w:rFonts w:ascii="Arial" w:hAnsi="Arial" w:cs="Arial"/>
                <w:sz w:val="24"/>
                <w:szCs w:val="24"/>
              </w:rPr>
              <w:t>Zasadniczo uznaje się istnienie zakłócenia konkurencji w rozumieniu art. 107 ust. 1 Traktatu, jeżeli państwo przyznaje korzyść finansową przedsiębiorstwu w sektorze zliberalizowanym, gdzie istnieje lub mogłaby istnieć konkurencja.</w:t>
            </w:r>
          </w:p>
          <w:p w14:paraId="4FAE8F9F" w14:textId="466E8E35" w:rsidR="007C5766" w:rsidRDefault="007C5766" w:rsidP="007C5766">
            <w:pPr>
              <w:spacing w:after="160" w:line="360" w:lineRule="auto"/>
              <w:rPr>
                <w:rFonts w:ascii="Arial" w:hAnsi="Arial" w:cs="Arial"/>
                <w:sz w:val="24"/>
                <w:szCs w:val="24"/>
              </w:rPr>
            </w:pPr>
            <w:r w:rsidRPr="007520F9">
              <w:rPr>
                <w:rFonts w:ascii="Arial" w:hAnsi="Arial" w:cs="Arial"/>
                <w:sz w:val="24"/>
                <w:szCs w:val="24"/>
              </w:rPr>
              <w:t xml:space="preserve">Wsparcie publiczne może zakłócać konkurencję, nawet jeżeli nie pomaga ono przedsiębiorstwu będącemu beneficjentem w ekspansji i zdobyciu udziału w rynku. Wystarczy, że pomoc pozwala przedsiębiorstwu utrzymać silniejszą pozycję konkurencyjną niż pozycja, którą przedsiębiorstwo miałoby w przypadku braku pomocy. W tym kontekście, aby można było uznać pomoc za zakłócającą konkurencję, zwykle wystarczy, że pomoc przynosi beneficjentowi korzyść polegającą na uwolnieniu go od kosztów, które w przeciwnym razie musiałby ponieść w ramach swojej bieżącej działalności gospodarczej. Definicja pomocy </w:t>
            </w:r>
            <w:r w:rsidRPr="007520F9">
              <w:rPr>
                <w:rFonts w:ascii="Arial" w:hAnsi="Arial" w:cs="Arial"/>
                <w:sz w:val="24"/>
                <w:szCs w:val="24"/>
              </w:rPr>
              <w:lastRenderedPageBreak/>
              <w:t xml:space="preserve">państwa nie zawiera wymogu, aby zakłócenie konkurencji lub wpływ na handel były znaczące lub istotne. Niewielka kwota pomocy lub fakt, że przedsiębiorstwo będące beneficjentem jest małe, nie wykluczają same w sobie zakłócenia konkurencji lub groźby jej zakłócenia, pod </w:t>
            </w:r>
            <w:r w:rsidR="0058030F" w:rsidRPr="007520F9">
              <w:rPr>
                <w:rFonts w:ascii="Arial" w:hAnsi="Arial" w:cs="Arial"/>
                <w:sz w:val="24"/>
                <w:szCs w:val="24"/>
              </w:rPr>
              <w:t>warunkiem,</w:t>
            </w:r>
            <w:r w:rsidRPr="007520F9">
              <w:rPr>
                <w:rFonts w:ascii="Arial" w:hAnsi="Arial" w:cs="Arial"/>
                <w:sz w:val="24"/>
                <w:szCs w:val="24"/>
              </w:rPr>
              <w:t xml:space="preserve"> że prawdopodobieństwo takiego zakłócenia nie jest jedynie hipotetyczne.</w:t>
            </w:r>
          </w:p>
          <w:p w14:paraId="76C8AF5C" w14:textId="77777777" w:rsidR="007C5766" w:rsidRPr="007520F9" w:rsidRDefault="007C5766" w:rsidP="007C5766">
            <w:pPr>
              <w:spacing w:after="160" w:line="360" w:lineRule="auto"/>
              <w:rPr>
                <w:rFonts w:ascii="Arial" w:hAnsi="Arial" w:cs="Arial"/>
                <w:sz w:val="24"/>
                <w:szCs w:val="24"/>
              </w:rPr>
            </w:pPr>
            <w:r w:rsidRPr="007520F9">
              <w:rPr>
                <w:rFonts w:ascii="Arial" w:hAnsi="Arial" w:cs="Arial"/>
                <w:sz w:val="24"/>
                <w:szCs w:val="24"/>
              </w:rPr>
              <w:t xml:space="preserve">Zlecenie realizacji usługi publicznej dostawcy wewnętrznemu (nawet jeżeli organy miały swobodę powierzenia realizacji tej usługi osobom trzecim) samo w sobie również nie wyklucza możliwości zakłócenia konkurencji. </w:t>
            </w:r>
          </w:p>
          <w:p w14:paraId="0BFC4C25" w14:textId="77777777" w:rsidR="007C5766" w:rsidRPr="007520F9" w:rsidRDefault="007C5766" w:rsidP="007C5766">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możliwość zakłócenia konkurencji wyklucza się jednak w przypadku wystąpienia łącznie czterech następujących przesłanek:</w:t>
            </w:r>
          </w:p>
          <w:p w14:paraId="6901D452" w14:textId="77777777" w:rsidR="007C5766" w:rsidRPr="007520F9" w:rsidRDefault="007C5766" w:rsidP="007C5766">
            <w:pPr>
              <w:pStyle w:val="Akapitzlist"/>
              <w:numPr>
                <w:ilvl w:val="0"/>
                <w:numId w:val="9"/>
              </w:numPr>
              <w:spacing w:after="160" w:line="360" w:lineRule="auto"/>
              <w:rPr>
                <w:rFonts w:ascii="Arial" w:hAnsi="Arial" w:cs="Arial"/>
                <w:sz w:val="24"/>
                <w:szCs w:val="24"/>
              </w:rPr>
            </w:pPr>
            <w:r w:rsidRPr="007520F9">
              <w:rPr>
                <w:rFonts w:ascii="Arial" w:hAnsi="Arial" w:cs="Arial"/>
                <w:sz w:val="24"/>
                <w:szCs w:val="24"/>
              </w:rPr>
              <w:t>usługa jest objęta monopolem prawnym (ustanowionym zgodnie z prawem UE);</w:t>
            </w:r>
          </w:p>
          <w:p w14:paraId="063B466D" w14:textId="77777777" w:rsidR="007C5766" w:rsidRPr="007520F9" w:rsidRDefault="007C5766" w:rsidP="007C5766">
            <w:pPr>
              <w:pStyle w:val="Akapitzlist"/>
              <w:numPr>
                <w:ilvl w:val="0"/>
                <w:numId w:val="9"/>
              </w:numPr>
              <w:spacing w:after="160" w:line="360" w:lineRule="auto"/>
              <w:rPr>
                <w:rFonts w:ascii="Arial" w:hAnsi="Arial" w:cs="Arial"/>
                <w:sz w:val="24"/>
                <w:szCs w:val="24"/>
              </w:rPr>
            </w:pPr>
            <w:r w:rsidRPr="007520F9">
              <w:rPr>
                <w:rFonts w:ascii="Arial" w:hAnsi="Arial" w:cs="Arial"/>
                <w:sz w:val="24"/>
                <w:szCs w:val="24"/>
              </w:rPr>
              <w:t>monopol prawny nie tylko wyklucza konkurencję na rynku, ale również konkurencję o rynek, wykluczając wszelką możliwą konkurencję o to, aby stać się wyłącznym dostawcą danej usługi;</w:t>
            </w:r>
          </w:p>
          <w:p w14:paraId="2B098802" w14:textId="77777777" w:rsidR="007C5766" w:rsidRPr="007520F9" w:rsidRDefault="007C5766" w:rsidP="007C5766">
            <w:pPr>
              <w:pStyle w:val="Akapitzlist"/>
              <w:numPr>
                <w:ilvl w:val="0"/>
                <w:numId w:val="9"/>
              </w:numPr>
              <w:spacing w:after="160" w:line="360" w:lineRule="auto"/>
              <w:rPr>
                <w:rFonts w:ascii="Arial" w:hAnsi="Arial" w:cs="Arial"/>
                <w:sz w:val="24"/>
                <w:szCs w:val="24"/>
              </w:rPr>
            </w:pPr>
            <w:r w:rsidRPr="007520F9">
              <w:rPr>
                <w:rFonts w:ascii="Arial" w:hAnsi="Arial" w:cs="Arial"/>
                <w:sz w:val="24"/>
                <w:szCs w:val="24"/>
              </w:rPr>
              <w:t>usługa nie konkuruje z innymi usługami;</w:t>
            </w:r>
          </w:p>
          <w:p w14:paraId="6BFC3126" w14:textId="6328BE04" w:rsidR="007C5766" w:rsidRPr="007C5766" w:rsidRDefault="007C5766" w:rsidP="007C5766">
            <w:pPr>
              <w:pStyle w:val="Akapitzlist"/>
              <w:numPr>
                <w:ilvl w:val="0"/>
                <w:numId w:val="9"/>
              </w:numPr>
              <w:spacing w:after="160" w:line="360" w:lineRule="auto"/>
              <w:rPr>
                <w:rFonts w:ascii="Arial" w:hAnsi="Arial" w:cs="Arial"/>
                <w:sz w:val="24"/>
                <w:szCs w:val="24"/>
              </w:rPr>
            </w:pPr>
            <w:r w:rsidRPr="007520F9">
              <w:rPr>
                <w:rFonts w:ascii="Arial" w:hAnsi="Arial" w:cs="Arial"/>
                <w:sz w:val="24"/>
                <w:szCs w:val="24"/>
              </w:rPr>
              <w:t>jeżeli usługodawca prowadzi działalność na innym rynku (geograficznym lub produktowym), który jest otwarty na konkurencję, trzeba wykluczyć subsydiowanie skrośne. Wymaga to prowadzenia odrębnej rachunkowości oraz odpowiedniego przypisywania kosztów i przychodów, a środki publiczne przekazywane za usługę objętą monopolem prawnym nie mogą zasilać innych działań.</w:t>
            </w:r>
          </w:p>
        </w:tc>
      </w:tr>
      <w:tr w:rsidR="007C5766" w:rsidRPr="00C27622" w14:paraId="6246CD85" w14:textId="77777777" w:rsidTr="007C5766">
        <w:tc>
          <w:tcPr>
            <w:tcW w:w="7083" w:type="dxa"/>
            <w:shd w:val="clear" w:color="auto" w:fill="D9D9D9" w:themeFill="background1" w:themeFillShade="D9"/>
          </w:tcPr>
          <w:p w14:paraId="3CCB7019" w14:textId="77777777" w:rsidR="007C5766" w:rsidRPr="00C27622" w:rsidRDefault="007C5766" w:rsidP="007C5766">
            <w:pPr>
              <w:pStyle w:val="Akapitzlist"/>
              <w:numPr>
                <w:ilvl w:val="0"/>
                <w:numId w:val="14"/>
              </w:numPr>
              <w:spacing w:after="0" w:line="360" w:lineRule="auto"/>
              <w:rPr>
                <w:rFonts w:ascii="Arial" w:hAnsi="Arial" w:cs="Arial"/>
                <w:sz w:val="24"/>
                <w:szCs w:val="24"/>
              </w:rPr>
            </w:pPr>
            <w:r w:rsidRPr="00C27622">
              <w:rPr>
                <w:rFonts w:ascii="Arial" w:hAnsi="Arial" w:cs="Arial"/>
                <w:sz w:val="24"/>
                <w:szCs w:val="24"/>
              </w:rPr>
              <w:lastRenderedPageBreak/>
              <w:t>Czy transfer wpływa na wymianę handlową między krajami członkowskimi?</w:t>
            </w:r>
          </w:p>
        </w:tc>
        <w:sdt>
          <w:sdtPr>
            <w:rPr>
              <w:rFonts w:ascii="Arial" w:hAnsi="Arial" w:cs="Arial"/>
              <w:sz w:val="24"/>
              <w:szCs w:val="24"/>
            </w:rPr>
            <w:alias w:val="odpowiedź"/>
            <w:tag w:val="odpowiedź"/>
            <w:id w:val="618887103"/>
            <w:placeholder>
              <w:docPart w:val="24FC5456136347A8A01B1EBCA1AE1C1E"/>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63983C1B" w14:textId="77777777" w:rsidR="007C5766" w:rsidRPr="00C27622" w:rsidRDefault="007C5766" w:rsidP="006855FF">
                <w:pPr>
                  <w:spacing w:after="0" w:line="360" w:lineRule="auto"/>
                  <w:rPr>
                    <w:rFonts w:ascii="Arial" w:hAnsi="Arial" w:cs="Arial"/>
                    <w:sz w:val="24"/>
                    <w:szCs w:val="24"/>
                  </w:rPr>
                </w:pPr>
                <w:r w:rsidRPr="00C27622">
                  <w:rPr>
                    <w:rFonts w:ascii="Arial" w:hAnsi="Arial" w:cs="Arial"/>
                    <w:sz w:val="24"/>
                    <w:szCs w:val="24"/>
                  </w:rPr>
                  <w:t>Proszę wybrać odpowiedź</w:t>
                </w:r>
              </w:p>
            </w:tc>
          </w:sdtContent>
        </w:sdt>
      </w:tr>
      <w:tr w:rsidR="007C5766" w:rsidRPr="00E966CD" w14:paraId="37A9758A" w14:textId="77777777" w:rsidTr="006855FF">
        <w:tc>
          <w:tcPr>
            <w:tcW w:w="9062" w:type="dxa"/>
            <w:gridSpan w:val="2"/>
          </w:tcPr>
          <w:p w14:paraId="6A46C655" w14:textId="77777777" w:rsidR="007C5766" w:rsidRPr="007520F9" w:rsidRDefault="007C5766" w:rsidP="007C5766">
            <w:pPr>
              <w:spacing w:before="240" w:after="160" w:line="360" w:lineRule="auto"/>
              <w:rPr>
                <w:rFonts w:ascii="Arial" w:hAnsi="Arial" w:cs="Arial"/>
                <w:sz w:val="24"/>
                <w:szCs w:val="24"/>
              </w:rPr>
            </w:pPr>
            <w:r w:rsidRPr="007520F9">
              <w:rPr>
                <w:rFonts w:ascii="Arial" w:hAnsi="Arial" w:cs="Arial"/>
                <w:sz w:val="24"/>
                <w:szCs w:val="24"/>
              </w:rPr>
              <w:t>W odniesieniu do pytania 5, zwróć uwagę, że w przypadku, gdy pomoc przyznana przez państwo członkowskie umacnia pozycję przedsiębiorstwa w stosunku do innych przedsiębiorstw konkurujących z nim w ramach wewnątrz wspólnotowej wymiany handlowej, uznaje się, że pomoc wywiera wpływ na tę wymianę handlową.</w:t>
            </w:r>
          </w:p>
          <w:p w14:paraId="38339B32" w14:textId="77777777" w:rsidR="007C5766" w:rsidRPr="007520F9" w:rsidRDefault="007C5766" w:rsidP="007C5766">
            <w:pPr>
              <w:spacing w:after="160" w:line="360" w:lineRule="auto"/>
              <w:rPr>
                <w:rFonts w:ascii="Arial" w:hAnsi="Arial" w:cs="Arial"/>
                <w:sz w:val="24"/>
                <w:szCs w:val="24"/>
              </w:rPr>
            </w:pPr>
            <w:r w:rsidRPr="007520F9">
              <w:rPr>
                <w:rFonts w:ascii="Arial" w:hAnsi="Arial" w:cs="Arial"/>
                <w:sz w:val="24"/>
                <w:szCs w:val="24"/>
              </w:rPr>
              <w:lastRenderedPageBreak/>
              <w:t>W tym względzie nie jest konieczne ustalenie czy pomoc ma faktyczny wpływ na wymianę handlową między państwami członkowskimi, lecz tylko, czy może wpłynąć na taką wymianę. Można uznać, że pomoc publiczna może potencjalnie wpłynąć na wymianę handlową między państwami członkowskimi, nawet jeżeli podmiot beneficjent nie uczestniczy bezpośrednio w handlu transgranicznym. Na przykład, dotacja może utrudnić podmiotom gospodarczym z innych państw członkowskich wejście na rynek przez utrzymywanie na tym samym poziomie lub zwiększanie podaży lokalnej.</w:t>
            </w:r>
          </w:p>
          <w:p w14:paraId="2ED5B1B8" w14:textId="77777777" w:rsidR="007C5766" w:rsidRPr="007520F9" w:rsidRDefault="007C5766" w:rsidP="007C5766">
            <w:pPr>
              <w:spacing w:after="160" w:line="360" w:lineRule="auto"/>
              <w:rPr>
                <w:rFonts w:ascii="Arial" w:hAnsi="Arial" w:cs="Arial"/>
                <w:sz w:val="24"/>
                <w:szCs w:val="24"/>
              </w:rPr>
            </w:pPr>
            <w:r w:rsidRPr="007520F9">
              <w:rPr>
                <w:rFonts w:ascii="Arial" w:hAnsi="Arial" w:cs="Arial"/>
                <w:sz w:val="24"/>
                <w:szCs w:val="24"/>
              </w:rPr>
              <w:t xml:space="preserve">Nawet stosunkowo niewielka kwota pomocy lub stosunkowo nieduży rozmiar przedsiębiorstwa, które ją otrzymuje, jako takie nie wykluczają możliwości wpływu na wymianę handlową między państwami członkowskimi. Dotacja publiczna przyznana przedsiębiorstwu, które świadczy jedynie usługi lokalne lub regionalne, a nie świadczy żadnych usług poza państwem pochodzenia, może mieć jednak wpływ na wymianę handlową między państwami członkowskimi, jeżeli przedsiębiorstwa z innych państw członkowskich mogłyby świadczyć takie usługi (także w ramach swobody przedsiębiorczości) i możliwość ta nie jest wyłącznie hipotetyczna. Na przykład, gdy państwo członkowskie przyznaje dotację publiczną danemu przedsiębiorstwu na świadczenie usług transportowych, świadczenie tych usług może być, dzięki dotacji, utrzymane na tym samym poziomie lub zintensyfikowane tak, że przedsiębiorstwa mające siedzibę w innych państwach członkowskich mają przez to mniejsze szanse na świadczenie usług transportowych na rynku tego państwa członkowskiego. </w:t>
            </w:r>
          </w:p>
          <w:p w14:paraId="570FB08A" w14:textId="77777777" w:rsidR="007C5766" w:rsidRPr="007520F9" w:rsidRDefault="007C5766" w:rsidP="007C5766">
            <w:pPr>
              <w:shd w:val="clear" w:color="auto" w:fill="E7E6E6" w:themeFill="background2"/>
              <w:spacing w:after="16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przypadku, gdy tylko w części będziesz wykorzystywał projekt do prowadzenia działalności gospodarczej, zaznacz jako odpowiedź w tym pytaniu opcję „TAK”. </w:t>
            </w:r>
            <w:r w:rsidRPr="007C5766">
              <w:rPr>
                <w:rFonts w:ascii="Arial" w:hAnsi="Arial" w:cs="Arial"/>
                <w:b/>
                <w:sz w:val="24"/>
                <w:szCs w:val="24"/>
              </w:rPr>
              <w:t>W uzasadnieniu wskaż, która część projektu została uznana za objętą pomocą publiczną, a która nie (odnosząc się np. do zadań przewidzianych w projekcie). Przedstaw w tym względzie stosowną argumentację.</w:t>
            </w:r>
          </w:p>
          <w:p w14:paraId="0FF49007" w14:textId="680FC89C" w:rsidR="007C5766" w:rsidRPr="007520F9" w:rsidRDefault="007C5766" w:rsidP="007C5766">
            <w:pPr>
              <w:shd w:val="clear" w:color="auto" w:fill="E7E6E6" w:themeFill="background2"/>
              <w:spacing w:line="360" w:lineRule="auto"/>
              <w:rPr>
                <w:rFonts w:ascii="Arial" w:hAnsi="Arial" w:cs="Arial"/>
                <w:b/>
                <w:sz w:val="24"/>
                <w:szCs w:val="24"/>
              </w:rPr>
            </w:pPr>
            <w:r w:rsidRPr="007520F9">
              <w:rPr>
                <w:rFonts w:ascii="Arial" w:hAnsi="Arial" w:cs="Arial"/>
                <w:b/>
                <w:sz w:val="24"/>
                <w:szCs w:val="24"/>
              </w:rPr>
              <w:t xml:space="preserve">UWAGA 2: </w:t>
            </w:r>
            <w:r w:rsidRPr="007C5766">
              <w:rPr>
                <w:rFonts w:ascii="Arial" w:hAnsi="Arial" w:cs="Arial"/>
                <w:sz w:val="24"/>
                <w:szCs w:val="24"/>
              </w:rPr>
              <w:t xml:space="preserve">W przypadku, gdy użytkowanie infrastruktury zasadniczo niegospodarczej, do działalności gospodarczej ma charakter czysto pomocniczy i nie przekracza 20% rocznej wydajności tej infrastruktury, to właśnie w tym pytaniu </w:t>
            </w:r>
            <w:r w:rsidRPr="007C5766">
              <w:rPr>
                <w:rFonts w:ascii="Arial" w:hAnsi="Arial" w:cs="Arial"/>
                <w:sz w:val="24"/>
                <w:szCs w:val="24"/>
              </w:rPr>
              <w:lastRenderedPageBreak/>
              <w:t xml:space="preserve">zaznacz odpowiedź „NIE” i przedstaw uzasadnienie. Pomogą Ci w tym </w:t>
            </w:r>
            <w:r w:rsidR="0058030F" w:rsidRPr="007C5766">
              <w:rPr>
                <w:rFonts w:ascii="Arial" w:hAnsi="Arial" w:cs="Arial"/>
                <w:sz w:val="24"/>
                <w:szCs w:val="24"/>
              </w:rPr>
              <w:t>informacje zawarte</w:t>
            </w:r>
            <w:r w:rsidRPr="007C5766">
              <w:rPr>
                <w:rFonts w:ascii="Arial" w:hAnsi="Arial" w:cs="Arial"/>
                <w:sz w:val="24"/>
                <w:szCs w:val="24"/>
              </w:rPr>
              <w:t xml:space="preserve"> w Przewodniku dla Beneficjentów FE SL 2021-2027, rozdziale poświęconym informacjom w zakresie udzielania pomocy publicznej, pomocy de minimis.</w:t>
            </w:r>
          </w:p>
          <w:p w14:paraId="3446139E" w14:textId="77777777" w:rsidR="007C5766" w:rsidRPr="007520F9" w:rsidRDefault="007C5766" w:rsidP="007C5766">
            <w:pPr>
              <w:spacing w:line="360" w:lineRule="auto"/>
              <w:rPr>
                <w:rFonts w:ascii="Arial" w:hAnsi="Arial" w:cs="Arial"/>
                <w:sz w:val="24"/>
                <w:szCs w:val="24"/>
              </w:rPr>
            </w:pPr>
            <w:r w:rsidRPr="007520F9">
              <w:rPr>
                <w:rFonts w:ascii="Arial" w:hAnsi="Arial" w:cs="Arial"/>
                <w:sz w:val="24"/>
                <w:szCs w:val="24"/>
              </w:rPr>
              <w:t>Pamiętaj, aby w tym miejscu przedstawić wskaźnik, który będziesz wykorzystywał do monitorowania wykorzystania infrastruktury na działalność pomocniczą oraz jego wyliczenie (prognozę).</w:t>
            </w:r>
          </w:p>
          <w:p w14:paraId="7F6B5B47" w14:textId="77777777" w:rsidR="007C5766" w:rsidRPr="007520F9" w:rsidRDefault="007C5766" w:rsidP="007C5766">
            <w:pPr>
              <w:spacing w:line="360" w:lineRule="auto"/>
              <w:rPr>
                <w:rFonts w:ascii="Arial" w:hAnsi="Arial" w:cs="Arial"/>
                <w:sz w:val="24"/>
                <w:szCs w:val="24"/>
              </w:rPr>
            </w:pPr>
            <w:r w:rsidRPr="007520F9">
              <w:rPr>
                <w:rFonts w:ascii="Arial" w:hAnsi="Arial" w:cs="Arial"/>
                <w:sz w:val="24"/>
                <w:szCs w:val="24"/>
              </w:rPr>
              <w:t xml:space="preserve">Wybrany wskaźnik powinien być niezmienny przez cały okres monitorowania wykorzystania przedmiotu projektu. Jakie wskaźniki możesz zastosować znajdziesz w Przewodniku. Pamiętaj jednak, że wskaźnik powinien być weryfikowalny (wyniki pomiarów uzyskanych przy użyciu wskaźnika powinny być obiektywnie sprawdzalne). </w:t>
            </w:r>
          </w:p>
          <w:p w14:paraId="51474EDE" w14:textId="4780FF07" w:rsidR="007C5766" w:rsidRPr="007C5766" w:rsidRDefault="007C5766" w:rsidP="007C5766">
            <w:pPr>
              <w:shd w:val="clear" w:color="auto" w:fill="E7E6E6" w:themeFill="background2"/>
              <w:spacing w:line="360" w:lineRule="auto"/>
              <w:rPr>
                <w:rFonts w:ascii="Arial" w:hAnsi="Arial" w:cs="Arial"/>
                <w:b/>
                <w:sz w:val="24"/>
                <w:szCs w:val="24"/>
                <w:u w:val="single"/>
              </w:rPr>
            </w:pPr>
            <w:r w:rsidRPr="007C5766">
              <w:rPr>
                <w:rFonts w:ascii="Arial" w:hAnsi="Arial" w:cs="Arial"/>
                <w:b/>
                <w:sz w:val="24"/>
                <w:szCs w:val="24"/>
              </w:rPr>
              <w:t>Monitorowanie wykorzystywania wytworzonej w ramach projektu infrastruktury odbywa się przez cały okres amortyzacji środków trwałych i wartości niematerialnych i prawnych, a nie tylko okres trwałości.</w:t>
            </w:r>
          </w:p>
        </w:tc>
      </w:tr>
    </w:tbl>
    <w:p w14:paraId="53193617" w14:textId="77777777" w:rsidR="007C5766" w:rsidRDefault="007C5766" w:rsidP="007520F9">
      <w:pPr>
        <w:spacing w:line="360" w:lineRule="auto"/>
        <w:rPr>
          <w:rFonts w:ascii="Arial" w:hAnsi="Arial" w:cs="Arial"/>
          <w:b/>
          <w:sz w:val="24"/>
          <w:szCs w:val="24"/>
        </w:rPr>
      </w:pPr>
    </w:p>
    <w:p w14:paraId="1C9296C5" w14:textId="2431F021" w:rsidR="006D3268" w:rsidRDefault="00261DFC" w:rsidP="00C55C1A">
      <w:pPr>
        <w:pBdr>
          <w:top w:val="dashed" w:sz="8" w:space="1" w:color="auto"/>
          <w:left w:val="dashed" w:sz="8" w:space="4" w:color="auto"/>
          <w:bottom w:val="dashed" w:sz="8" w:space="1" w:color="auto"/>
          <w:right w:val="dashed" w:sz="8" w:space="4" w:color="auto"/>
        </w:pBdr>
        <w:spacing w:after="4560" w:line="360" w:lineRule="auto"/>
        <w:rPr>
          <w:rFonts w:ascii="Arial" w:hAnsi="Arial" w:cs="Arial"/>
          <w:sz w:val="24"/>
          <w:szCs w:val="24"/>
        </w:rPr>
      </w:pPr>
      <w:r w:rsidRPr="006D3268">
        <w:rPr>
          <w:rFonts w:ascii="Arial" w:hAnsi="Arial" w:cs="Arial"/>
          <w:sz w:val="24"/>
          <w:szCs w:val="24"/>
        </w:rPr>
        <w:t xml:space="preserve">Po przeprowadzeniu testu </w:t>
      </w:r>
      <w:r w:rsidR="00161BF4" w:rsidRPr="006D3268">
        <w:rPr>
          <w:rFonts w:ascii="Arial" w:hAnsi="Arial" w:cs="Arial"/>
          <w:sz w:val="24"/>
          <w:szCs w:val="24"/>
        </w:rPr>
        <w:t>pomocy publicznej</w:t>
      </w:r>
      <w:r w:rsidRPr="006D3268">
        <w:rPr>
          <w:rFonts w:ascii="Arial" w:hAnsi="Arial" w:cs="Arial"/>
          <w:sz w:val="24"/>
          <w:szCs w:val="24"/>
        </w:rPr>
        <w:t xml:space="preserve">, uzupełnij odpowiednio </w:t>
      </w:r>
      <w:r w:rsidR="00161BF4" w:rsidRPr="006D3268">
        <w:rPr>
          <w:rFonts w:ascii="Arial" w:hAnsi="Arial" w:cs="Arial"/>
          <w:sz w:val="24"/>
          <w:szCs w:val="24"/>
        </w:rPr>
        <w:t>część A.4.</w:t>
      </w:r>
      <w:r w:rsidR="006C2591" w:rsidRPr="006D3268">
        <w:rPr>
          <w:rFonts w:ascii="Arial" w:hAnsi="Arial" w:cs="Arial"/>
          <w:sz w:val="24"/>
          <w:szCs w:val="24"/>
        </w:rPr>
        <w:t xml:space="preserve"> wniosku:</w:t>
      </w:r>
      <w:r w:rsidR="00161BF4" w:rsidRPr="006D3268">
        <w:rPr>
          <w:rFonts w:ascii="Arial" w:hAnsi="Arial" w:cs="Arial"/>
          <w:sz w:val="24"/>
          <w:szCs w:val="24"/>
        </w:rPr>
        <w:t xml:space="preserve"> Szczegóły pomocy publicznej i/lub de minimis w projekcie</w:t>
      </w:r>
      <w:r w:rsidR="006C2591" w:rsidRPr="006D3268">
        <w:rPr>
          <w:rFonts w:ascii="Arial" w:hAnsi="Arial" w:cs="Arial"/>
          <w:sz w:val="24"/>
          <w:szCs w:val="24"/>
        </w:rPr>
        <w:t>.</w:t>
      </w:r>
      <w:r w:rsidR="00446462" w:rsidRPr="006D3268">
        <w:rPr>
          <w:rFonts w:ascii="Arial" w:hAnsi="Arial" w:cs="Arial"/>
          <w:sz w:val="24"/>
          <w:szCs w:val="24"/>
        </w:rPr>
        <w:t xml:space="preserve"> Szczegóły w tym zakresie znajdują się w instrukcji dla tego pola.</w:t>
      </w:r>
    </w:p>
    <w:p w14:paraId="54347EAE" w14:textId="79A46E8E" w:rsidR="006C2591" w:rsidRPr="007520F9" w:rsidRDefault="00C85D34" w:rsidP="00C55C1A">
      <w:pPr>
        <w:pStyle w:val="Akapitzlist"/>
        <w:numPr>
          <w:ilvl w:val="0"/>
          <w:numId w:val="1"/>
        </w:numPr>
        <w:shd w:val="clear" w:color="auto" w:fill="D9E2F3" w:themeFill="accent1" w:themeFillTint="33"/>
        <w:spacing w:before="360" w:after="360" w:line="360" w:lineRule="auto"/>
        <w:ind w:left="284" w:hanging="295"/>
        <w:rPr>
          <w:rFonts w:ascii="Arial" w:hAnsi="Arial" w:cs="Arial"/>
          <w:b/>
          <w:sz w:val="24"/>
          <w:szCs w:val="24"/>
          <w:u w:val="single"/>
        </w:rPr>
      </w:pPr>
      <w:r>
        <w:rPr>
          <w:rFonts w:ascii="Arial" w:hAnsi="Arial" w:cs="Arial"/>
          <w:b/>
          <w:sz w:val="24"/>
          <w:szCs w:val="24"/>
          <w:u w:val="single"/>
        </w:rPr>
        <w:lastRenderedPageBreak/>
        <w:t>OŚWIADCZENIE O WIELKOŚCI PRZEDSIĘBIORSTWA</w:t>
      </w:r>
    </w:p>
    <w:p w14:paraId="1E7E5854" w14:textId="6D5E7153" w:rsidR="006C2591" w:rsidRPr="007520F9" w:rsidRDefault="006C2591" w:rsidP="007520F9">
      <w:pPr>
        <w:spacing w:after="0" w:line="360" w:lineRule="auto"/>
        <w:rPr>
          <w:rFonts w:ascii="Arial" w:hAnsi="Arial" w:cs="Arial"/>
          <w:b/>
          <w:sz w:val="24"/>
          <w:szCs w:val="24"/>
        </w:rPr>
      </w:pPr>
      <w:r w:rsidRPr="007520F9">
        <w:rPr>
          <w:rFonts w:ascii="Arial" w:hAnsi="Arial" w:cs="Arial"/>
          <w:b/>
          <w:sz w:val="24"/>
          <w:szCs w:val="24"/>
        </w:rPr>
        <w:t xml:space="preserve">Jeśli na pytanie 1 w </w:t>
      </w:r>
      <w:r w:rsidR="0058030F" w:rsidRPr="007520F9">
        <w:rPr>
          <w:rFonts w:ascii="Arial" w:hAnsi="Arial" w:cs="Arial"/>
          <w:b/>
          <w:sz w:val="24"/>
          <w:szCs w:val="24"/>
        </w:rPr>
        <w:t>części I.</w:t>
      </w:r>
      <w:r w:rsidRPr="007520F9">
        <w:rPr>
          <w:rFonts w:ascii="Arial" w:hAnsi="Arial" w:cs="Arial"/>
          <w:b/>
          <w:sz w:val="24"/>
          <w:szCs w:val="24"/>
        </w:rPr>
        <w:t xml:space="preserve"> TEST WYSTĘPOWANIA POMOCY PUBLICZNEJ </w:t>
      </w:r>
      <w:r w:rsidR="000D4007" w:rsidRPr="007520F9">
        <w:rPr>
          <w:rFonts w:ascii="Arial" w:hAnsi="Arial" w:cs="Arial"/>
          <w:b/>
          <w:sz w:val="24"/>
          <w:szCs w:val="24"/>
        </w:rPr>
        <w:t>udzie</w:t>
      </w:r>
      <w:r w:rsidR="00DD270A" w:rsidRPr="007520F9">
        <w:rPr>
          <w:rFonts w:ascii="Arial" w:hAnsi="Arial" w:cs="Arial"/>
          <w:b/>
          <w:sz w:val="24"/>
          <w:szCs w:val="24"/>
        </w:rPr>
        <w:t>liłe</w:t>
      </w:r>
      <w:r w:rsidR="000D4007" w:rsidRPr="007520F9">
        <w:rPr>
          <w:rFonts w:ascii="Arial" w:hAnsi="Arial" w:cs="Arial"/>
          <w:b/>
          <w:sz w:val="24"/>
          <w:szCs w:val="24"/>
        </w:rPr>
        <w:t xml:space="preserve">ś </w:t>
      </w:r>
      <w:r w:rsidRPr="007520F9">
        <w:rPr>
          <w:rFonts w:ascii="Arial" w:hAnsi="Arial" w:cs="Arial"/>
          <w:b/>
          <w:sz w:val="24"/>
          <w:szCs w:val="24"/>
        </w:rPr>
        <w:t xml:space="preserve">odpowiedzi </w:t>
      </w:r>
      <w:r w:rsidR="00DD270A" w:rsidRPr="007520F9">
        <w:rPr>
          <w:rFonts w:ascii="Arial" w:hAnsi="Arial" w:cs="Arial"/>
          <w:b/>
          <w:sz w:val="24"/>
          <w:szCs w:val="24"/>
        </w:rPr>
        <w:t>„</w:t>
      </w:r>
      <w:r w:rsidRPr="007520F9">
        <w:rPr>
          <w:rFonts w:ascii="Arial" w:hAnsi="Arial" w:cs="Arial"/>
          <w:b/>
          <w:sz w:val="24"/>
          <w:szCs w:val="24"/>
        </w:rPr>
        <w:t>TAK</w:t>
      </w:r>
      <w:r w:rsidR="00DD270A" w:rsidRPr="007520F9">
        <w:rPr>
          <w:rFonts w:ascii="Arial" w:hAnsi="Arial" w:cs="Arial"/>
          <w:b/>
          <w:sz w:val="24"/>
          <w:szCs w:val="24"/>
        </w:rPr>
        <w:t>”</w:t>
      </w:r>
      <w:r w:rsidRPr="007520F9">
        <w:rPr>
          <w:rFonts w:ascii="Arial" w:hAnsi="Arial" w:cs="Arial"/>
          <w:b/>
          <w:sz w:val="24"/>
          <w:szCs w:val="24"/>
        </w:rPr>
        <w:t xml:space="preserve">, </w:t>
      </w:r>
      <w:r w:rsidR="000D4007" w:rsidRPr="007520F9">
        <w:rPr>
          <w:rFonts w:ascii="Arial" w:hAnsi="Arial" w:cs="Arial"/>
          <w:b/>
          <w:sz w:val="24"/>
          <w:szCs w:val="24"/>
        </w:rPr>
        <w:t>wypełnij</w:t>
      </w:r>
      <w:r w:rsidRPr="007520F9">
        <w:rPr>
          <w:rFonts w:ascii="Arial" w:hAnsi="Arial" w:cs="Arial"/>
          <w:b/>
          <w:sz w:val="24"/>
          <w:szCs w:val="24"/>
        </w:rPr>
        <w:t xml:space="preserve"> pola w części II załącznika.</w:t>
      </w:r>
    </w:p>
    <w:p w14:paraId="700F5E29" w14:textId="330CD14F" w:rsidR="006C2591" w:rsidRPr="007520F9" w:rsidRDefault="006C2591" w:rsidP="007520F9">
      <w:pPr>
        <w:spacing w:after="0" w:line="360" w:lineRule="auto"/>
        <w:rPr>
          <w:rFonts w:ascii="Arial" w:hAnsi="Arial" w:cs="Arial"/>
          <w:sz w:val="24"/>
          <w:szCs w:val="24"/>
        </w:rPr>
      </w:pPr>
      <w:r w:rsidRPr="007520F9">
        <w:rPr>
          <w:rFonts w:ascii="Arial" w:hAnsi="Arial" w:cs="Arial"/>
          <w:sz w:val="24"/>
          <w:szCs w:val="24"/>
        </w:rPr>
        <w:t xml:space="preserve">Dane te są niezbędne dla określenia statusu na cele badania sytuacji ekonomicznej oraz reguł wsparcia stanowiącego pomoc publiczną (jeśli </w:t>
      </w:r>
      <w:r w:rsidR="000D4007" w:rsidRPr="007520F9">
        <w:rPr>
          <w:rFonts w:ascii="Arial" w:hAnsi="Arial" w:cs="Arial"/>
          <w:sz w:val="24"/>
          <w:szCs w:val="24"/>
        </w:rPr>
        <w:t>pomoc publiczna wystąpi</w:t>
      </w:r>
      <w:r w:rsidRPr="007520F9">
        <w:rPr>
          <w:rFonts w:ascii="Arial" w:hAnsi="Arial" w:cs="Arial"/>
          <w:sz w:val="24"/>
          <w:szCs w:val="24"/>
        </w:rPr>
        <w:t>)</w:t>
      </w:r>
    </w:p>
    <w:p w14:paraId="189C4E52" w14:textId="371F43E9" w:rsidR="006C2591" w:rsidRPr="007520F9" w:rsidRDefault="001A6D01" w:rsidP="007520F9">
      <w:pPr>
        <w:spacing w:line="360" w:lineRule="auto"/>
        <w:rPr>
          <w:rFonts w:ascii="Arial" w:hAnsi="Arial" w:cs="Arial"/>
          <w:sz w:val="24"/>
          <w:szCs w:val="24"/>
        </w:rPr>
      </w:pPr>
      <w:r w:rsidRPr="007520F9">
        <w:rPr>
          <w:rFonts w:ascii="Arial" w:hAnsi="Arial" w:cs="Arial"/>
          <w:sz w:val="24"/>
          <w:szCs w:val="24"/>
        </w:rPr>
        <w:t xml:space="preserve">Poniżej przedstawiamy wskazówki, jak wypełnić </w:t>
      </w:r>
      <w:r w:rsidR="00216771" w:rsidRPr="007520F9">
        <w:rPr>
          <w:rFonts w:ascii="Arial" w:hAnsi="Arial" w:cs="Arial"/>
          <w:sz w:val="24"/>
          <w:szCs w:val="24"/>
        </w:rPr>
        <w:t xml:space="preserve">poszczególne </w:t>
      </w:r>
      <w:r w:rsidR="00E42062" w:rsidRPr="007520F9">
        <w:rPr>
          <w:rFonts w:ascii="Arial" w:hAnsi="Arial" w:cs="Arial"/>
          <w:sz w:val="24"/>
          <w:szCs w:val="24"/>
        </w:rPr>
        <w:t>punkty</w:t>
      </w:r>
      <w:r w:rsidRPr="007520F9">
        <w:rPr>
          <w:rFonts w:ascii="Arial" w:hAnsi="Arial" w:cs="Arial"/>
          <w:sz w:val="24"/>
          <w:szCs w:val="24"/>
        </w:rPr>
        <w:t>;</w:t>
      </w:r>
    </w:p>
    <w:p w14:paraId="3F756A58" w14:textId="45842D13" w:rsidR="00DD1C3F" w:rsidRPr="007520F9" w:rsidRDefault="00335E82" w:rsidP="007520F9">
      <w:pPr>
        <w:spacing w:line="360" w:lineRule="auto"/>
        <w:rPr>
          <w:rFonts w:ascii="Arial" w:hAnsi="Arial" w:cs="Arial"/>
          <w:sz w:val="24"/>
          <w:szCs w:val="24"/>
        </w:rPr>
      </w:pPr>
      <w:r w:rsidRPr="007520F9">
        <w:rPr>
          <w:rFonts w:ascii="Arial" w:hAnsi="Arial" w:cs="Arial"/>
          <w:sz w:val="24"/>
          <w:szCs w:val="24"/>
        </w:rPr>
        <w:t>Ta część składa się łącznie z 4 punktów:</w:t>
      </w:r>
    </w:p>
    <w:p w14:paraId="167D818C" w14:textId="457B0F07" w:rsidR="00335E82" w:rsidRPr="003A0479" w:rsidRDefault="00335E82" w:rsidP="00C55C1A">
      <w:pPr>
        <w:pStyle w:val="Akapitzlist"/>
        <w:numPr>
          <w:ilvl w:val="0"/>
          <w:numId w:val="1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Czy Wnioskodawca jest przedsiębiorstwem samodzielnym/niezależnym?</w:t>
      </w:r>
    </w:p>
    <w:p w14:paraId="4AE06999" w14:textId="77777777" w:rsidR="004F40CA" w:rsidRDefault="002633E3" w:rsidP="007520F9">
      <w:pPr>
        <w:spacing w:line="360" w:lineRule="auto"/>
        <w:rPr>
          <w:rFonts w:ascii="Arial" w:hAnsi="Arial" w:cs="Arial"/>
          <w:sz w:val="24"/>
          <w:szCs w:val="24"/>
        </w:rPr>
      </w:pPr>
      <w:r w:rsidRPr="007520F9">
        <w:rPr>
          <w:rFonts w:ascii="Arial" w:hAnsi="Arial" w:cs="Arial"/>
          <w:sz w:val="24"/>
          <w:szCs w:val="24"/>
        </w:rPr>
        <w:t>W liście rozwijanej wybierz o</w:t>
      </w:r>
      <w:r w:rsidR="00335E82" w:rsidRPr="007520F9">
        <w:rPr>
          <w:rFonts w:ascii="Arial" w:hAnsi="Arial" w:cs="Arial"/>
          <w:sz w:val="24"/>
          <w:szCs w:val="24"/>
        </w:rPr>
        <w:t xml:space="preserve">dpowiedź: </w:t>
      </w:r>
      <w:r w:rsidR="008C6EC6" w:rsidRPr="007520F9">
        <w:rPr>
          <w:rFonts w:ascii="Arial" w:hAnsi="Arial" w:cs="Arial"/>
          <w:sz w:val="24"/>
          <w:szCs w:val="24"/>
        </w:rPr>
        <w:t>„</w:t>
      </w:r>
      <w:r w:rsidR="00335E82" w:rsidRPr="007520F9">
        <w:rPr>
          <w:rFonts w:ascii="Arial" w:hAnsi="Arial" w:cs="Arial"/>
          <w:sz w:val="24"/>
          <w:szCs w:val="24"/>
        </w:rPr>
        <w:t>TAK</w:t>
      </w:r>
      <w:r w:rsidR="008C6EC6" w:rsidRPr="007520F9">
        <w:rPr>
          <w:rFonts w:ascii="Arial" w:hAnsi="Arial" w:cs="Arial"/>
          <w:sz w:val="24"/>
          <w:szCs w:val="24"/>
        </w:rPr>
        <w:t>”</w:t>
      </w:r>
      <w:r w:rsidR="00335E82" w:rsidRPr="007520F9">
        <w:rPr>
          <w:rFonts w:ascii="Arial" w:hAnsi="Arial" w:cs="Arial"/>
          <w:sz w:val="24"/>
          <w:szCs w:val="24"/>
        </w:rPr>
        <w:t xml:space="preserve"> lub </w:t>
      </w:r>
      <w:r w:rsidR="008C6EC6" w:rsidRPr="007520F9">
        <w:rPr>
          <w:rFonts w:ascii="Arial" w:hAnsi="Arial" w:cs="Arial"/>
          <w:sz w:val="24"/>
          <w:szCs w:val="24"/>
        </w:rPr>
        <w:t>„</w:t>
      </w:r>
      <w:r w:rsidR="00335E82" w:rsidRPr="007520F9">
        <w:rPr>
          <w:rFonts w:ascii="Arial" w:hAnsi="Arial" w:cs="Arial"/>
          <w:sz w:val="24"/>
          <w:szCs w:val="24"/>
        </w:rPr>
        <w:t>NIE</w:t>
      </w:r>
      <w:r w:rsidR="008C6EC6" w:rsidRPr="007520F9">
        <w:rPr>
          <w:rFonts w:ascii="Arial" w:hAnsi="Arial" w:cs="Arial"/>
          <w:sz w:val="24"/>
          <w:szCs w:val="24"/>
        </w:rPr>
        <w:t>”</w:t>
      </w:r>
      <w:r w:rsidRPr="007520F9">
        <w:rPr>
          <w:rFonts w:ascii="Arial" w:hAnsi="Arial" w:cs="Arial"/>
          <w:sz w:val="24"/>
          <w:szCs w:val="24"/>
        </w:rPr>
        <w:t xml:space="preserve">. </w:t>
      </w:r>
    </w:p>
    <w:p w14:paraId="5DC3AA67" w14:textId="0913779D" w:rsidR="002B427A" w:rsidRPr="007520F9" w:rsidRDefault="002633E3" w:rsidP="004F40CA">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7520F9">
        <w:rPr>
          <w:rFonts w:ascii="Arial" w:hAnsi="Arial" w:cs="Arial"/>
          <w:sz w:val="24"/>
          <w:szCs w:val="24"/>
        </w:rPr>
        <w:t xml:space="preserve">Pamiętaj jednak, </w:t>
      </w:r>
      <w:r w:rsidR="0058030F" w:rsidRPr="007520F9">
        <w:rPr>
          <w:rFonts w:ascii="Arial" w:hAnsi="Arial" w:cs="Arial"/>
          <w:sz w:val="24"/>
          <w:szCs w:val="24"/>
        </w:rPr>
        <w:t>że „</w:t>
      </w:r>
      <w:r w:rsidR="00335E82" w:rsidRPr="007520F9">
        <w:rPr>
          <w:rFonts w:ascii="Arial" w:hAnsi="Arial" w:cs="Arial"/>
          <w:sz w:val="24"/>
          <w:szCs w:val="24"/>
        </w:rPr>
        <w:t>Przedsiębiorstwo samodzielne” oznacza każde przedsiębiorstwo, które nie jest zakwalifikowane jako przedsiębiorstwo partnerskie w rozumieniu art. 3 ust. 2 załącznika nr I do GBER, ani jako przedsiębiorstwo powiązane w rozumieniu art. 3 ust. 3 tego załącznika.</w:t>
      </w:r>
    </w:p>
    <w:p w14:paraId="05617A62" w14:textId="0CBDE736" w:rsidR="00335E82" w:rsidRPr="007520F9" w:rsidRDefault="002B427A" w:rsidP="007520F9">
      <w:pPr>
        <w:spacing w:line="360" w:lineRule="auto"/>
        <w:rPr>
          <w:rFonts w:ascii="Arial" w:hAnsi="Arial" w:cs="Arial"/>
          <w:sz w:val="24"/>
          <w:szCs w:val="24"/>
        </w:rPr>
      </w:pPr>
      <w:r w:rsidRPr="007520F9">
        <w:rPr>
          <w:rFonts w:ascii="Arial" w:hAnsi="Arial" w:cs="Arial"/>
          <w:sz w:val="24"/>
          <w:szCs w:val="24"/>
        </w:rPr>
        <w:t>Wprowadzenie rozróżnienia na podmiot samodzielny i zależny ma swoje uzasadnienie w systemie pomocy publicznej. Przedsiębiorstwa kwalifikujące się jako mikro-, małe lub średnie (MŚP) objęte są korzystniejszymi zasadami przyznawania pomocy publicznej, gdyż rozmiar ich działalności jest przyczyną szeregu trudności w dostępie do środków finansowych oraz implikuje ich słabszą pozycję rynkową. Podmiot, który osobno spełnia formalne przesłanki uznania go za MŚP, jeżeli działa w ramach grupy przedsiębiorstw, zasadniczo ma zapewnione warunki działalności podobne jak w przypadku dużych przedsiębiorstw. Nie powinien zatem korzystać z przywilejów zarezerwowanych dla podmiotów o mniejszej sile rynkowej, dlatego nie powinien być zaliczany do kategorii MŚP.</w:t>
      </w:r>
      <w:r w:rsidR="00335E82" w:rsidRPr="007520F9">
        <w:rPr>
          <w:rFonts w:ascii="Arial" w:hAnsi="Arial" w:cs="Arial"/>
          <w:sz w:val="24"/>
          <w:szCs w:val="24"/>
        </w:rPr>
        <w:t xml:space="preserve"> </w:t>
      </w:r>
      <w:r w:rsidRPr="007520F9">
        <w:rPr>
          <w:rFonts w:ascii="Arial" w:hAnsi="Arial" w:cs="Arial"/>
          <w:sz w:val="24"/>
          <w:szCs w:val="24"/>
        </w:rPr>
        <w:t>Stąd ocena statusu przedsiębiorstwa (w szczególności w kontekście powiązań) powinna być wnikliwa i obejmować szersze aspekty prowadzonej działalności gospodarczej.</w:t>
      </w:r>
    </w:p>
    <w:p w14:paraId="6C5BC800" w14:textId="6618C7D6" w:rsidR="000B7167" w:rsidRPr="007520F9" w:rsidRDefault="00D35082" w:rsidP="007520F9">
      <w:pPr>
        <w:spacing w:after="0" w:line="360" w:lineRule="auto"/>
        <w:rPr>
          <w:rFonts w:ascii="Arial" w:hAnsi="Arial" w:cs="Arial"/>
          <w:sz w:val="24"/>
          <w:szCs w:val="24"/>
        </w:rPr>
      </w:pPr>
      <w:r w:rsidRPr="007520F9">
        <w:rPr>
          <w:rFonts w:ascii="Arial" w:hAnsi="Arial" w:cs="Arial"/>
          <w:sz w:val="24"/>
          <w:szCs w:val="24"/>
        </w:rPr>
        <w:t xml:space="preserve">Uwaga: przedsiębiorstwa pozostające w powiązaniu z osobą fizyczną lub grupą osób fizycznych działających wspólnie, również traktuje się jak przedsiębiorstwa powiązane, jeżeli prowadzą swoją działalność lub część działalności na tym samym </w:t>
      </w:r>
      <w:r w:rsidRPr="007520F9">
        <w:rPr>
          <w:rFonts w:ascii="Arial" w:hAnsi="Arial" w:cs="Arial"/>
          <w:sz w:val="24"/>
          <w:szCs w:val="24"/>
        </w:rPr>
        <w:lastRenderedPageBreak/>
        <w:t>rynku właściwym lub rynkach pokrewnych (tj. rynek dla danego produktu lub usługi znajdujący się bezpośrednio na wyższym lub niższym szczeblu rynku w stosunku do właściwego rynku). Dokonując analizy w tym zakresie, zadaj sobie pytanie:</w:t>
      </w:r>
    </w:p>
    <w:p w14:paraId="6A09105C" w14:textId="0ADF3510" w:rsidR="00D35082" w:rsidRPr="007520F9" w:rsidRDefault="00D35082" w:rsidP="007520F9">
      <w:pPr>
        <w:pStyle w:val="Akapitzlist"/>
        <w:numPr>
          <w:ilvl w:val="0"/>
          <w:numId w:val="12"/>
        </w:numPr>
        <w:spacing w:line="360" w:lineRule="auto"/>
        <w:rPr>
          <w:rFonts w:ascii="Arial" w:hAnsi="Arial" w:cs="Arial"/>
          <w:sz w:val="24"/>
          <w:szCs w:val="24"/>
        </w:rPr>
      </w:pPr>
      <w:r w:rsidRPr="007520F9">
        <w:rPr>
          <w:rFonts w:ascii="Arial" w:hAnsi="Arial" w:cs="Arial"/>
          <w:sz w:val="24"/>
          <w:szCs w:val="24"/>
        </w:rPr>
        <w:t>czy udziałowcy Twojego przedsiębiorstwa są również udziałowcami w innych przedsiębiorstwach?</w:t>
      </w:r>
    </w:p>
    <w:p w14:paraId="78C57D13" w14:textId="16F76AFB" w:rsidR="00D35082" w:rsidRPr="007520F9" w:rsidRDefault="00D35082" w:rsidP="007520F9">
      <w:pPr>
        <w:pStyle w:val="Akapitzlist"/>
        <w:numPr>
          <w:ilvl w:val="0"/>
          <w:numId w:val="12"/>
        </w:numPr>
        <w:spacing w:line="360" w:lineRule="auto"/>
        <w:rPr>
          <w:rFonts w:ascii="Arial" w:hAnsi="Arial" w:cs="Arial"/>
          <w:sz w:val="24"/>
          <w:szCs w:val="24"/>
        </w:rPr>
      </w:pPr>
      <w:r w:rsidRPr="007520F9">
        <w:rPr>
          <w:rFonts w:ascii="Arial" w:hAnsi="Arial" w:cs="Arial"/>
          <w:sz w:val="24"/>
          <w:szCs w:val="24"/>
        </w:rPr>
        <w:t>czy przedsiębiorstwa te działają na tym samym lub pokrewnych rynkach?</w:t>
      </w:r>
    </w:p>
    <w:p w14:paraId="22E95FB9" w14:textId="3EA00EBC" w:rsidR="00D35082" w:rsidRPr="007520F9" w:rsidRDefault="00D35082" w:rsidP="007520F9">
      <w:pPr>
        <w:pStyle w:val="Akapitzlist"/>
        <w:numPr>
          <w:ilvl w:val="0"/>
          <w:numId w:val="12"/>
        </w:numPr>
        <w:spacing w:line="360" w:lineRule="auto"/>
        <w:rPr>
          <w:rFonts w:ascii="Arial" w:hAnsi="Arial" w:cs="Arial"/>
          <w:sz w:val="24"/>
          <w:szCs w:val="24"/>
        </w:rPr>
      </w:pPr>
      <w:r w:rsidRPr="007520F9">
        <w:rPr>
          <w:rFonts w:ascii="Arial" w:hAnsi="Arial" w:cs="Arial"/>
          <w:sz w:val="24"/>
          <w:szCs w:val="24"/>
        </w:rPr>
        <w:t>czy osoby pozostające w bliskich relacjach osobistych (mąż-żona, rodzice-dzieci, rodzeństwo itp.) prowadzą wspólnie i/lub oddzielnie inne przedsiębiorstwa na tym samym (lub pokrewnym) rynku?</w:t>
      </w:r>
    </w:p>
    <w:p w14:paraId="18EB57AB" w14:textId="4DBB220B" w:rsidR="008C6EC6" w:rsidRPr="007520F9" w:rsidRDefault="008C6EC6" w:rsidP="007520F9">
      <w:pPr>
        <w:spacing w:line="360" w:lineRule="auto"/>
        <w:rPr>
          <w:rFonts w:ascii="Arial" w:hAnsi="Arial" w:cs="Arial"/>
          <w:sz w:val="24"/>
          <w:szCs w:val="24"/>
        </w:rPr>
      </w:pPr>
      <w:r w:rsidRPr="007520F9">
        <w:rPr>
          <w:rFonts w:ascii="Arial" w:hAnsi="Arial" w:cs="Arial"/>
          <w:sz w:val="24"/>
          <w:szCs w:val="24"/>
        </w:rPr>
        <w:t>.</w:t>
      </w:r>
    </w:p>
    <w:p w14:paraId="07A0C2DE" w14:textId="77777777" w:rsidR="00CA3B3B" w:rsidRPr="003A05A6" w:rsidRDefault="00CA3B3B" w:rsidP="00C55C1A">
      <w:pPr>
        <w:pStyle w:val="Akapitzlist"/>
        <w:numPr>
          <w:ilvl w:val="0"/>
          <w:numId w:val="13"/>
        </w:numPr>
        <w:shd w:val="clear" w:color="auto" w:fill="E7E6E6" w:themeFill="background2"/>
        <w:spacing w:before="360" w:after="360" w:line="360" w:lineRule="auto"/>
        <w:ind w:left="426"/>
        <w:rPr>
          <w:rFonts w:ascii="Arial" w:hAnsi="Arial" w:cs="Arial"/>
          <w:b/>
          <w:sz w:val="24"/>
          <w:szCs w:val="24"/>
        </w:rPr>
      </w:pPr>
      <w:r w:rsidRPr="003A05A6">
        <w:rPr>
          <w:rFonts w:ascii="Arial" w:hAnsi="Arial" w:cs="Arial"/>
          <w:b/>
          <w:sz w:val="24"/>
          <w:szCs w:val="24"/>
        </w:rPr>
        <w:t>Posiadany status</w:t>
      </w:r>
    </w:p>
    <w:p w14:paraId="3D607A24" w14:textId="34260DBA" w:rsidR="003D74A8" w:rsidRPr="007520F9" w:rsidRDefault="002633E3" w:rsidP="00C55C1A">
      <w:pPr>
        <w:spacing w:after="240" w:line="360" w:lineRule="auto"/>
        <w:rPr>
          <w:rFonts w:ascii="Arial" w:hAnsi="Arial" w:cs="Arial"/>
          <w:sz w:val="24"/>
          <w:szCs w:val="24"/>
        </w:rPr>
      </w:pPr>
      <w:r w:rsidRPr="007520F9">
        <w:rPr>
          <w:rFonts w:ascii="Arial" w:hAnsi="Arial" w:cs="Arial"/>
          <w:sz w:val="24"/>
          <w:szCs w:val="24"/>
        </w:rPr>
        <w:t>W liście rozwijanej wybierz</w:t>
      </w:r>
      <w:r w:rsidRPr="007520F9">
        <w:rPr>
          <w:rFonts w:ascii="Arial" w:hAnsi="Arial" w:cs="Arial"/>
          <w:b/>
          <w:sz w:val="24"/>
          <w:szCs w:val="24"/>
        </w:rPr>
        <w:t xml:space="preserve"> </w:t>
      </w:r>
      <w:r w:rsidR="003D74A8" w:rsidRPr="007520F9">
        <w:rPr>
          <w:rFonts w:ascii="Arial" w:hAnsi="Arial" w:cs="Arial"/>
          <w:sz w:val="24"/>
          <w:szCs w:val="24"/>
        </w:rPr>
        <w:t>wielkość przedsiębiorstwa, zgodnie z załącznikiem nr I do Rozporządzenia Komisji (UE) nr 651/2014 uznającego niektóre rodzaje pomocy za zgodne z rynkiem wewnętrznym w zastosowaniu art. 107 i 108 Traktatu (Dz. Urz. UE L 187 z 26.06.2014, str. 1). Podane na zaproponowanej liście kategorie przedsiębiorstw, wynikają z klasyfikacji, jaką wprowadziło ww. Rozporządzenie Komisji. W niniejszym akcie prawnym przyjęto następujące rozróżnienie przedsiębiorstw oraz ich definicje:</w:t>
      </w:r>
    </w:p>
    <w:p w14:paraId="393A9976" w14:textId="32E962FA" w:rsidR="003D74A8" w:rsidRPr="007520F9" w:rsidRDefault="002633E3" w:rsidP="00C55C1A">
      <w:pPr>
        <w:spacing w:line="360" w:lineRule="auto"/>
        <w:rPr>
          <w:rFonts w:ascii="Arial" w:hAnsi="Arial" w:cs="Arial"/>
          <w:sz w:val="24"/>
          <w:szCs w:val="24"/>
        </w:rPr>
      </w:pPr>
      <w:r w:rsidRPr="007520F9">
        <w:rPr>
          <w:rFonts w:ascii="Arial" w:hAnsi="Arial" w:cs="Arial"/>
          <w:b/>
          <w:sz w:val="24"/>
          <w:szCs w:val="24"/>
        </w:rPr>
        <w:t>M</w:t>
      </w:r>
      <w:r w:rsidR="003D74A8" w:rsidRPr="007520F9">
        <w:rPr>
          <w:rFonts w:ascii="Arial" w:hAnsi="Arial" w:cs="Arial"/>
          <w:b/>
          <w:sz w:val="24"/>
          <w:szCs w:val="24"/>
        </w:rPr>
        <w:t xml:space="preserve">ikroprzedsiębiorstwo </w:t>
      </w:r>
      <w:r w:rsidR="003D74A8" w:rsidRPr="007520F9">
        <w:rPr>
          <w:rFonts w:ascii="Arial" w:hAnsi="Arial" w:cs="Arial"/>
          <w:sz w:val="24"/>
          <w:szCs w:val="24"/>
        </w:rPr>
        <w:t>– przedsiębiorstwo, które zatrudnia mniej niż 10 pracowników i którego roczny obrót lub roczna suma bilansowa nie przekracza 2 milinów euro;</w:t>
      </w:r>
    </w:p>
    <w:p w14:paraId="181E0A4D" w14:textId="3E86D275" w:rsidR="003D74A8" w:rsidRPr="007520F9" w:rsidRDefault="002633E3" w:rsidP="003A05A6">
      <w:pPr>
        <w:spacing w:line="360" w:lineRule="auto"/>
        <w:rPr>
          <w:rFonts w:ascii="Arial" w:hAnsi="Arial" w:cs="Arial"/>
          <w:sz w:val="24"/>
          <w:szCs w:val="24"/>
        </w:rPr>
      </w:pPr>
      <w:r w:rsidRPr="007520F9">
        <w:rPr>
          <w:rFonts w:ascii="Arial" w:hAnsi="Arial" w:cs="Arial"/>
          <w:b/>
          <w:sz w:val="24"/>
          <w:szCs w:val="24"/>
        </w:rPr>
        <w:t>M</w:t>
      </w:r>
      <w:r w:rsidR="003D74A8" w:rsidRPr="007520F9">
        <w:rPr>
          <w:rFonts w:ascii="Arial" w:hAnsi="Arial" w:cs="Arial"/>
          <w:b/>
          <w:sz w:val="24"/>
          <w:szCs w:val="24"/>
        </w:rPr>
        <w:t xml:space="preserve">ałe przedsiębiorstwo </w:t>
      </w:r>
      <w:r w:rsidR="003D74A8" w:rsidRPr="007520F9">
        <w:rPr>
          <w:rFonts w:ascii="Arial" w:hAnsi="Arial" w:cs="Arial"/>
          <w:sz w:val="24"/>
          <w:szCs w:val="24"/>
        </w:rPr>
        <w:t>– przedsiębiorstwo, które zatrudnia mniej niż 50 pracowników i którego roczny obrót lub roczna suma bilansowa nie przekracza 10 milinów euro;</w:t>
      </w:r>
    </w:p>
    <w:p w14:paraId="537DFBEC" w14:textId="5D62B012" w:rsidR="003D74A8" w:rsidRPr="007520F9" w:rsidRDefault="002633E3" w:rsidP="003A05A6">
      <w:pPr>
        <w:spacing w:line="360" w:lineRule="auto"/>
        <w:rPr>
          <w:rFonts w:ascii="Arial" w:hAnsi="Arial" w:cs="Arial"/>
          <w:sz w:val="24"/>
          <w:szCs w:val="24"/>
        </w:rPr>
      </w:pPr>
      <w:r w:rsidRPr="007520F9">
        <w:rPr>
          <w:rFonts w:ascii="Arial" w:hAnsi="Arial" w:cs="Arial"/>
          <w:b/>
          <w:sz w:val="24"/>
          <w:szCs w:val="24"/>
        </w:rPr>
        <w:t>Ś</w:t>
      </w:r>
      <w:r w:rsidR="003D74A8" w:rsidRPr="007520F9">
        <w:rPr>
          <w:rFonts w:ascii="Arial" w:hAnsi="Arial" w:cs="Arial"/>
          <w:b/>
          <w:sz w:val="24"/>
          <w:szCs w:val="24"/>
        </w:rPr>
        <w:t>rednie przedsiębiorstwo</w:t>
      </w:r>
      <w:r w:rsidR="003D74A8" w:rsidRPr="007520F9">
        <w:rPr>
          <w:rFonts w:ascii="Arial" w:hAnsi="Arial" w:cs="Arial"/>
          <w:sz w:val="24"/>
          <w:szCs w:val="24"/>
        </w:rPr>
        <w:t xml:space="preserve"> – przedsiębiorstwo, które zatrudnia mniej niż 250 pracowników i którego roczny obrót nie przekracza 50 milionów euro lub roczna suma bilansowa nie przekracza 43 milinów euro</w:t>
      </w:r>
      <w:r w:rsidR="003A05A6">
        <w:rPr>
          <w:rFonts w:ascii="Arial" w:hAnsi="Arial" w:cs="Arial"/>
          <w:sz w:val="24"/>
          <w:szCs w:val="24"/>
        </w:rPr>
        <w:t>;</w:t>
      </w:r>
      <w:r w:rsidR="003D74A8" w:rsidRPr="007520F9">
        <w:rPr>
          <w:rFonts w:ascii="Arial" w:hAnsi="Arial" w:cs="Arial"/>
          <w:sz w:val="24"/>
          <w:szCs w:val="24"/>
        </w:rPr>
        <w:t xml:space="preserve"> </w:t>
      </w:r>
    </w:p>
    <w:p w14:paraId="23365F4F" w14:textId="43013045" w:rsidR="003D74A8" w:rsidRPr="007520F9" w:rsidRDefault="003D74A8" w:rsidP="003A05A6">
      <w:pPr>
        <w:spacing w:line="360" w:lineRule="auto"/>
        <w:rPr>
          <w:rFonts w:ascii="Arial" w:hAnsi="Arial" w:cs="Arial"/>
          <w:sz w:val="24"/>
          <w:szCs w:val="24"/>
        </w:rPr>
      </w:pPr>
      <w:r w:rsidRPr="007520F9">
        <w:rPr>
          <w:rFonts w:ascii="Arial" w:hAnsi="Arial" w:cs="Arial"/>
          <w:b/>
          <w:sz w:val="24"/>
          <w:szCs w:val="24"/>
        </w:rPr>
        <w:lastRenderedPageBreak/>
        <w:t>Przedsiębiorstwo inne niż wskazane w punktach 1) - 3)</w:t>
      </w:r>
      <w:r w:rsidRPr="007520F9">
        <w:rPr>
          <w:rFonts w:ascii="Arial" w:hAnsi="Arial" w:cs="Arial"/>
          <w:sz w:val="24"/>
          <w:szCs w:val="24"/>
        </w:rPr>
        <w:t xml:space="preserve"> to </w:t>
      </w:r>
      <w:r w:rsidRPr="007520F9">
        <w:rPr>
          <w:rFonts w:ascii="Arial" w:hAnsi="Arial" w:cs="Arial"/>
          <w:b/>
          <w:sz w:val="24"/>
          <w:szCs w:val="24"/>
        </w:rPr>
        <w:t>duże przedsiębiorstwo</w:t>
      </w:r>
      <w:r w:rsidRPr="007520F9">
        <w:rPr>
          <w:rFonts w:ascii="Arial" w:hAnsi="Arial" w:cs="Arial"/>
          <w:sz w:val="24"/>
          <w:szCs w:val="24"/>
        </w:rPr>
        <w:t>, które nie kwalifikuje się do żadnej powyższej kategorii. Oznacza to, że do kategorii mikro-, małych i średnich nie kwalifikuje się przedsiębiorstwo, które zatrudnia więcej niż 250 pracowników i którego roczny obrót przekracza 50 milionów euro lub roczna suma bilansowa przekracza 43 milinów euro.</w:t>
      </w:r>
      <w:r w:rsidR="003A05A6">
        <w:rPr>
          <w:rFonts w:ascii="Arial" w:hAnsi="Arial" w:cs="Arial"/>
          <w:sz w:val="24"/>
          <w:szCs w:val="24"/>
        </w:rPr>
        <w:t>;</w:t>
      </w:r>
      <w:r w:rsidRPr="007520F9">
        <w:rPr>
          <w:rFonts w:ascii="Arial" w:hAnsi="Arial" w:cs="Arial"/>
          <w:sz w:val="24"/>
          <w:szCs w:val="24"/>
        </w:rPr>
        <w:t xml:space="preserve"> </w:t>
      </w:r>
    </w:p>
    <w:p w14:paraId="77F3139E" w14:textId="1F15D03F" w:rsidR="00B135CF" w:rsidRDefault="003D74A8" w:rsidP="003A05A6">
      <w:pPr>
        <w:spacing w:line="360" w:lineRule="auto"/>
        <w:rPr>
          <w:rFonts w:ascii="Arial" w:hAnsi="Arial" w:cs="Arial"/>
          <w:sz w:val="24"/>
          <w:szCs w:val="24"/>
        </w:rPr>
      </w:pPr>
      <w:r w:rsidRPr="007520F9">
        <w:rPr>
          <w:rFonts w:ascii="Arial" w:hAnsi="Arial" w:cs="Arial"/>
          <w:b/>
          <w:sz w:val="24"/>
          <w:szCs w:val="24"/>
        </w:rPr>
        <w:t>Inne ze względu na powiązanie z organami publicznymi</w:t>
      </w:r>
      <w:r w:rsidRPr="007520F9">
        <w:rPr>
          <w:rFonts w:ascii="Arial" w:hAnsi="Arial" w:cs="Arial"/>
          <w:sz w:val="24"/>
          <w:szCs w:val="24"/>
        </w:rPr>
        <w:t xml:space="preserve"> (JST), tj. przedsiębiorstwo inne niż wskazane w punktach 1) – 3), które zgodnie z art. 3 ust. 4 Załącznika I do Rozporządzenia Komisji (UE) nr 651/2014 nie może być uznane za mikro, małe i średnie, gdyż 25% lub więcej kapitału lub praw głosu tego przedsiębiorstwa kontroluje bezpośrednio lub pośrednio, wspólnie lub indywidualnie, co najmniej jeden organ publiczny. Wydaje się, </w:t>
      </w:r>
      <w:r w:rsidR="0058030F" w:rsidRPr="007520F9">
        <w:rPr>
          <w:rFonts w:ascii="Arial" w:hAnsi="Arial" w:cs="Arial"/>
          <w:sz w:val="24"/>
          <w:szCs w:val="24"/>
        </w:rPr>
        <w:t>że</w:t>
      </w:r>
      <w:r w:rsidRPr="007520F9">
        <w:rPr>
          <w:rFonts w:ascii="Arial" w:hAnsi="Arial" w:cs="Arial"/>
          <w:sz w:val="24"/>
          <w:szCs w:val="24"/>
        </w:rPr>
        <w:t xml:space="preserve"> analogicznie należy podejść do przypadków, w których to sam organ publiczny wnioskuje o udzielenie pomocy publicznej (jest przedsiębiorstwem w ujęciu funkcjonalnym). W tej sytuacji, należy wybrać „Inne ze względu na powiązanie z organami publicznymi (JST)”</w:t>
      </w:r>
      <w:r w:rsidR="00D16CD6">
        <w:rPr>
          <w:rFonts w:ascii="Arial" w:hAnsi="Arial" w:cs="Arial"/>
          <w:sz w:val="24"/>
          <w:szCs w:val="24"/>
        </w:rPr>
        <w:t>.</w:t>
      </w:r>
    </w:p>
    <w:p w14:paraId="6A9FD871" w14:textId="18F245E8" w:rsidR="00F82380" w:rsidRPr="007520F9" w:rsidRDefault="002633E3" w:rsidP="003A05A6">
      <w:pPr>
        <w:spacing w:line="360" w:lineRule="auto"/>
        <w:rPr>
          <w:rFonts w:ascii="Arial" w:hAnsi="Arial" w:cs="Arial"/>
          <w:sz w:val="24"/>
          <w:szCs w:val="24"/>
        </w:rPr>
      </w:pPr>
      <w:r w:rsidRPr="007520F9">
        <w:rPr>
          <w:rFonts w:ascii="Arial" w:hAnsi="Arial" w:cs="Arial"/>
          <w:sz w:val="24"/>
          <w:szCs w:val="24"/>
        </w:rPr>
        <w:t>Poniższa tabela w uproszczeniu pokaże Ci jakie są warunki oceny wielkości przedsiębiorstwa:</w:t>
      </w:r>
    </w:p>
    <w:tbl>
      <w:tblPr>
        <w:tblStyle w:val="Tabela-Siatka"/>
        <w:tblW w:w="0" w:type="auto"/>
        <w:jc w:val="center"/>
        <w:tblLook w:val="04A0" w:firstRow="1" w:lastRow="0" w:firstColumn="1" w:lastColumn="0" w:noHBand="0" w:noVBand="1"/>
        <w:tblCaption w:val="Warunki oceny wielkości przedsiębiorstwa"/>
        <w:tblDescription w:val="Tabela pokazuje jakie parametry i w jakich wielkościach należy brać pod uwagę przy ustalaniu wielkości przedsiębiorstwa."/>
      </w:tblPr>
      <w:tblGrid>
        <w:gridCol w:w="2830"/>
        <w:gridCol w:w="1753"/>
        <w:gridCol w:w="763"/>
        <w:gridCol w:w="1430"/>
        <w:gridCol w:w="909"/>
        <w:gridCol w:w="1377"/>
      </w:tblGrid>
      <w:tr w:rsidR="00F82380" w:rsidRPr="007520F9" w14:paraId="6DC50110" w14:textId="77777777" w:rsidTr="003A05A6">
        <w:trPr>
          <w:jc w:val="center"/>
        </w:trPr>
        <w:tc>
          <w:tcPr>
            <w:tcW w:w="1969" w:type="dxa"/>
            <w:shd w:val="clear" w:color="auto" w:fill="D9D9D9" w:themeFill="background1" w:themeFillShade="D9"/>
          </w:tcPr>
          <w:p w14:paraId="39A8EBEB" w14:textId="77777777" w:rsidR="00F82380" w:rsidRPr="007520F9" w:rsidRDefault="00F82380" w:rsidP="007520F9">
            <w:pPr>
              <w:spacing w:after="160" w:line="360" w:lineRule="auto"/>
              <w:contextualSpacing/>
              <w:rPr>
                <w:rFonts w:ascii="Arial" w:hAnsi="Arial" w:cs="Arial"/>
                <w:b/>
                <w:sz w:val="24"/>
                <w:szCs w:val="24"/>
              </w:rPr>
            </w:pPr>
          </w:p>
        </w:tc>
        <w:tc>
          <w:tcPr>
            <w:tcW w:w="1791" w:type="dxa"/>
            <w:shd w:val="clear" w:color="auto" w:fill="D9D9D9" w:themeFill="background1" w:themeFillShade="D9"/>
          </w:tcPr>
          <w:p w14:paraId="206F73E2" w14:textId="262154FC" w:rsidR="00F82380" w:rsidRPr="007520F9" w:rsidRDefault="00F82380" w:rsidP="007520F9">
            <w:pPr>
              <w:spacing w:after="160" w:line="360" w:lineRule="auto"/>
              <w:contextualSpacing/>
              <w:rPr>
                <w:rFonts w:ascii="Arial" w:hAnsi="Arial" w:cs="Arial"/>
                <w:b/>
                <w:sz w:val="24"/>
                <w:szCs w:val="24"/>
              </w:rPr>
            </w:pPr>
            <w:r w:rsidRPr="007520F9">
              <w:rPr>
                <w:rFonts w:ascii="Arial" w:hAnsi="Arial" w:cs="Arial"/>
                <w:b/>
                <w:sz w:val="24"/>
                <w:szCs w:val="24"/>
              </w:rPr>
              <w:t>Zatrudnienie</w:t>
            </w:r>
          </w:p>
        </w:tc>
        <w:tc>
          <w:tcPr>
            <w:tcW w:w="951" w:type="dxa"/>
            <w:vMerge w:val="restart"/>
            <w:vAlign w:val="center"/>
          </w:tcPr>
          <w:p w14:paraId="6EBD72F3" w14:textId="5ED4D2BA" w:rsidR="00F82380" w:rsidRPr="007520F9" w:rsidRDefault="00F82380" w:rsidP="007520F9">
            <w:pPr>
              <w:spacing w:after="160" w:line="360" w:lineRule="auto"/>
              <w:contextualSpacing/>
              <w:rPr>
                <w:rFonts w:ascii="Arial" w:hAnsi="Arial" w:cs="Arial"/>
                <w:b/>
                <w:sz w:val="24"/>
                <w:szCs w:val="24"/>
              </w:rPr>
            </w:pPr>
            <w:r w:rsidRPr="007520F9">
              <w:rPr>
                <w:rFonts w:ascii="Arial" w:hAnsi="Arial" w:cs="Arial"/>
                <w:b/>
                <w:sz w:val="24"/>
                <w:szCs w:val="24"/>
              </w:rPr>
              <w:t>i</w:t>
            </w:r>
          </w:p>
        </w:tc>
        <w:tc>
          <w:tcPr>
            <w:tcW w:w="1304" w:type="dxa"/>
            <w:shd w:val="clear" w:color="auto" w:fill="D9D9D9" w:themeFill="background1" w:themeFillShade="D9"/>
          </w:tcPr>
          <w:p w14:paraId="74EFC9E9" w14:textId="5108B65E" w:rsidR="00F82380" w:rsidRPr="007520F9" w:rsidRDefault="00F82380" w:rsidP="007520F9">
            <w:pPr>
              <w:spacing w:after="160" w:line="360" w:lineRule="auto"/>
              <w:contextualSpacing/>
              <w:rPr>
                <w:rFonts w:ascii="Arial" w:hAnsi="Arial" w:cs="Arial"/>
                <w:b/>
                <w:sz w:val="24"/>
                <w:szCs w:val="24"/>
              </w:rPr>
            </w:pPr>
            <w:r w:rsidRPr="007520F9">
              <w:rPr>
                <w:rFonts w:ascii="Arial" w:hAnsi="Arial" w:cs="Arial"/>
                <w:b/>
                <w:sz w:val="24"/>
                <w:szCs w:val="24"/>
              </w:rPr>
              <w:t>Przychody netto</w:t>
            </w:r>
          </w:p>
        </w:tc>
        <w:tc>
          <w:tcPr>
            <w:tcW w:w="1040" w:type="dxa"/>
            <w:vMerge w:val="restart"/>
            <w:vAlign w:val="center"/>
          </w:tcPr>
          <w:p w14:paraId="2E21F6BE" w14:textId="454AE301" w:rsidR="00F82380" w:rsidRPr="007520F9" w:rsidRDefault="00F82380" w:rsidP="007520F9">
            <w:pPr>
              <w:spacing w:after="160" w:line="360" w:lineRule="auto"/>
              <w:contextualSpacing/>
              <w:rPr>
                <w:rFonts w:ascii="Arial" w:hAnsi="Arial" w:cs="Arial"/>
                <w:b/>
                <w:sz w:val="24"/>
                <w:szCs w:val="24"/>
              </w:rPr>
            </w:pPr>
            <w:r w:rsidRPr="007520F9">
              <w:rPr>
                <w:rFonts w:ascii="Arial" w:hAnsi="Arial" w:cs="Arial"/>
                <w:b/>
                <w:sz w:val="24"/>
                <w:szCs w:val="24"/>
              </w:rPr>
              <w:t>lub</w:t>
            </w:r>
          </w:p>
        </w:tc>
        <w:tc>
          <w:tcPr>
            <w:tcW w:w="1287" w:type="dxa"/>
            <w:shd w:val="clear" w:color="auto" w:fill="D9D9D9" w:themeFill="background1" w:themeFillShade="D9"/>
          </w:tcPr>
          <w:p w14:paraId="68039DAE" w14:textId="15D4F31A" w:rsidR="00F82380" w:rsidRPr="007520F9" w:rsidRDefault="00F82380" w:rsidP="007520F9">
            <w:pPr>
              <w:spacing w:after="160" w:line="360" w:lineRule="auto"/>
              <w:contextualSpacing/>
              <w:rPr>
                <w:rFonts w:ascii="Arial" w:hAnsi="Arial" w:cs="Arial"/>
                <w:b/>
                <w:sz w:val="24"/>
                <w:szCs w:val="24"/>
              </w:rPr>
            </w:pPr>
            <w:r w:rsidRPr="007520F9">
              <w:rPr>
                <w:rFonts w:ascii="Arial" w:hAnsi="Arial" w:cs="Arial"/>
                <w:b/>
                <w:sz w:val="24"/>
                <w:szCs w:val="24"/>
              </w:rPr>
              <w:t>Suma bilansowa</w:t>
            </w:r>
          </w:p>
        </w:tc>
      </w:tr>
      <w:tr w:rsidR="00F82380" w:rsidRPr="007520F9" w14:paraId="20ECEE14" w14:textId="77777777" w:rsidTr="003A05A6">
        <w:trPr>
          <w:jc w:val="center"/>
        </w:trPr>
        <w:tc>
          <w:tcPr>
            <w:tcW w:w="1969" w:type="dxa"/>
            <w:shd w:val="clear" w:color="auto" w:fill="D9D9D9" w:themeFill="background1" w:themeFillShade="D9"/>
          </w:tcPr>
          <w:p w14:paraId="39C6AF62" w14:textId="5FD5F71B" w:rsidR="00F82380" w:rsidRPr="007520F9" w:rsidRDefault="00F82380" w:rsidP="007520F9">
            <w:pPr>
              <w:spacing w:after="160" w:line="360" w:lineRule="auto"/>
              <w:contextualSpacing/>
              <w:rPr>
                <w:rFonts w:ascii="Arial" w:hAnsi="Arial" w:cs="Arial"/>
                <w:b/>
                <w:sz w:val="24"/>
                <w:szCs w:val="24"/>
              </w:rPr>
            </w:pPr>
            <w:r w:rsidRPr="007520F9">
              <w:rPr>
                <w:rFonts w:ascii="Arial" w:hAnsi="Arial" w:cs="Arial"/>
                <w:b/>
                <w:sz w:val="24"/>
                <w:szCs w:val="24"/>
              </w:rPr>
              <w:t>Średnie przedsiębiorstwo</w:t>
            </w:r>
          </w:p>
        </w:tc>
        <w:tc>
          <w:tcPr>
            <w:tcW w:w="1791" w:type="dxa"/>
          </w:tcPr>
          <w:p w14:paraId="16432416" w14:textId="76C9F615" w:rsidR="00F82380" w:rsidRPr="007520F9" w:rsidRDefault="00F82380" w:rsidP="007520F9">
            <w:pPr>
              <w:spacing w:after="160" w:line="360" w:lineRule="auto"/>
              <w:contextualSpacing/>
              <w:rPr>
                <w:rFonts w:ascii="Arial" w:hAnsi="Arial" w:cs="Arial"/>
                <w:sz w:val="24"/>
                <w:szCs w:val="24"/>
              </w:rPr>
            </w:pPr>
            <w:r w:rsidRPr="007520F9">
              <w:rPr>
                <w:rFonts w:ascii="Arial" w:hAnsi="Arial" w:cs="Arial"/>
                <w:sz w:val="24"/>
                <w:szCs w:val="24"/>
              </w:rPr>
              <w:t>&lt; 250</w:t>
            </w:r>
          </w:p>
        </w:tc>
        <w:tc>
          <w:tcPr>
            <w:tcW w:w="951" w:type="dxa"/>
            <w:vMerge/>
          </w:tcPr>
          <w:p w14:paraId="28CC1F88" w14:textId="77777777" w:rsidR="00F82380" w:rsidRPr="007520F9" w:rsidRDefault="00F82380" w:rsidP="007520F9">
            <w:pPr>
              <w:spacing w:after="160" w:line="360" w:lineRule="auto"/>
              <w:contextualSpacing/>
              <w:rPr>
                <w:rFonts w:ascii="Arial" w:hAnsi="Arial" w:cs="Arial"/>
                <w:sz w:val="24"/>
                <w:szCs w:val="24"/>
              </w:rPr>
            </w:pPr>
          </w:p>
        </w:tc>
        <w:tc>
          <w:tcPr>
            <w:tcW w:w="1304" w:type="dxa"/>
          </w:tcPr>
          <w:p w14:paraId="39E27F72" w14:textId="6C3826C4" w:rsidR="00F82380" w:rsidRPr="007520F9" w:rsidRDefault="00F82380" w:rsidP="007520F9">
            <w:pPr>
              <w:spacing w:after="160" w:line="360" w:lineRule="auto"/>
              <w:contextualSpacing/>
              <w:rPr>
                <w:rFonts w:ascii="Arial" w:hAnsi="Arial" w:cs="Arial"/>
                <w:sz w:val="24"/>
                <w:szCs w:val="24"/>
              </w:rPr>
            </w:pPr>
            <w:r w:rsidRPr="007520F9">
              <w:rPr>
                <w:rFonts w:ascii="Arial" w:hAnsi="Arial" w:cs="Arial"/>
                <w:sz w:val="24"/>
                <w:szCs w:val="24"/>
              </w:rPr>
              <w:t>≤ 50 mln €</w:t>
            </w:r>
          </w:p>
        </w:tc>
        <w:tc>
          <w:tcPr>
            <w:tcW w:w="1040" w:type="dxa"/>
            <w:vMerge/>
          </w:tcPr>
          <w:p w14:paraId="4140067D" w14:textId="77777777" w:rsidR="00F82380" w:rsidRPr="007520F9" w:rsidRDefault="00F82380" w:rsidP="007520F9">
            <w:pPr>
              <w:spacing w:after="160" w:line="360" w:lineRule="auto"/>
              <w:contextualSpacing/>
              <w:rPr>
                <w:rFonts w:ascii="Arial" w:hAnsi="Arial" w:cs="Arial"/>
                <w:sz w:val="24"/>
                <w:szCs w:val="24"/>
              </w:rPr>
            </w:pPr>
          </w:p>
        </w:tc>
        <w:tc>
          <w:tcPr>
            <w:tcW w:w="1287" w:type="dxa"/>
          </w:tcPr>
          <w:p w14:paraId="5045CD97" w14:textId="0E978C84" w:rsidR="00F82380" w:rsidRPr="007520F9" w:rsidRDefault="00F82380" w:rsidP="007520F9">
            <w:pPr>
              <w:spacing w:after="160" w:line="360" w:lineRule="auto"/>
              <w:contextualSpacing/>
              <w:rPr>
                <w:rFonts w:ascii="Arial" w:hAnsi="Arial" w:cs="Arial"/>
                <w:sz w:val="24"/>
                <w:szCs w:val="24"/>
              </w:rPr>
            </w:pPr>
            <w:r w:rsidRPr="007520F9">
              <w:rPr>
                <w:rFonts w:ascii="Arial" w:hAnsi="Arial" w:cs="Arial"/>
                <w:sz w:val="24"/>
                <w:szCs w:val="24"/>
              </w:rPr>
              <w:t>≤ 43 mln €</w:t>
            </w:r>
          </w:p>
        </w:tc>
      </w:tr>
      <w:tr w:rsidR="00F82380" w:rsidRPr="007520F9" w14:paraId="09FC6FEE" w14:textId="77777777" w:rsidTr="003A05A6">
        <w:trPr>
          <w:jc w:val="center"/>
        </w:trPr>
        <w:tc>
          <w:tcPr>
            <w:tcW w:w="1969" w:type="dxa"/>
            <w:shd w:val="clear" w:color="auto" w:fill="D9D9D9" w:themeFill="background1" w:themeFillShade="D9"/>
          </w:tcPr>
          <w:p w14:paraId="3C762F09" w14:textId="721E3262" w:rsidR="00F82380" w:rsidRPr="007520F9" w:rsidRDefault="00F82380" w:rsidP="007520F9">
            <w:pPr>
              <w:spacing w:after="160" w:line="360" w:lineRule="auto"/>
              <w:contextualSpacing/>
              <w:rPr>
                <w:rFonts w:ascii="Arial" w:hAnsi="Arial" w:cs="Arial"/>
                <w:b/>
                <w:sz w:val="24"/>
                <w:szCs w:val="24"/>
              </w:rPr>
            </w:pPr>
            <w:r w:rsidRPr="007520F9">
              <w:rPr>
                <w:rFonts w:ascii="Arial" w:hAnsi="Arial" w:cs="Arial"/>
                <w:b/>
                <w:sz w:val="24"/>
                <w:szCs w:val="24"/>
              </w:rPr>
              <w:t>Małe przedsiębiorstwo</w:t>
            </w:r>
          </w:p>
        </w:tc>
        <w:tc>
          <w:tcPr>
            <w:tcW w:w="1791" w:type="dxa"/>
          </w:tcPr>
          <w:p w14:paraId="1CF747D6" w14:textId="3CF26ABB" w:rsidR="00F82380" w:rsidRPr="007520F9" w:rsidRDefault="00F82380" w:rsidP="007520F9">
            <w:pPr>
              <w:spacing w:after="160" w:line="360" w:lineRule="auto"/>
              <w:contextualSpacing/>
              <w:rPr>
                <w:rFonts w:ascii="Arial" w:hAnsi="Arial" w:cs="Arial"/>
                <w:sz w:val="24"/>
                <w:szCs w:val="24"/>
              </w:rPr>
            </w:pPr>
            <w:r w:rsidRPr="007520F9">
              <w:rPr>
                <w:rFonts w:ascii="Arial" w:hAnsi="Arial" w:cs="Arial"/>
                <w:sz w:val="24"/>
                <w:szCs w:val="24"/>
              </w:rPr>
              <w:t>&lt; 50</w:t>
            </w:r>
          </w:p>
        </w:tc>
        <w:tc>
          <w:tcPr>
            <w:tcW w:w="951" w:type="dxa"/>
            <w:vMerge/>
          </w:tcPr>
          <w:p w14:paraId="558B8EDE" w14:textId="77777777" w:rsidR="00F82380" w:rsidRPr="007520F9" w:rsidRDefault="00F82380" w:rsidP="007520F9">
            <w:pPr>
              <w:spacing w:after="160" w:line="360" w:lineRule="auto"/>
              <w:contextualSpacing/>
              <w:rPr>
                <w:rFonts w:ascii="Arial" w:hAnsi="Arial" w:cs="Arial"/>
                <w:sz w:val="24"/>
                <w:szCs w:val="24"/>
              </w:rPr>
            </w:pPr>
          </w:p>
        </w:tc>
        <w:tc>
          <w:tcPr>
            <w:tcW w:w="1304" w:type="dxa"/>
          </w:tcPr>
          <w:p w14:paraId="65F4C857" w14:textId="14C327EB" w:rsidR="00F82380" w:rsidRPr="007520F9" w:rsidRDefault="00F82380" w:rsidP="007520F9">
            <w:pPr>
              <w:spacing w:after="160" w:line="360" w:lineRule="auto"/>
              <w:contextualSpacing/>
              <w:rPr>
                <w:rFonts w:ascii="Arial" w:hAnsi="Arial" w:cs="Arial"/>
                <w:sz w:val="24"/>
                <w:szCs w:val="24"/>
              </w:rPr>
            </w:pPr>
            <w:r w:rsidRPr="007520F9">
              <w:rPr>
                <w:rFonts w:ascii="Arial" w:hAnsi="Arial" w:cs="Arial"/>
                <w:sz w:val="24"/>
                <w:szCs w:val="24"/>
              </w:rPr>
              <w:t>≤ 10 mln €</w:t>
            </w:r>
          </w:p>
        </w:tc>
        <w:tc>
          <w:tcPr>
            <w:tcW w:w="1040" w:type="dxa"/>
            <w:vMerge/>
          </w:tcPr>
          <w:p w14:paraId="7AB6AECF" w14:textId="77777777" w:rsidR="00F82380" w:rsidRPr="007520F9" w:rsidRDefault="00F82380" w:rsidP="007520F9">
            <w:pPr>
              <w:spacing w:after="160" w:line="360" w:lineRule="auto"/>
              <w:contextualSpacing/>
              <w:rPr>
                <w:rFonts w:ascii="Arial" w:hAnsi="Arial" w:cs="Arial"/>
                <w:sz w:val="24"/>
                <w:szCs w:val="24"/>
              </w:rPr>
            </w:pPr>
          </w:p>
        </w:tc>
        <w:tc>
          <w:tcPr>
            <w:tcW w:w="1287" w:type="dxa"/>
          </w:tcPr>
          <w:p w14:paraId="4D5D290B" w14:textId="6DF21158" w:rsidR="00F82380" w:rsidRPr="007520F9" w:rsidRDefault="00F82380" w:rsidP="007520F9">
            <w:pPr>
              <w:spacing w:after="160" w:line="360" w:lineRule="auto"/>
              <w:contextualSpacing/>
              <w:rPr>
                <w:rFonts w:ascii="Arial" w:hAnsi="Arial" w:cs="Arial"/>
                <w:sz w:val="24"/>
                <w:szCs w:val="24"/>
              </w:rPr>
            </w:pPr>
            <w:r w:rsidRPr="007520F9">
              <w:rPr>
                <w:rFonts w:ascii="Arial" w:hAnsi="Arial" w:cs="Arial"/>
                <w:sz w:val="24"/>
                <w:szCs w:val="24"/>
              </w:rPr>
              <w:t>≤ 10 mln €</w:t>
            </w:r>
          </w:p>
        </w:tc>
      </w:tr>
      <w:tr w:rsidR="00F82380" w:rsidRPr="007520F9" w14:paraId="24D27595" w14:textId="77777777" w:rsidTr="003A05A6">
        <w:trPr>
          <w:jc w:val="center"/>
        </w:trPr>
        <w:tc>
          <w:tcPr>
            <w:tcW w:w="1969" w:type="dxa"/>
            <w:shd w:val="clear" w:color="auto" w:fill="D9D9D9" w:themeFill="background1" w:themeFillShade="D9"/>
          </w:tcPr>
          <w:p w14:paraId="345EA446" w14:textId="5C24E6B7" w:rsidR="00F82380" w:rsidRPr="007520F9" w:rsidRDefault="00F82380" w:rsidP="007520F9">
            <w:pPr>
              <w:spacing w:after="160" w:line="360" w:lineRule="auto"/>
              <w:contextualSpacing/>
              <w:rPr>
                <w:rFonts w:ascii="Arial" w:hAnsi="Arial" w:cs="Arial"/>
                <w:b/>
                <w:sz w:val="24"/>
                <w:szCs w:val="24"/>
              </w:rPr>
            </w:pPr>
            <w:r w:rsidRPr="007520F9">
              <w:rPr>
                <w:rFonts w:ascii="Arial" w:hAnsi="Arial" w:cs="Arial"/>
                <w:b/>
                <w:sz w:val="24"/>
                <w:szCs w:val="24"/>
              </w:rPr>
              <w:t>Mikroprzedsiębiorstwo</w:t>
            </w:r>
          </w:p>
        </w:tc>
        <w:tc>
          <w:tcPr>
            <w:tcW w:w="1791" w:type="dxa"/>
          </w:tcPr>
          <w:p w14:paraId="2DD0EEB8" w14:textId="3AF55F60" w:rsidR="00F82380" w:rsidRPr="007520F9" w:rsidRDefault="00F82380" w:rsidP="007520F9">
            <w:pPr>
              <w:spacing w:after="160" w:line="360" w:lineRule="auto"/>
              <w:contextualSpacing/>
              <w:rPr>
                <w:rFonts w:ascii="Arial" w:hAnsi="Arial" w:cs="Arial"/>
                <w:sz w:val="24"/>
                <w:szCs w:val="24"/>
              </w:rPr>
            </w:pPr>
            <w:r w:rsidRPr="007520F9">
              <w:rPr>
                <w:rFonts w:ascii="Arial" w:hAnsi="Arial" w:cs="Arial"/>
                <w:sz w:val="24"/>
                <w:szCs w:val="24"/>
              </w:rPr>
              <w:t>&lt; 10</w:t>
            </w:r>
          </w:p>
        </w:tc>
        <w:tc>
          <w:tcPr>
            <w:tcW w:w="951" w:type="dxa"/>
            <w:vMerge/>
          </w:tcPr>
          <w:p w14:paraId="4362C1CA" w14:textId="77777777" w:rsidR="00F82380" w:rsidRPr="007520F9" w:rsidRDefault="00F82380" w:rsidP="007520F9">
            <w:pPr>
              <w:spacing w:after="160" w:line="360" w:lineRule="auto"/>
              <w:contextualSpacing/>
              <w:rPr>
                <w:rFonts w:ascii="Arial" w:hAnsi="Arial" w:cs="Arial"/>
                <w:sz w:val="24"/>
                <w:szCs w:val="24"/>
              </w:rPr>
            </w:pPr>
          </w:p>
        </w:tc>
        <w:tc>
          <w:tcPr>
            <w:tcW w:w="1304" w:type="dxa"/>
          </w:tcPr>
          <w:p w14:paraId="3EB13E05" w14:textId="1CC4055D" w:rsidR="00F82380" w:rsidRPr="007520F9" w:rsidRDefault="00F82380" w:rsidP="007520F9">
            <w:pPr>
              <w:spacing w:after="160" w:line="360" w:lineRule="auto"/>
              <w:contextualSpacing/>
              <w:rPr>
                <w:rFonts w:ascii="Arial" w:hAnsi="Arial" w:cs="Arial"/>
                <w:sz w:val="24"/>
                <w:szCs w:val="24"/>
              </w:rPr>
            </w:pPr>
            <w:r w:rsidRPr="007520F9">
              <w:rPr>
                <w:rFonts w:ascii="Arial" w:hAnsi="Arial" w:cs="Arial"/>
                <w:sz w:val="24"/>
                <w:szCs w:val="24"/>
              </w:rPr>
              <w:t>≤ 2 mln €</w:t>
            </w:r>
          </w:p>
        </w:tc>
        <w:tc>
          <w:tcPr>
            <w:tcW w:w="1040" w:type="dxa"/>
            <w:vMerge/>
          </w:tcPr>
          <w:p w14:paraId="30A52547" w14:textId="77777777" w:rsidR="00F82380" w:rsidRPr="007520F9" w:rsidRDefault="00F82380" w:rsidP="007520F9">
            <w:pPr>
              <w:spacing w:after="160" w:line="360" w:lineRule="auto"/>
              <w:contextualSpacing/>
              <w:rPr>
                <w:rFonts w:ascii="Arial" w:hAnsi="Arial" w:cs="Arial"/>
                <w:sz w:val="24"/>
                <w:szCs w:val="24"/>
              </w:rPr>
            </w:pPr>
          </w:p>
        </w:tc>
        <w:tc>
          <w:tcPr>
            <w:tcW w:w="1287" w:type="dxa"/>
          </w:tcPr>
          <w:p w14:paraId="4A93D801" w14:textId="1EC3CD88" w:rsidR="00F82380" w:rsidRPr="007520F9" w:rsidRDefault="00F82380" w:rsidP="007520F9">
            <w:pPr>
              <w:spacing w:after="160" w:line="360" w:lineRule="auto"/>
              <w:contextualSpacing/>
              <w:rPr>
                <w:rFonts w:ascii="Arial" w:hAnsi="Arial" w:cs="Arial"/>
                <w:sz w:val="24"/>
                <w:szCs w:val="24"/>
              </w:rPr>
            </w:pPr>
            <w:r w:rsidRPr="007520F9">
              <w:rPr>
                <w:rFonts w:ascii="Arial" w:hAnsi="Arial" w:cs="Arial"/>
                <w:sz w:val="24"/>
                <w:szCs w:val="24"/>
              </w:rPr>
              <w:t>≤ 2 mln €</w:t>
            </w:r>
          </w:p>
        </w:tc>
      </w:tr>
    </w:tbl>
    <w:p w14:paraId="359EB0CE" w14:textId="5520E72F" w:rsidR="003D74A8" w:rsidRPr="007520F9" w:rsidRDefault="003D74A8" w:rsidP="003A0479">
      <w:pPr>
        <w:spacing w:before="360" w:line="360" w:lineRule="auto"/>
        <w:rPr>
          <w:rFonts w:ascii="Arial" w:hAnsi="Arial" w:cs="Arial"/>
          <w:sz w:val="24"/>
          <w:szCs w:val="24"/>
        </w:rPr>
      </w:pPr>
      <w:r w:rsidRPr="007520F9">
        <w:rPr>
          <w:rFonts w:ascii="Arial" w:hAnsi="Arial" w:cs="Arial"/>
          <w:sz w:val="24"/>
          <w:szCs w:val="24"/>
        </w:rPr>
        <w:t>Ważną kwestią przy ustalaniu statusu jest także kwestia pozostawania w relacji przedsiębiorstw/podmiotów partnerskich/powiązanych. W sytuacji, gdy wnioskodawca pozostaje w relacji przedsiębiorstw/podmiotów powiązanych/partnerskich przy określeniu statusu uwzględnia się także odpowiednie dane dotyczące zatrudnienia oraz dane finansowe przedsiębiorstw/podmiotów partnerskich/powiązanych. W załączniku nr 1 do Rozporządzenia Komisji nr 651/2014, znajdują się wszystkie niezbędne informacje na temat sposobu ustalania statusu przedsiębiorstwa.</w:t>
      </w:r>
    </w:p>
    <w:p w14:paraId="7E948B5C" w14:textId="3C6409B2" w:rsidR="008C6EC6" w:rsidRPr="007520F9" w:rsidRDefault="008C6EC6" w:rsidP="00C55C1A">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D16CD6">
        <w:rPr>
          <w:rFonts w:ascii="Arial" w:hAnsi="Arial" w:cs="Arial"/>
          <w:b/>
          <w:sz w:val="24"/>
          <w:szCs w:val="24"/>
        </w:rPr>
        <w:lastRenderedPageBreak/>
        <w:t>UWAGA:</w:t>
      </w:r>
      <w:r w:rsidRPr="007520F9">
        <w:rPr>
          <w:rFonts w:ascii="Arial" w:hAnsi="Arial" w:cs="Arial"/>
          <w:sz w:val="24"/>
          <w:szCs w:val="24"/>
        </w:rPr>
        <w:t xml:space="preserve"> Jeśli status przedsiębiorstwa to</w:t>
      </w:r>
      <w:r w:rsidR="004F40CA">
        <w:rPr>
          <w:rFonts w:ascii="Arial" w:hAnsi="Arial" w:cs="Arial"/>
          <w:sz w:val="24"/>
          <w:szCs w:val="24"/>
        </w:rPr>
        <w:t xml:space="preserve"> „Duże przedsiębiorstwo” lub</w:t>
      </w:r>
      <w:r w:rsidRPr="007520F9">
        <w:rPr>
          <w:rFonts w:ascii="Arial" w:hAnsi="Arial" w:cs="Arial"/>
          <w:sz w:val="24"/>
          <w:szCs w:val="24"/>
        </w:rPr>
        <w:t xml:space="preserve"> „Inne ze względu na powiązanie z organami publicznymi”, nie wypełniaj tabeli wskazanej w punkcie </w:t>
      </w:r>
      <w:r w:rsidR="004F40CA">
        <w:rPr>
          <w:rFonts w:ascii="Arial" w:hAnsi="Arial" w:cs="Arial"/>
          <w:sz w:val="24"/>
          <w:szCs w:val="24"/>
        </w:rPr>
        <w:t xml:space="preserve">3 oraz </w:t>
      </w:r>
      <w:r w:rsidRPr="007520F9">
        <w:rPr>
          <w:rFonts w:ascii="Arial" w:hAnsi="Arial" w:cs="Arial"/>
          <w:sz w:val="24"/>
          <w:szCs w:val="24"/>
        </w:rPr>
        <w:t xml:space="preserve">4. </w:t>
      </w:r>
    </w:p>
    <w:p w14:paraId="23F196EB" w14:textId="1475AEB1" w:rsidR="003D74A8" w:rsidRPr="003A0479" w:rsidRDefault="003D74A8" w:rsidP="00C55C1A">
      <w:pPr>
        <w:pStyle w:val="Akapitzlist"/>
        <w:numPr>
          <w:ilvl w:val="0"/>
          <w:numId w:val="1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Pozostaje w relacji przedsiębiorstw</w:t>
      </w:r>
      <w:r w:rsidR="004F40CA">
        <w:rPr>
          <w:rFonts w:ascii="Arial" w:hAnsi="Arial" w:cs="Arial"/>
          <w:b/>
          <w:sz w:val="24"/>
          <w:szCs w:val="24"/>
        </w:rPr>
        <w:t xml:space="preserve"> powiązanych </w:t>
      </w:r>
      <w:r w:rsidRPr="003A0479">
        <w:rPr>
          <w:rFonts w:ascii="Arial" w:hAnsi="Arial" w:cs="Arial"/>
          <w:b/>
          <w:sz w:val="24"/>
          <w:szCs w:val="24"/>
        </w:rPr>
        <w:t xml:space="preserve">/ </w:t>
      </w:r>
      <w:bookmarkStart w:id="3" w:name="_GoBack"/>
      <w:r w:rsidR="00D35E4E">
        <w:rPr>
          <w:rFonts w:ascii="Arial" w:hAnsi="Arial" w:cs="Arial"/>
          <w:b/>
          <w:sz w:val="24"/>
          <w:szCs w:val="24"/>
        </w:rPr>
        <w:br/>
      </w:r>
      <w:bookmarkEnd w:id="3"/>
      <w:r w:rsidRPr="003A0479">
        <w:rPr>
          <w:rFonts w:ascii="Arial" w:hAnsi="Arial" w:cs="Arial"/>
          <w:b/>
          <w:sz w:val="24"/>
          <w:szCs w:val="24"/>
        </w:rPr>
        <w:t>podmiotów partnerskich z:</w:t>
      </w:r>
    </w:p>
    <w:p w14:paraId="0637852C" w14:textId="79E8AB74" w:rsidR="00B7545B" w:rsidRDefault="008C6EC6" w:rsidP="007520F9">
      <w:pPr>
        <w:spacing w:before="120" w:after="160" w:line="360" w:lineRule="auto"/>
        <w:rPr>
          <w:rFonts w:ascii="Arial" w:hAnsi="Arial" w:cs="Arial"/>
          <w:sz w:val="24"/>
          <w:szCs w:val="24"/>
        </w:rPr>
      </w:pPr>
      <w:r w:rsidRPr="007520F9">
        <w:rPr>
          <w:rFonts w:ascii="Arial" w:hAnsi="Arial" w:cs="Arial"/>
          <w:sz w:val="24"/>
          <w:szCs w:val="24"/>
        </w:rPr>
        <w:t>W punkcie tym, we wskazanej tabeli w</w:t>
      </w:r>
      <w:r w:rsidR="003D74A8" w:rsidRPr="007520F9">
        <w:rPr>
          <w:rFonts w:ascii="Arial" w:hAnsi="Arial" w:cs="Arial"/>
          <w:sz w:val="24"/>
          <w:szCs w:val="24"/>
        </w:rPr>
        <w:t xml:space="preserve">ymień </w:t>
      </w:r>
      <w:r w:rsidRPr="007520F9">
        <w:rPr>
          <w:rFonts w:ascii="Arial" w:hAnsi="Arial" w:cs="Arial"/>
          <w:sz w:val="24"/>
          <w:szCs w:val="24"/>
        </w:rPr>
        <w:t>wszystkie podmioty powiązane</w:t>
      </w:r>
      <w:r w:rsidR="003B711A" w:rsidRPr="007520F9">
        <w:rPr>
          <w:rFonts w:ascii="Arial" w:hAnsi="Arial" w:cs="Arial"/>
          <w:sz w:val="24"/>
          <w:szCs w:val="24"/>
        </w:rPr>
        <w:t xml:space="preserve"> oraz partnerskie </w:t>
      </w:r>
      <w:r w:rsidR="003D74A8" w:rsidRPr="007520F9">
        <w:rPr>
          <w:rFonts w:ascii="Arial" w:hAnsi="Arial" w:cs="Arial"/>
          <w:sz w:val="24"/>
          <w:szCs w:val="24"/>
        </w:rPr>
        <w:t>z podaniem ich nazw oraz numerów NIP i REGON.</w:t>
      </w:r>
      <w:r w:rsidR="00E32192" w:rsidRPr="007520F9">
        <w:rPr>
          <w:rFonts w:ascii="Arial" w:hAnsi="Arial" w:cs="Arial"/>
          <w:sz w:val="24"/>
          <w:szCs w:val="24"/>
        </w:rPr>
        <w:t xml:space="preserve"> Definicje przedsiębiorstw partnerskich i powiązanych znajdują się w art. 3 załącznika I do GBER.</w:t>
      </w:r>
      <w:r w:rsidR="003B711A" w:rsidRPr="007520F9">
        <w:rPr>
          <w:rFonts w:ascii="Arial" w:hAnsi="Arial" w:cs="Arial"/>
          <w:sz w:val="24"/>
          <w:szCs w:val="24"/>
        </w:rPr>
        <w:t xml:space="preserve"> Pamiętaj, że jeśli Twój projekt będzie objęty pomocą publiczną i/lub pomocą de minimis, podmioty te musisz również wskazać w odpowiednich formularzach dotyczących pomocy. Kwestia istniejących powiązań może mieć bowiem znaczenie także w zakresie badania sytuacji ekonomicznej, a nie tylko ustalenia wielkości przedsiębiorstwa.</w:t>
      </w:r>
    </w:p>
    <w:p w14:paraId="1AFCAD9F" w14:textId="77777777" w:rsidR="00E32192" w:rsidRPr="003A0479" w:rsidRDefault="00E32192" w:rsidP="00C55C1A">
      <w:pPr>
        <w:pStyle w:val="Akapitzlist"/>
        <w:numPr>
          <w:ilvl w:val="0"/>
          <w:numId w:val="1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Dane stosowane do określenia kategorii MŚP</w:t>
      </w:r>
    </w:p>
    <w:p w14:paraId="2D84BD2F" w14:textId="4E781C23" w:rsidR="007B6F9E" w:rsidRPr="007520F9" w:rsidRDefault="007B6F9E" w:rsidP="007520F9">
      <w:pPr>
        <w:spacing w:before="120" w:after="160" w:line="360" w:lineRule="auto"/>
        <w:rPr>
          <w:rFonts w:ascii="Arial" w:hAnsi="Arial" w:cs="Arial"/>
          <w:sz w:val="24"/>
          <w:szCs w:val="24"/>
        </w:rPr>
      </w:pPr>
      <w:r w:rsidRPr="007520F9">
        <w:rPr>
          <w:rFonts w:ascii="Arial" w:hAnsi="Arial" w:cs="Arial"/>
          <w:sz w:val="24"/>
          <w:szCs w:val="24"/>
        </w:rPr>
        <w:t>W punkcie tym, we wskazanej tabeli, podaj dane finansowe (tj. przychodu netto i sumy bilansowej) i liczby zatrudnionych. Wskaż w wierszu „Okresy sprawozdawcze” konkretny rok, do którego odnoszą się w/w dane, zgodnie z informacją w nagłówku tabeli.</w:t>
      </w:r>
    </w:p>
    <w:p w14:paraId="5B8E7ED9" w14:textId="146389E2" w:rsidR="002B427A" w:rsidRPr="007520F9" w:rsidRDefault="007B6F9E" w:rsidP="007520F9">
      <w:pPr>
        <w:spacing w:before="120" w:after="160" w:line="360" w:lineRule="auto"/>
        <w:rPr>
          <w:rFonts w:ascii="Arial" w:hAnsi="Arial" w:cs="Arial"/>
          <w:sz w:val="24"/>
          <w:szCs w:val="24"/>
        </w:rPr>
      </w:pPr>
      <w:r w:rsidRPr="007520F9">
        <w:rPr>
          <w:rFonts w:ascii="Arial" w:hAnsi="Arial" w:cs="Arial"/>
          <w:sz w:val="24"/>
          <w:szCs w:val="24"/>
        </w:rPr>
        <w:t>Dane finansowe oraz dot. zatrudnienia wskaż łącznie</w:t>
      </w:r>
      <w:r w:rsidR="002B427A" w:rsidRPr="007520F9">
        <w:rPr>
          <w:rFonts w:ascii="Arial" w:hAnsi="Arial" w:cs="Arial"/>
          <w:sz w:val="24"/>
          <w:szCs w:val="24"/>
        </w:rPr>
        <w:t xml:space="preserve"> dla </w:t>
      </w:r>
      <w:r w:rsidR="00553E32" w:rsidRPr="007520F9">
        <w:rPr>
          <w:rFonts w:ascii="Arial" w:hAnsi="Arial" w:cs="Arial"/>
          <w:sz w:val="24"/>
          <w:szCs w:val="24"/>
        </w:rPr>
        <w:t>całego</w:t>
      </w:r>
      <w:r w:rsidR="002B427A" w:rsidRPr="007520F9">
        <w:rPr>
          <w:rFonts w:ascii="Arial" w:hAnsi="Arial" w:cs="Arial"/>
          <w:sz w:val="24"/>
          <w:szCs w:val="24"/>
        </w:rPr>
        <w:t xml:space="preserve"> przedsiębiorstwa</w:t>
      </w:r>
      <w:r w:rsidR="00E32192" w:rsidRPr="007520F9">
        <w:rPr>
          <w:rFonts w:ascii="Arial" w:hAnsi="Arial" w:cs="Arial"/>
          <w:sz w:val="24"/>
          <w:szCs w:val="24"/>
        </w:rPr>
        <w:t>, jak i przedsiębiorstw powiązanych, a także proporcjonalnie dane dot. przedsiębiorstw partnerskich (zgodnie z załącznikiem I do rozporządzenia 651/2014, w szczególności jego art. 6).</w:t>
      </w:r>
    </w:p>
    <w:p w14:paraId="6BF944D0" w14:textId="6CD451D0" w:rsidR="001228B4" w:rsidRPr="007520F9" w:rsidRDefault="00E32192" w:rsidP="007520F9">
      <w:pPr>
        <w:spacing w:before="120" w:after="160" w:line="360" w:lineRule="auto"/>
        <w:rPr>
          <w:rFonts w:ascii="Arial" w:hAnsi="Arial" w:cs="Arial"/>
          <w:sz w:val="24"/>
          <w:szCs w:val="24"/>
        </w:rPr>
      </w:pPr>
      <w:r w:rsidRPr="007520F9">
        <w:rPr>
          <w:rFonts w:ascii="Arial" w:hAnsi="Arial" w:cs="Arial"/>
          <w:sz w:val="24"/>
          <w:szCs w:val="24"/>
        </w:rPr>
        <w:t xml:space="preserve">W przypadku, gdy </w:t>
      </w:r>
      <w:r w:rsidR="00292CB3" w:rsidRPr="007520F9">
        <w:rPr>
          <w:rFonts w:ascii="Arial" w:hAnsi="Arial" w:cs="Arial"/>
          <w:sz w:val="24"/>
          <w:szCs w:val="24"/>
        </w:rPr>
        <w:t>wnioskodawca</w:t>
      </w:r>
      <w:r w:rsidRPr="007520F9">
        <w:rPr>
          <w:rFonts w:ascii="Arial" w:hAnsi="Arial" w:cs="Arial"/>
          <w:sz w:val="24"/>
          <w:szCs w:val="24"/>
        </w:rPr>
        <w:t xml:space="preserve"> podmiotem samodzielnym, </w:t>
      </w:r>
      <w:r w:rsidR="002B427A" w:rsidRPr="007520F9">
        <w:rPr>
          <w:rFonts w:ascii="Arial" w:hAnsi="Arial" w:cs="Arial"/>
          <w:sz w:val="24"/>
          <w:szCs w:val="24"/>
        </w:rPr>
        <w:t>wskaż dane</w:t>
      </w:r>
      <w:r w:rsidRPr="007520F9">
        <w:rPr>
          <w:rFonts w:ascii="Arial" w:hAnsi="Arial" w:cs="Arial"/>
          <w:sz w:val="24"/>
          <w:szCs w:val="24"/>
        </w:rPr>
        <w:t xml:space="preserve"> wyłącznie tego podmiotu. Analogicznie wypełni</w:t>
      </w:r>
      <w:r w:rsidR="002B427A" w:rsidRPr="007520F9">
        <w:rPr>
          <w:rFonts w:ascii="Arial" w:hAnsi="Arial" w:cs="Arial"/>
          <w:sz w:val="24"/>
          <w:szCs w:val="24"/>
        </w:rPr>
        <w:t>j</w:t>
      </w:r>
      <w:r w:rsidRPr="007520F9">
        <w:rPr>
          <w:rFonts w:ascii="Arial" w:hAnsi="Arial" w:cs="Arial"/>
          <w:sz w:val="24"/>
          <w:szCs w:val="24"/>
        </w:rPr>
        <w:t xml:space="preserve"> tabelę dot. poszczególnych partnerów w projekcie (patrz akapit wyżej). </w:t>
      </w:r>
      <w:r w:rsidR="002B427A" w:rsidRPr="007520F9">
        <w:rPr>
          <w:rFonts w:ascii="Arial" w:hAnsi="Arial" w:cs="Arial"/>
          <w:sz w:val="24"/>
          <w:szCs w:val="24"/>
        </w:rPr>
        <w:t xml:space="preserve">Skopiuj tabelę tyle </w:t>
      </w:r>
      <w:r w:rsidR="0058030F" w:rsidRPr="007520F9">
        <w:rPr>
          <w:rFonts w:ascii="Arial" w:hAnsi="Arial" w:cs="Arial"/>
          <w:sz w:val="24"/>
          <w:szCs w:val="24"/>
        </w:rPr>
        <w:t>razy,</w:t>
      </w:r>
      <w:r w:rsidR="002B427A" w:rsidRPr="007520F9">
        <w:rPr>
          <w:rFonts w:ascii="Arial" w:hAnsi="Arial" w:cs="Arial"/>
          <w:sz w:val="24"/>
          <w:szCs w:val="24"/>
        </w:rPr>
        <w:t xml:space="preserve"> ile w pr</w:t>
      </w:r>
      <w:r w:rsidR="001228B4" w:rsidRPr="007520F9">
        <w:rPr>
          <w:rFonts w:ascii="Arial" w:hAnsi="Arial" w:cs="Arial"/>
          <w:sz w:val="24"/>
          <w:szCs w:val="24"/>
        </w:rPr>
        <w:t>ojekcie występuje par</w:t>
      </w:r>
      <w:r w:rsidR="00292CB3" w:rsidRPr="007520F9">
        <w:rPr>
          <w:rFonts w:ascii="Arial" w:hAnsi="Arial" w:cs="Arial"/>
          <w:sz w:val="24"/>
          <w:szCs w:val="24"/>
        </w:rPr>
        <w:t>t</w:t>
      </w:r>
      <w:r w:rsidR="001228B4" w:rsidRPr="007520F9">
        <w:rPr>
          <w:rFonts w:ascii="Arial" w:hAnsi="Arial" w:cs="Arial"/>
          <w:sz w:val="24"/>
          <w:szCs w:val="24"/>
        </w:rPr>
        <w:t>nerów. Podpisz którego partnera dotyczą wskazane informacje.</w:t>
      </w:r>
    </w:p>
    <w:p w14:paraId="34B53C7C" w14:textId="63F2CA7A" w:rsidR="003D74A8" w:rsidRPr="007520F9" w:rsidRDefault="001228B4" w:rsidP="007520F9">
      <w:pPr>
        <w:spacing w:before="120" w:after="160" w:line="360" w:lineRule="auto"/>
        <w:rPr>
          <w:rFonts w:ascii="Arial" w:hAnsi="Arial" w:cs="Arial"/>
          <w:sz w:val="24"/>
          <w:szCs w:val="24"/>
        </w:rPr>
      </w:pPr>
      <w:r w:rsidRPr="007520F9">
        <w:rPr>
          <w:rFonts w:ascii="Arial" w:hAnsi="Arial" w:cs="Arial"/>
          <w:sz w:val="24"/>
          <w:szCs w:val="24"/>
        </w:rPr>
        <w:t>Pamiętaj, że u</w:t>
      </w:r>
      <w:r w:rsidR="00E32192" w:rsidRPr="007520F9">
        <w:rPr>
          <w:rFonts w:ascii="Arial" w:hAnsi="Arial" w:cs="Arial"/>
          <w:sz w:val="24"/>
          <w:szCs w:val="24"/>
        </w:rPr>
        <w:t xml:space="preserve">stalając wielkość przedsiębiorstwa, należy w pierwszej kolejności </w:t>
      </w:r>
      <w:r w:rsidR="0058030F" w:rsidRPr="007520F9">
        <w:rPr>
          <w:rFonts w:ascii="Arial" w:hAnsi="Arial" w:cs="Arial"/>
          <w:sz w:val="24"/>
          <w:szCs w:val="24"/>
        </w:rPr>
        <w:t>rozstrzygnąć,</w:t>
      </w:r>
      <w:r w:rsidR="00E32192" w:rsidRPr="007520F9">
        <w:rPr>
          <w:rFonts w:ascii="Arial" w:hAnsi="Arial" w:cs="Arial"/>
          <w:sz w:val="24"/>
          <w:szCs w:val="24"/>
        </w:rPr>
        <w:t xml:space="preserve"> czy jest ono niezależne, czy też należy do grupy. Grupa ta nie musi </w:t>
      </w:r>
      <w:r w:rsidR="00E32192" w:rsidRPr="007520F9">
        <w:rPr>
          <w:rFonts w:ascii="Arial" w:hAnsi="Arial" w:cs="Arial"/>
          <w:sz w:val="24"/>
          <w:szCs w:val="24"/>
        </w:rPr>
        <w:lastRenderedPageBreak/>
        <w:t>mieć charakteru oficjalnego. Przynależność do grupy oceniana jest z funkcjonalnego i gospodarczego punktu widzenia</w:t>
      </w:r>
    </w:p>
    <w:p w14:paraId="2EE10EC8" w14:textId="116FFC60" w:rsidR="007B6F9E" w:rsidRPr="007520F9" w:rsidRDefault="00D16CD6" w:rsidP="00C55C1A">
      <w:pPr>
        <w:pBdr>
          <w:top w:val="dashed" w:sz="8" w:space="1" w:color="auto"/>
          <w:left w:val="dashed" w:sz="8" w:space="4" w:color="auto"/>
          <w:bottom w:val="dashed" w:sz="8" w:space="1" w:color="auto"/>
          <w:right w:val="dashed" w:sz="8" w:space="4" w:color="auto"/>
        </w:pBdr>
        <w:spacing w:before="120" w:after="160" w:line="360" w:lineRule="auto"/>
        <w:rPr>
          <w:rFonts w:ascii="Arial" w:hAnsi="Arial" w:cs="Arial"/>
          <w:sz w:val="24"/>
          <w:szCs w:val="24"/>
        </w:rPr>
      </w:pPr>
      <w:r w:rsidRPr="007520F9">
        <w:rPr>
          <w:rFonts w:ascii="Arial" w:hAnsi="Arial" w:cs="Arial"/>
          <w:b/>
          <w:sz w:val="24"/>
          <w:szCs w:val="24"/>
        </w:rPr>
        <w:t>WAŻNE:</w:t>
      </w:r>
      <w:r w:rsidR="00D35082" w:rsidRPr="007520F9">
        <w:rPr>
          <w:rFonts w:ascii="Arial" w:hAnsi="Arial" w:cs="Arial"/>
          <w:b/>
          <w:sz w:val="24"/>
          <w:szCs w:val="24"/>
        </w:rPr>
        <w:t xml:space="preserve"> </w:t>
      </w:r>
      <w:r w:rsidR="004A4BD7" w:rsidRPr="007520F9">
        <w:rPr>
          <w:rFonts w:ascii="Arial" w:hAnsi="Arial" w:cs="Arial"/>
          <w:sz w:val="24"/>
          <w:szCs w:val="24"/>
        </w:rPr>
        <w:t xml:space="preserve">w </w:t>
      </w:r>
      <w:r w:rsidR="00D35082" w:rsidRPr="007520F9">
        <w:rPr>
          <w:rFonts w:ascii="Arial" w:hAnsi="Arial" w:cs="Arial"/>
          <w:sz w:val="24"/>
          <w:szCs w:val="24"/>
        </w:rPr>
        <w:t>art. 4 Załącznika nr I do rozporządzenia 651/2014 wskazano szczegóły dot. danych wykorzystywanych do określenia liczby personelu, kwot finansowych i okresów referencyjnych.</w:t>
      </w:r>
    </w:p>
    <w:p w14:paraId="29BDC9C5" w14:textId="625CA4E4" w:rsidR="001228B4" w:rsidRPr="007520F9" w:rsidRDefault="001228B4" w:rsidP="007520F9">
      <w:pPr>
        <w:spacing w:before="120" w:after="160" w:line="360" w:lineRule="auto"/>
        <w:rPr>
          <w:rFonts w:ascii="Arial" w:hAnsi="Arial" w:cs="Arial"/>
          <w:sz w:val="24"/>
          <w:szCs w:val="24"/>
        </w:rPr>
      </w:pPr>
      <w:r w:rsidRPr="007520F9">
        <w:rPr>
          <w:rFonts w:ascii="Arial" w:hAnsi="Arial" w:cs="Arial"/>
          <w:sz w:val="24"/>
          <w:szCs w:val="24"/>
        </w:rPr>
        <w:t>Dane dotyczące zatrudnienia, przychodów netto i sumy bilansowej przyjmij z zamkniętego roku obrotowego. Wyrażone w PLN wielkości przelicz na EUR według średniego kursu ogłaszanego przez Narodowy Bank Polski w ostatnim dniu roku obrotowego wybranego do określenia statusu przedsiębiorcy.</w:t>
      </w:r>
    </w:p>
    <w:p w14:paraId="172EA3FC" w14:textId="38263CA2" w:rsidR="001228B4" w:rsidRPr="007520F9" w:rsidRDefault="001228B4" w:rsidP="007520F9">
      <w:pPr>
        <w:spacing w:before="120" w:after="160" w:line="360" w:lineRule="auto"/>
        <w:rPr>
          <w:rFonts w:ascii="Arial" w:hAnsi="Arial" w:cs="Arial"/>
          <w:sz w:val="24"/>
          <w:szCs w:val="24"/>
        </w:rPr>
      </w:pPr>
      <w:r w:rsidRPr="007520F9">
        <w:rPr>
          <w:rFonts w:ascii="Arial" w:hAnsi="Arial" w:cs="Arial"/>
          <w:sz w:val="24"/>
          <w:szCs w:val="24"/>
        </w:rPr>
        <w:t>Jeśli przedsiębiorstwo przekroczy próg zatrudnienia lub pułap finansowy w trakcie ostatniego roku, nie wpłynie to na jego wielkość. Zachowuje ono status, jaki miało na początku roku, chyba że zjawisko to powtarza się w ciągu kolejnych dwóch lat – wówczas następuje zmiana statusu.</w:t>
      </w:r>
    </w:p>
    <w:p w14:paraId="7853F67D" w14:textId="35421F5F" w:rsidR="00271E06" w:rsidRPr="007520F9" w:rsidRDefault="001228B4" w:rsidP="007520F9">
      <w:pPr>
        <w:spacing w:before="120" w:after="160" w:line="360" w:lineRule="auto"/>
        <w:rPr>
          <w:rFonts w:ascii="Arial" w:hAnsi="Arial" w:cs="Arial"/>
          <w:sz w:val="24"/>
          <w:szCs w:val="24"/>
        </w:rPr>
      </w:pPr>
      <w:r w:rsidRPr="007520F9">
        <w:rPr>
          <w:rFonts w:ascii="Arial" w:hAnsi="Arial" w:cs="Arial"/>
          <w:sz w:val="24"/>
          <w:szCs w:val="24"/>
        </w:rPr>
        <w:t>Wyjątkowo, gdy przedsiębiorstwo mające status MŚP zostanie przejęte przez przedsiębiorstwo duże, utraci swój status z dniem przejęcia, a okres dwóch lat obrachunkowych przewidzianych na taką zmianę nie będzie miał w tej sytuacji zastosowania (interpretacja Komisji z dnia 26.09.2011 r.).</w:t>
      </w:r>
    </w:p>
    <w:sectPr w:rsidR="00271E06" w:rsidRPr="007520F9" w:rsidSect="00B7545B">
      <w:headerReference w:type="default" r:id="rId12"/>
      <w:footerReference w:type="default" r:id="rId13"/>
      <w:footerReference w:type="first" r:id="rId14"/>
      <w:pgSz w:w="11906" w:h="16838"/>
      <w:pgMar w:top="184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6B4E0" w14:textId="77777777" w:rsidR="0076725F" w:rsidRDefault="0076725F" w:rsidP="00E8539D">
      <w:pPr>
        <w:spacing w:after="0" w:line="240" w:lineRule="auto"/>
      </w:pPr>
      <w:r>
        <w:separator/>
      </w:r>
    </w:p>
  </w:endnote>
  <w:endnote w:type="continuationSeparator" w:id="0">
    <w:p w14:paraId="5D036C09" w14:textId="77777777" w:rsidR="0076725F" w:rsidRDefault="0076725F" w:rsidP="00E8539D">
      <w:pPr>
        <w:spacing w:after="0" w:line="240" w:lineRule="auto"/>
      </w:pPr>
      <w:r>
        <w:continuationSeparator/>
      </w:r>
    </w:p>
  </w:endnote>
  <w:endnote w:type="continuationNotice" w:id="1">
    <w:p w14:paraId="2F4DFECA" w14:textId="77777777" w:rsidR="0076725F" w:rsidRDefault="007672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3331856"/>
      <w:docPartObj>
        <w:docPartGallery w:val="Page Numbers (Bottom of Page)"/>
        <w:docPartUnique/>
      </w:docPartObj>
    </w:sdtPr>
    <w:sdtEndPr/>
    <w:sdtContent>
      <w:p w14:paraId="5762AF6C" w14:textId="4CEB1336" w:rsidR="00B7545B" w:rsidRDefault="00B7545B">
        <w:pPr>
          <w:pStyle w:val="Stopka"/>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77F3F" w14:textId="11B492D2" w:rsidR="00B7545B" w:rsidRDefault="00B7545B">
    <w:pPr>
      <w:pStyle w:val="Stopka"/>
      <w:jc w:val="right"/>
    </w:pPr>
    <w:r>
      <w:rPr>
        <w:noProof/>
        <w:lang w:eastAsia="pl-PL"/>
      </w:rPr>
      <w:drawing>
        <wp:inline distT="0" distB="0" distL="0" distR="0" wp14:anchorId="5771493F" wp14:editId="3013D040">
          <wp:extent cx="5755005" cy="420370"/>
          <wp:effectExtent l="0" t="0" r="0" b="0"/>
          <wp:docPr id="4" name="Obraz 4"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sdt>
    <w:sdtPr>
      <w:id w:val="1370801624"/>
      <w:docPartObj>
        <w:docPartGallery w:val="Page Numbers (Bottom of Page)"/>
        <w:docPartUnique/>
      </w:docPartObj>
    </w:sdtPr>
    <w:sdtEndPr/>
    <w:sdtContent>
      <w:p w14:paraId="3465FA44" w14:textId="2EB5E9CF" w:rsidR="00B7545B" w:rsidRDefault="00B7545B">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4A869" w14:textId="77777777" w:rsidR="0076725F" w:rsidRDefault="0076725F" w:rsidP="00E8539D">
      <w:pPr>
        <w:spacing w:after="0" w:line="240" w:lineRule="auto"/>
      </w:pPr>
      <w:r>
        <w:separator/>
      </w:r>
    </w:p>
  </w:footnote>
  <w:footnote w:type="continuationSeparator" w:id="0">
    <w:p w14:paraId="5D5BEA0B" w14:textId="77777777" w:rsidR="0076725F" w:rsidRDefault="0076725F" w:rsidP="00E8539D">
      <w:pPr>
        <w:spacing w:after="0" w:line="240" w:lineRule="auto"/>
      </w:pPr>
      <w:r>
        <w:continuationSeparator/>
      </w:r>
    </w:p>
  </w:footnote>
  <w:footnote w:type="continuationNotice" w:id="1">
    <w:p w14:paraId="59A72D54" w14:textId="77777777" w:rsidR="0076725F" w:rsidRDefault="0076725F">
      <w:pPr>
        <w:spacing w:after="0" w:line="240" w:lineRule="auto"/>
      </w:pPr>
    </w:p>
  </w:footnote>
  <w:footnote w:id="2">
    <w:p w14:paraId="34104E1F" w14:textId="77777777" w:rsidR="007C5766" w:rsidRPr="00B7545B" w:rsidRDefault="007C5766" w:rsidP="007C5766">
      <w:pPr>
        <w:pStyle w:val="Tekstprzypisudolnego"/>
        <w:rPr>
          <w:rFonts w:ascii="Arial" w:hAnsi="Arial" w:cs="Arial"/>
        </w:rPr>
      </w:pPr>
      <w:r>
        <w:rPr>
          <w:rStyle w:val="Odwoanieprzypisudolnego"/>
        </w:rPr>
        <w:footnoteRef/>
      </w:r>
      <w:r>
        <w:t xml:space="preserve"> </w:t>
      </w:r>
      <w:r w:rsidRPr="00B7545B">
        <w:rPr>
          <w:rFonts w:ascii="Arial" w:hAnsi="Arial" w:cs="Arial"/>
        </w:rPr>
        <w:t>Zob. np. wyrok Sądu WYROK SĄDU z dnia 30 kwietnia 2019 r. w sprawie T</w:t>
      </w:r>
      <w:r w:rsidRPr="00B7545B">
        <w:rPr>
          <w:rFonts w:ascii="Cambria Math" w:hAnsi="Cambria Math" w:cs="Cambria Math"/>
        </w:rPr>
        <w:t>‑</w:t>
      </w:r>
      <w:r w:rsidRPr="00B7545B">
        <w:rPr>
          <w:rFonts w:ascii="Arial" w:hAnsi="Arial" w:cs="Arial"/>
        </w:rPr>
        <w:t>747/17 (pkt 83 zd. pierwsze),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3">
    <w:p w14:paraId="7091C60A" w14:textId="75F7186B" w:rsidR="007C5766" w:rsidRDefault="007C5766" w:rsidP="007C5766">
      <w:pPr>
        <w:pStyle w:val="Tekstprzypisudolnego"/>
        <w:jc w:val="both"/>
      </w:pPr>
      <w:r w:rsidRPr="00820346">
        <w:rPr>
          <w:rStyle w:val="Odwoanieprzypisudolnego"/>
          <w:sz w:val="18"/>
        </w:rPr>
        <w:footnoteRef/>
      </w:r>
      <w:r w:rsidRPr="00820346">
        <w:rPr>
          <w:sz w:val="18"/>
        </w:rPr>
        <w:t xml:space="preserve"> </w:t>
      </w:r>
      <w:r w:rsidRPr="00B7545B">
        <w:rPr>
          <w:rFonts w:ascii="Arial" w:hAnsi="Arial" w:cs="Arial"/>
        </w:rPr>
        <w:t xml:space="preserve">Zgodnie z pkt 207 Zawiadomienia Komisji w sprawie pojęcia pomocy państwa w rozumieniu art. 107 ust. 1 Traktatu o funkcjonowaniu Unii Europejskiej, w przypadkach infrastruktury podwójnego wykorzystania, jeżeli jest ona prawie wyłącznie wykorzystywana do celów działalności niegospodarczej, Komisja uważa, że finansowanie takiej infrastruktury może w całości wykraczać poza zakres zasad pomocy państwa, pod </w:t>
      </w:r>
      <w:r w:rsidR="0058030F" w:rsidRPr="00B7545B">
        <w:rPr>
          <w:rFonts w:ascii="Arial" w:hAnsi="Arial" w:cs="Arial"/>
        </w:rPr>
        <w:t>warunkiem,</w:t>
      </w:r>
      <w:r w:rsidRPr="00B7545B">
        <w:rPr>
          <w:rFonts w:ascii="Arial" w:hAnsi="Arial" w:cs="Arial"/>
        </w:rPr>
        <w:t xml:space="preserve"> że użytkowanie do celów działalności gospodarczej ma charakter czysto pomocniczy. Działalność gospodarcza ma charakter czysto pomocniczy, jeżeli jest to działalność bezpośrednio powiązana z eksploatacją infrastruktury, działalność konieczna do eksploatacji infrastruktury lub działalność nieodłącznie związana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mieć ograniczony zakres, w odniesieniu do wydajności infrastruktury (użytkowanie infrastruktury do celów gospodarczych można uznać za działalność pomocniczą, jeżeli wydajność przydzielana co roku na taką działalność nie przekracza 20% całkowitej rocznej wydajności infrastruktury). Przykładem działalności gospodarczej o charakterze pomocniczym może być okazjonalny wynajem przez organizację badawczą sprzętu i laboratoria partnerom przemysłowym.</w:t>
      </w:r>
    </w:p>
  </w:footnote>
  <w:footnote w:id="4">
    <w:p w14:paraId="3079EB21" w14:textId="36E570A6" w:rsidR="007C5766" w:rsidRPr="00B7545B" w:rsidRDefault="007C5766" w:rsidP="007C5766">
      <w:pPr>
        <w:pStyle w:val="Tekstprzypisudolnego"/>
        <w:rPr>
          <w:rFonts w:ascii="Arial" w:hAnsi="Arial" w:cs="Arial"/>
        </w:rPr>
      </w:pPr>
      <w:r>
        <w:rPr>
          <w:rStyle w:val="Odwoanieprzypisudolnego"/>
        </w:rPr>
        <w:footnoteRef/>
      </w:r>
      <w:r w:rsidRPr="00B7545B">
        <w:rPr>
          <w:rFonts w:ascii="Arial" w:hAnsi="Arial" w:cs="Arial"/>
        </w:rPr>
        <w:t>Wyjątek może dot. przesłanki odnoszącej się do korzyści w przypadku projektów realizowanych w modelu pass-on (</w:t>
      </w:r>
      <w:r w:rsidR="0058030F" w:rsidRPr="00B7545B">
        <w:rPr>
          <w:rFonts w:ascii="Arial" w:hAnsi="Arial" w:cs="Arial"/>
        </w:rPr>
        <w:t>dot.</w:t>
      </w:r>
      <w:r w:rsidRPr="00B7545B">
        <w:rPr>
          <w:rFonts w:ascii="Arial" w:hAnsi="Arial" w:cs="Arial"/>
        </w:rPr>
        <w:t xml:space="preserve"> projektów parasolowych lub grantowych), jeżeli wykazane zostanie, iż cała korzyść przekazywana jest na niższy poziom.</w:t>
      </w:r>
    </w:p>
  </w:footnote>
  <w:footnote w:id="5">
    <w:p w14:paraId="2D828D15" w14:textId="77777777" w:rsidR="007C5766" w:rsidRPr="00B7545B" w:rsidRDefault="007C5766" w:rsidP="007C5766">
      <w:pPr>
        <w:pStyle w:val="Tekstprzypisudolnego"/>
        <w:rPr>
          <w:rFonts w:ascii="Arial" w:hAnsi="Arial" w:cs="Arial"/>
        </w:rPr>
      </w:pPr>
      <w:r w:rsidRPr="00B7545B">
        <w:rPr>
          <w:rFonts w:ascii="Arial" w:hAnsi="Arial" w:cs="Arial"/>
        </w:rPr>
        <w:footnoteRef/>
      </w:r>
      <w:r w:rsidRPr="00B7545B">
        <w:rPr>
          <w:rFonts w:ascii="Arial" w:hAnsi="Arial" w:cs="Arial"/>
        </w:rPr>
        <w:t xml:space="preserve">  Zobacz np. wyrok z 1980 r. w sprawie 730/79 Philip Moris, Rec. S.267, pkt 11; wyrok z 2000 w sprawach połączonych T-298/07, T-312/97 Alzetta, Rec. S. II-2325, pkt 80; wyrok z 2005 r. w sprawie C-172/03 Heiser, Zb.Obrz. s. I—1627, pkt 55; wyrok z 2000 w sprawie T-55/99 CETL, Rec. S. II-3207, pkt 89; wyrok z 2003 r.  w sprawie C-280/00 Altmark Trans, Rec. S. I-7747, pkt 81).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E176A" w14:textId="6900A1BE" w:rsidR="001B5BF6" w:rsidRPr="00E557AB" w:rsidRDefault="001B5BF6" w:rsidP="001B5BF6">
    <w:pPr>
      <w:spacing w:after="120"/>
      <w:jc w:val="right"/>
      <w:rPr>
        <w:rFonts w:asciiTheme="minorHAnsi" w:hAnsiTheme="minorHAnsi" w:cs="Arial"/>
        <w:b/>
        <w:bCs/>
        <w:color w:val="808080" w:themeColor="background1" w:themeShade="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31504"/>
    <w:multiLevelType w:val="hybridMultilevel"/>
    <w:tmpl w:val="C7BCF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9477EE8"/>
    <w:multiLevelType w:val="hybridMultilevel"/>
    <w:tmpl w:val="B4FC99DC"/>
    <w:lvl w:ilvl="0" w:tplc="04150011">
      <w:start w:val="1"/>
      <w:numFmt w:val="decimal"/>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977686"/>
    <w:multiLevelType w:val="hybridMultilevel"/>
    <w:tmpl w:val="31FAD02E"/>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FC1A9E"/>
    <w:multiLevelType w:val="hybridMultilevel"/>
    <w:tmpl w:val="DD26A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158A1"/>
    <w:multiLevelType w:val="hybridMultilevel"/>
    <w:tmpl w:val="9CE48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0662ACF"/>
    <w:multiLevelType w:val="hybridMultilevel"/>
    <w:tmpl w:val="1A40851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2ACD4545"/>
    <w:multiLevelType w:val="hybridMultilevel"/>
    <w:tmpl w:val="1DD4ADC6"/>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0339C2"/>
    <w:multiLevelType w:val="hybridMultilevel"/>
    <w:tmpl w:val="16A6291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A56D04"/>
    <w:multiLevelType w:val="hybridMultilevel"/>
    <w:tmpl w:val="3D94A45E"/>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713E1B"/>
    <w:multiLevelType w:val="hybridMultilevel"/>
    <w:tmpl w:val="11B80E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C91768"/>
    <w:multiLevelType w:val="hybridMultilevel"/>
    <w:tmpl w:val="3470FD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5E033B6"/>
    <w:multiLevelType w:val="hybridMultilevel"/>
    <w:tmpl w:val="C87A7140"/>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1A646E"/>
    <w:multiLevelType w:val="hybridMultilevel"/>
    <w:tmpl w:val="ECE4748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862FA7"/>
    <w:multiLevelType w:val="hybridMultilevel"/>
    <w:tmpl w:val="AEE8B1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9574F50"/>
    <w:multiLevelType w:val="hybridMultilevel"/>
    <w:tmpl w:val="F78C7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9"/>
  </w:num>
  <w:num w:numId="3">
    <w:abstractNumId w:val="0"/>
  </w:num>
  <w:num w:numId="4">
    <w:abstractNumId w:val="1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12"/>
  </w:num>
  <w:num w:numId="9">
    <w:abstractNumId w:val="14"/>
  </w:num>
  <w:num w:numId="10">
    <w:abstractNumId w:val="7"/>
  </w:num>
  <w:num w:numId="11">
    <w:abstractNumId w:val="10"/>
  </w:num>
  <w:num w:numId="12">
    <w:abstractNumId w:val="4"/>
  </w:num>
  <w:num w:numId="13">
    <w:abstractNumId w:val="3"/>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trackRevisions/>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39D"/>
    <w:rsid w:val="00017393"/>
    <w:rsid w:val="00017B28"/>
    <w:rsid w:val="00082F22"/>
    <w:rsid w:val="000A0630"/>
    <w:rsid w:val="000B7167"/>
    <w:rsid w:val="000D4007"/>
    <w:rsid w:val="000E4AE9"/>
    <w:rsid w:val="00101235"/>
    <w:rsid w:val="00112672"/>
    <w:rsid w:val="001228B4"/>
    <w:rsid w:val="00124948"/>
    <w:rsid w:val="001512CF"/>
    <w:rsid w:val="001535AF"/>
    <w:rsid w:val="00161BF4"/>
    <w:rsid w:val="00165817"/>
    <w:rsid w:val="00185314"/>
    <w:rsid w:val="001A6D01"/>
    <w:rsid w:val="001B1F68"/>
    <w:rsid w:val="001B5BF6"/>
    <w:rsid w:val="001C2017"/>
    <w:rsid w:val="001C5650"/>
    <w:rsid w:val="001E7E5B"/>
    <w:rsid w:val="001F4FD1"/>
    <w:rsid w:val="00210505"/>
    <w:rsid w:val="0021400E"/>
    <w:rsid w:val="00216771"/>
    <w:rsid w:val="0023368D"/>
    <w:rsid w:val="0026148C"/>
    <w:rsid w:val="00261DFC"/>
    <w:rsid w:val="002633E3"/>
    <w:rsid w:val="00271E06"/>
    <w:rsid w:val="00272C24"/>
    <w:rsid w:val="002731D2"/>
    <w:rsid w:val="00282430"/>
    <w:rsid w:val="00292CB3"/>
    <w:rsid w:val="002938DF"/>
    <w:rsid w:val="002A18CE"/>
    <w:rsid w:val="002A4B7C"/>
    <w:rsid w:val="002B3C90"/>
    <w:rsid w:val="002B427A"/>
    <w:rsid w:val="002B735F"/>
    <w:rsid w:val="002D4EEE"/>
    <w:rsid w:val="00316FA0"/>
    <w:rsid w:val="00335E82"/>
    <w:rsid w:val="00371C44"/>
    <w:rsid w:val="00374520"/>
    <w:rsid w:val="003978A0"/>
    <w:rsid w:val="003A0479"/>
    <w:rsid w:val="003A05A6"/>
    <w:rsid w:val="003A19C0"/>
    <w:rsid w:val="003B711A"/>
    <w:rsid w:val="003D74A8"/>
    <w:rsid w:val="004153BA"/>
    <w:rsid w:val="00446462"/>
    <w:rsid w:val="004904CD"/>
    <w:rsid w:val="00490A0A"/>
    <w:rsid w:val="004A4BD7"/>
    <w:rsid w:val="004D71F7"/>
    <w:rsid w:val="004E4AD4"/>
    <w:rsid w:val="004F2429"/>
    <w:rsid w:val="004F40CA"/>
    <w:rsid w:val="004F5061"/>
    <w:rsid w:val="00531ECB"/>
    <w:rsid w:val="00553E32"/>
    <w:rsid w:val="00577D8F"/>
    <w:rsid w:val="0058030F"/>
    <w:rsid w:val="005A27D1"/>
    <w:rsid w:val="005A5649"/>
    <w:rsid w:val="005D0151"/>
    <w:rsid w:val="005D68D3"/>
    <w:rsid w:val="00610571"/>
    <w:rsid w:val="0061484B"/>
    <w:rsid w:val="006270D6"/>
    <w:rsid w:val="00635FD1"/>
    <w:rsid w:val="00636757"/>
    <w:rsid w:val="006467E8"/>
    <w:rsid w:val="006600FF"/>
    <w:rsid w:val="006608AB"/>
    <w:rsid w:val="0067404C"/>
    <w:rsid w:val="006804A3"/>
    <w:rsid w:val="006A1621"/>
    <w:rsid w:val="006A7AF6"/>
    <w:rsid w:val="006B7208"/>
    <w:rsid w:val="006C2591"/>
    <w:rsid w:val="006D3268"/>
    <w:rsid w:val="006D5DA5"/>
    <w:rsid w:val="006E7C8A"/>
    <w:rsid w:val="00705E5E"/>
    <w:rsid w:val="007520F9"/>
    <w:rsid w:val="0076725F"/>
    <w:rsid w:val="007B4A08"/>
    <w:rsid w:val="007B6F9E"/>
    <w:rsid w:val="007C5766"/>
    <w:rsid w:val="007F33F7"/>
    <w:rsid w:val="008213F5"/>
    <w:rsid w:val="00857BB8"/>
    <w:rsid w:val="008A56C7"/>
    <w:rsid w:val="008B7726"/>
    <w:rsid w:val="008C0027"/>
    <w:rsid w:val="008C0B5C"/>
    <w:rsid w:val="008C6EC6"/>
    <w:rsid w:val="00905B27"/>
    <w:rsid w:val="00965EE0"/>
    <w:rsid w:val="00966644"/>
    <w:rsid w:val="00976006"/>
    <w:rsid w:val="009C3F1A"/>
    <w:rsid w:val="009C47B8"/>
    <w:rsid w:val="009E61A7"/>
    <w:rsid w:val="00A45F0D"/>
    <w:rsid w:val="00A718C4"/>
    <w:rsid w:val="00A724A8"/>
    <w:rsid w:val="00A812BE"/>
    <w:rsid w:val="00A963DB"/>
    <w:rsid w:val="00AC4AC5"/>
    <w:rsid w:val="00AD27E8"/>
    <w:rsid w:val="00AF39D5"/>
    <w:rsid w:val="00B135CF"/>
    <w:rsid w:val="00B7545B"/>
    <w:rsid w:val="00B8017C"/>
    <w:rsid w:val="00BC6F08"/>
    <w:rsid w:val="00BD65C5"/>
    <w:rsid w:val="00BE67E1"/>
    <w:rsid w:val="00C17C4E"/>
    <w:rsid w:val="00C50E69"/>
    <w:rsid w:val="00C55C1A"/>
    <w:rsid w:val="00C608C0"/>
    <w:rsid w:val="00C61D65"/>
    <w:rsid w:val="00C629A9"/>
    <w:rsid w:val="00C700DE"/>
    <w:rsid w:val="00C85D34"/>
    <w:rsid w:val="00CA3B3B"/>
    <w:rsid w:val="00CB3A10"/>
    <w:rsid w:val="00CE2BD1"/>
    <w:rsid w:val="00CF6E24"/>
    <w:rsid w:val="00D054C8"/>
    <w:rsid w:val="00D16CD6"/>
    <w:rsid w:val="00D35082"/>
    <w:rsid w:val="00D35E4E"/>
    <w:rsid w:val="00D43615"/>
    <w:rsid w:val="00D57436"/>
    <w:rsid w:val="00D729DC"/>
    <w:rsid w:val="00D72F68"/>
    <w:rsid w:val="00D8204E"/>
    <w:rsid w:val="00D91A64"/>
    <w:rsid w:val="00DC014A"/>
    <w:rsid w:val="00DD1C3F"/>
    <w:rsid w:val="00DD270A"/>
    <w:rsid w:val="00DF1223"/>
    <w:rsid w:val="00E0335F"/>
    <w:rsid w:val="00E122AC"/>
    <w:rsid w:val="00E2707C"/>
    <w:rsid w:val="00E32192"/>
    <w:rsid w:val="00E42062"/>
    <w:rsid w:val="00E557AB"/>
    <w:rsid w:val="00E8525D"/>
    <w:rsid w:val="00E8539D"/>
    <w:rsid w:val="00EB3D4C"/>
    <w:rsid w:val="00EC00A0"/>
    <w:rsid w:val="00EE50FA"/>
    <w:rsid w:val="00EF2E3C"/>
    <w:rsid w:val="00F11290"/>
    <w:rsid w:val="00F2058D"/>
    <w:rsid w:val="00F40074"/>
    <w:rsid w:val="00F41330"/>
    <w:rsid w:val="00F452EA"/>
    <w:rsid w:val="00F82380"/>
    <w:rsid w:val="00FB2690"/>
    <w:rsid w:val="00FD63FF"/>
    <w:rsid w:val="5FE2B2E5"/>
    <w:rsid w:val="63BA6345"/>
    <w:rsid w:val="6C1ADD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5E8971"/>
  <w15:chartTrackingRefBased/>
  <w15:docId w15:val="{F4FEC88E-D277-459A-989E-C32C19C04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8539D"/>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E8539D"/>
    <w:pPr>
      <w:ind w:left="720"/>
      <w:contextualSpacing/>
    </w:pPr>
  </w:style>
  <w:style w:type="character" w:styleId="Odwoaniedokomentarza">
    <w:name w:val="annotation reference"/>
    <w:basedOn w:val="Domylnaczcionkaakapitu"/>
    <w:uiPriority w:val="99"/>
    <w:semiHidden/>
    <w:unhideWhenUsed/>
    <w:rsid w:val="00E8539D"/>
    <w:rPr>
      <w:sz w:val="16"/>
      <w:szCs w:val="16"/>
    </w:rPr>
  </w:style>
  <w:style w:type="paragraph" w:styleId="Tekstkomentarza">
    <w:name w:val="annotation text"/>
    <w:basedOn w:val="Normalny"/>
    <w:link w:val="TekstkomentarzaZnak"/>
    <w:uiPriority w:val="99"/>
    <w:semiHidden/>
    <w:unhideWhenUsed/>
    <w:rsid w:val="00E8539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8539D"/>
    <w:rPr>
      <w:rFonts w:ascii="Calibri" w:eastAsia="Times New Roman" w:hAnsi="Calibri" w:cs="Times New Roman"/>
      <w:sz w:val="20"/>
      <w:szCs w:val="20"/>
    </w:rPr>
  </w:style>
  <w:style w:type="character" w:customStyle="1" w:styleId="AkapitzlistZnak">
    <w:name w:val="Akapit z listą Znak"/>
    <w:link w:val="Akapitzlist"/>
    <w:uiPriority w:val="34"/>
    <w:locked/>
    <w:rsid w:val="00E8539D"/>
    <w:rPr>
      <w:rFonts w:ascii="Calibri" w:eastAsia="Times New Roman" w:hAnsi="Calibri" w:cs="Times New Roman"/>
    </w:rPr>
  </w:style>
  <w:style w:type="paragraph" w:styleId="Tekstdymka">
    <w:name w:val="Balloon Text"/>
    <w:basedOn w:val="Normalny"/>
    <w:link w:val="TekstdymkaZnak"/>
    <w:uiPriority w:val="99"/>
    <w:semiHidden/>
    <w:unhideWhenUsed/>
    <w:rsid w:val="00E853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539D"/>
    <w:rPr>
      <w:rFonts w:ascii="Segoe UI" w:eastAsia="Times New Roman" w:hAnsi="Segoe UI" w:cs="Segoe UI"/>
      <w:sz w:val="18"/>
      <w:szCs w:val="18"/>
    </w:rPr>
  </w:style>
  <w:style w:type="table" w:styleId="Tabela-Siatka">
    <w:name w:val="Table Grid"/>
    <w:basedOn w:val="Standardowy"/>
    <w:uiPriority w:val="39"/>
    <w:rsid w:val="00E853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E8539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8539D"/>
    <w:rPr>
      <w:rFonts w:ascii="Calibri" w:eastAsia="Times New Roman" w:hAnsi="Calibri" w:cs="Times New Roman"/>
      <w:sz w:val="20"/>
      <w:szCs w:val="20"/>
    </w:rPr>
  </w:style>
  <w:style w:type="character" w:styleId="Odwoanieprzypisudolnego">
    <w:name w:val="footnote reference"/>
    <w:basedOn w:val="Domylnaczcionkaakapitu"/>
    <w:uiPriority w:val="99"/>
    <w:unhideWhenUsed/>
    <w:rsid w:val="00E8539D"/>
    <w:rPr>
      <w:vertAlign w:val="superscript"/>
    </w:rPr>
  </w:style>
  <w:style w:type="character" w:customStyle="1" w:styleId="Teksttreci13">
    <w:name w:val="Tekst treści (13)_"/>
    <w:basedOn w:val="Domylnaczcionkaakapitu"/>
    <w:link w:val="Teksttreci130"/>
    <w:locked/>
    <w:rsid w:val="003D74A8"/>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3D74A8"/>
    <w:pPr>
      <w:shd w:val="clear" w:color="auto" w:fill="FFFFFF"/>
      <w:spacing w:after="0" w:line="197" w:lineRule="exact"/>
    </w:pPr>
    <w:rPr>
      <w:rFonts w:ascii="Franklin Gothic Heavy" w:eastAsia="Franklin Gothic Heavy" w:hAnsi="Franklin Gothic Heavy" w:cs="Franklin Gothic Heavy"/>
      <w:sz w:val="16"/>
      <w:szCs w:val="16"/>
    </w:rPr>
  </w:style>
  <w:style w:type="paragraph" w:styleId="Tematkomentarza">
    <w:name w:val="annotation subject"/>
    <w:basedOn w:val="Tekstkomentarza"/>
    <w:next w:val="Tekstkomentarza"/>
    <w:link w:val="TematkomentarzaZnak"/>
    <w:uiPriority w:val="99"/>
    <w:semiHidden/>
    <w:unhideWhenUsed/>
    <w:rsid w:val="00F82380"/>
    <w:rPr>
      <w:b/>
      <w:bCs/>
    </w:rPr>
  </w:style>
  <w:style w:type="character" w:customStyle="1" w:styleId="TematkomentarzaZnak">
    <w:name w:val="Temat komentarza Znak"/>
    <w:basedOn w:val="TekstkomentarzaZnak"/>
    <w:link w:val="Tematkomentarza"/>
    <w:uiPriority w:val="99"/>
    <w:semiHidden/>
    <w:rsid w:val="00F82380"/>
    <w:rPr>
      <w:rFonts w:ascii="Calibri" w:eastAsia="Times New Roman" w:hAnsi="Calibri" w:cs="Times New Roman"/>
      <w:b/>
      <w:bCs/>
      <w:sz w:val="20"/>
      <w:szCs w:val="20"/>
    </w:rPr>
  </w:style>
  <w:style w:type="character" w:styleId="Hipercze">
    <w:name w:val="Hyperlink"/>
    <w:basedOn w:val="Domylnaczcionkaakapitu"/>
    <w:uiPriority w:val="99"/>
    <w:unhideWhenUsed/>
    <w:rsid w:val="00C50E69"/>
    <w:rPr>
      <w:color w:val="0563C1" w:themeColor="hyperlink"/>
      <w:u w:val="single"/>
    </w:rPr>
  </w:style>
  <w:style w:type="character" w:styleId="Nierozpoznanawzmianka">
    <w:name w:val="Unresolved Mention"/>
    <w:basedOn w:val="Domylnaczcionkaakapitu"/>
    <w:uiPriority w:val="99"/>
    <w:semiHidden/>
    <w:unhideWhenUsed/>
    <w:rsid w:val="00C50E69"/>
    <w:rPr>
      <w:color w:val="605E5C"/>
      <w:shd w:val="clear" w:color="auto" w:fill="E1DFDD"/>
    </w:rPr>
  </w:style>
  <w:style w:type="character" w:styleId="UyteHipercze">
    <w:name w:val="FollowedHyperlink"/>
    <w:basedOn w:val="Domylnaczcionkaakapitu"/>
    <w:uiPriority w:val="99"/>
    <w:semiHidden/>
    <w:unhideWhenUsed/>
    <w:rsid w:val="00C50E69"/>
    <w:rPr>
      <w:color w:val="954F72" w:themeColor="followedHyperlink"/>
      <w:u w:val="single"/>
    </w:rPr>
  </w:style>
  <w:style w:type="paragraph" w:styleId="Nagwek">
    <w:name w:val="header"/>
    <w:basedOn w:val="Normalny"/>
    <w:link w:val="NagwekZnak"/>
    <w:uiPriority w:val="99"/>
    <w:unhideWhenUsed/>
    <w:rsid w:val="001B5B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5BF6"/>
    <w:rPr>
      <w:rFonts w:ascii="Calibri" w:eastAsia="Times New Roman" w:hAnsi="Calibri" w:cs="Times New Roman"/>
    </w:rPr>
  </w:style>
  <w:style w:type="paragraph" w:styleId="Stopka">
    <w:name w:val="footer"/>
    <w:basedOn w:val="Normalny"/>
    <w:link w:val="StopkaZnak"/>
    <w:uiPriority w:val="99"/>
    <w:unhideWhenUsed/>
    <w:rsid w:val="001B5B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5BF6"/>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848956">
      <w:bodyDiv w:val="1"/>
      <w:marLeft w:val="0"/>
      <w:marRight w:val="0"/>
      <w:marTop w:val="0"/>
      <w:marBottom w:val="0"/>
      <w:divBdr>
        <w:top w:val="none" w:sz="0" w:space="0" w:color="auto"/>
        <w:left w:val="none" w:sz="0" w:space="0" w:color="auto"/>
        <w:bottom w:val="none" w:sz="0" w:space="0" w:color="auto"/>
        <w:right w:val="none" w:sz="0" w:space="0" w:color="auto"/>
      </w:divBdr>
      <w:divsChild>
        <w:div w:id="785348347">
          <w:marLeft w:val="0"/>
          <w:marRight w:val="0"/>
          <w:marTop w:val="0"/>
          <w:marBottom w:val="0"/>
          <w:divBdr>
            <w:top w:val="none" w:sz="0" w:space="0" w:color="auto"/>
            <w:left w:val="none" w:sz="0" w:space="0" w:color="auto"/>
            <w:bottom w:val="none" w:sz="0" w:space="0" w:color="auto"/>
            <w:right w:val="none" w:sz="0" w:space="0" w:color="auto"/>
          </w:divBdr>
          <w:divsChild>
            <w:div w:id="221446515">
              <w:marLeft w:val="0"/>
              <w:marRight w:val="0"/>
              <w:marTop w:val="0"/>
              <w:marBottom w:val="0"/>
              <w:divBdr>
                <w:top w:val="none" w:sz="0" w:space="0" w:color="auto"/>
                <w:left w:val="none" w:sz="0" w:space="0" w:color="auto"/>
                <w:bottom w:val="none" w:sz="0" w:space="0" w:color="auto"/>
                <w:right w:val="none" w:sz="0" w:space="0" w:color="auto"/>
              </w:divBdr>
              <w:divsChild>
                <w:div w:id="35501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16974">
      <w:bodyDiv w:val="1"/>
      <w:marLeft w:val="0"/>
      <w:marRight w:val="0"/>
      <w:marTop w:val="0"/>
      <w:marBottom w:val="0"/>
      <w:divBdr>
        <w:top w:val="none" w:sz="0" w:space="0" w:color="auto"/>
        <w:left w:val="none" w:sz="0" w:space="0" w:color="auto"/>
        <w:bottom w:val="none" w:sz="0" w:space="0" w:color="auto"/>
        <w:right w:val="none" w:sz="0" w:space="0" w:color="auto"/>
      </w:divBdr>
    </w:div>
    <w:div w:id="160460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PL/TXT/?uri=OJ:C:2016:262:TOC"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1C49B2C54794A5BA16583E41DF5C8C3"/>
        <w:category>
          <w:name w:val="Ogólne"/>
          <w:gallery w:val="placeholder"/>
        </w:category>
        <w:types>
          <w:type w:val="bbPlcHdr"/>
        </w:types>
        <w:behaviors>
          <w:behavior w:val="content"/>
        </w:behaviors>
        <w:guid w:val="{CEA19AD8-8FED-42E1-8970-97A13FA5D0AF}"/>
      </w:docPartPr>
      <w:docPartBody>
        <w:p w:rsidR="00283666" w:rsidRDefault="00641AC5" w:rsidP="00641AC5">
          <w:pPr>
            <w:pStyle w:val="51C49B2C54794A5BA16583E41DF5C8C3"/>
          </w:pPr>
          <w:r w:rsidRPr="00E6778B">
            <w:rPr>
              <w:rFonts w:ascii="Arial" w:hAnsi="Arial" w:cs="Arial"/>
              <w:sz w:val="20"/>
              <w:szCs w:val="20"/>
            </w:rPr>
            <w:t>Proszę wybrać odpowiedź</w:t>
          </w:r>
        </w:p>
      </w:docPartBody>
    </w:docPart>
    <w:docPart>
      <w:docPartPr>
        <w:name w:val="DA8CE79A4F214FF0AB8F87EB7A436C28"/>
        <w:category>
          <w:name w:val="Ogólne"/>
          <w:gallery w:val="placeholder"/>
        </w:category>
        <w:types>
          <w:type w:val="bbPlcHdr"/>
        </w:types>
        <w:behaviors>
          <w:behavior w:val="content"/>
        </w:behaviors>
        <w:guid w:val="{362E3672-7E6C-4222-873A-9BD277F3E806}"/>
      </w:docPartPr>
      <w:docPartBody>
        <w:p w:rsidR="00283666" w:rsidRDefault="00641AC5" w:rsidP="00641AC5">
          <w:pPr>
            <w:pStyle w:val="DA8CE79A4F214FF0AB8F87EB7A436C28"/>
          </w:pPr>
          <w:r>
            <w:rPr>
              <w:rFonts w:ascii="Arial" w:hAnsi="Arial" w:cs="Arial"/>
              <w:sz w:val="20"/>
              <w:szCs w:val="20"/>
            </w:rPr>
            <w:t>Proszę wybrać odpowiedź</w:t>
          </w:r>
        </w:p>
      </w:docPartBody>
    </w:docPart>
    <w:docPart>
      <w:docPartPr>
        <w:name w:val="433264BA1BBB4A73A515E202AC2D479C"/>
        <w:category>
          <w:name w:val="Ogólne"/>
          <w:gallery w:val="placeholder"/>
        </w:category>
        <w:types>
          <w:type w:val="bbPlcHdr"/>
        </w:types>
        <w:behaviors>
          <w:behavior w:val="content"/>
        </w:behaviors>
        <w:guid w:val="{65297DD8-D6DF-4A7F-BE60-4156E411D670}"/>
      </w:docPartPr>
      <w:docPartBody>
        <w:p w:rsidR="00283666" w:rsidRDefault="00641AC5" w:rsidP="00641AC5">
          <w:pPr>
            <w:pStyle w:val="433264BA1BBB4A73A515E202AC2D479C"/>
          </w:pPr>
          <w:r w:rsidRPr="00E6778B">
            <w:rPr>
              <w:rFonts w:ascii="Arial" w:hAnsi="Arial" w:cs="Arial"/>
              <w:sz w:val="20"/>
              <w:szCs w:val="20"/>
            </w:rPr>
            <w:t>Proszę wybrać odpowiedź</w:t>
          </w:r>
        </w:p>
      </w:docPartBody>
    </w:docPart>
    <w:docPart>
      <w:docPartPr>
        <w:name w:val="24FC5456136347A8A01B1EBCA1AE1C1E"/>
        <w:category>
          <w:name w:val="Ogólne"/>
          <w:gallery w:val="placeholder"/>
        </w:category>
        <w:types>
          <w:type w:val="bbPlcHdr"/>
        </w:types>
        <w:behaviors>
          <w:behavior w:val="content"/>
        </w:behaviors>
        <w:guid w:val="{38CD0DA8-12F2-4898-9572-A9C0F5A00F8D}"/>
      </w:docPartPr>
      <w:docPartBody>
        <w:p w:rsidR="00283666" w:rsidRDefault="00641AC5" w:rsidP="00641AC5">
          <w:pPr>
            <w:pStyle w:val="24FC5456136347A8A01B1EBCA1AE1C1E"/>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AC5"/>
    <w:rsid w:val="00283666"/>
    <w:rsid w:val="00641A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1C49B2C54794A5BA16583E41DF5C8C3">
    <w:name w:val="51C49B2C54794A5BA16583E41DF5C8C3"/>
    <w:rsid w:val="00641AC5"/>
  </w:style>
  <w:style w:type="paragraph" w:customStyle="1" w:styleId="DA8CE79A4F214FF0AB8F87EB7A436C28">
    <w:name w:val="DA8CE79A4F214FF0AB8F87EB7A436C28"/>
    <w:rsid w:val="00641AC5"/>
  </w:style>
  <w:style w:type="paragraph" w:customStyle="1" w:styleId="D59731EFD5794F84960D24CE5B8AA3A6">
    <w:name w:val="D59731EFD5794F84960D24CE5B8AA3A6"/>
    <w:rsid w:val="00641AC5"/>
  </w:style>
  <w:style w:type="paragraph" w:customStyle="1" w:styleId="433264BA1BBB4A73A515E202AC2D479C">
    <w:name w:val="433264BA1BBB4A73A515E202AC2D479C"/>
    <w:rsid w:val="00641AC5"/>
  </w:style>
  <w:style w:type="paragraph" w:customStyle="1" w:styleId="24FC5456136347A8A01B1EBCA1AE1C1E">
    <w:name w:val="24FC5456136347A8A01B1EBCA1AE1C1E"/>
    <w:rsid w:val="00641A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ebde75c-c695-442a-80d4-61b034fbba81">
      <Terms xmlns="http://schemas.microsoft.com/office/infopath/2007/PartnerControls"/>
    </lcf76f155ced4ddcb4097134ff3c332f>
    <TaxCatchAll xmlns="6852e5d6-3164-4114-9510-1696955387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4EC8107F11BB34F81F6D35CD3AFF487" ma:contentTypeVersion="16" ma:contentTypeDescription="Utwórz nowy dokument." ma:contentTypeScope="" ma:versionID="d6d20b9c5e810f2a4f4b332dbeca1fe1">
  <xsd:schema xmlns:xsd="http://www.w3.org/2001/XMLSchema" xmlns:xs="http://www.w3.org/2001/XMLSchema" xmlns:p="http://schemas.microsoft.com/office/2006/metadata/properties" xmlns:ns2="9ebde75c-c695-442a-80d4-61b034fbba81" xmlns:ns3="6852e5d6-3164-4114-9510-1696955387a4" targetNamespace="http://schemas.microsoft.com/office/2006/metadata/properties" ma:root="true" ma:fieldsID="784e7fb149e559f95affa1cec43a41ef" ns2:_="" ns3:_="">
    <xsd:import namespace="9ebde75c-c695-442a-80d4-61b034fbba81"/>
    <xsd:import namespace="6852e5d6-3164-4114-9510-1696955387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bde75c-c695-442a-80d4-61b034fbba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52e5d6-3164-4114-9510-1696955387a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4dfd8ecb-48ca-46b4-a91b-7d92686a607b}" ma:internalName="TaxCatchAll" ma:showField="CatchAllData" ma:web="6852e5d6-3164-4114-9510-1696955387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84327-1989-45E1-86FC-DF671AC162BF}">
  <ds:schemaRefs>
    <ds:schemaRef ds:uri="http://schemas.microsoft.com/sharepoint/v3/contenttype/forms"/>
  </ds:schemaRefs>
</ds:datastoreItem>
</file>

<file path=customXml/itemProps2.xml><?xml version="1.0" encoding="utf-8"?>
<ds:datastoreItem xmlns:ds="http://schemas.openxmlformats.org/officeDocument/2006/customXml" ds:itemID="{AAC0DC15-3F0D-42CF-87A8-DD7378B29A16}">
  <ds:schemaRefs>
    <ds:schemaRef ds:uri="http://schemas.microsoft.com/office/2006/documentManagement/types"/>
    <ds:schemaRef ds:uri="http://schemas.openxmlformats.org/package/2006/metadata/core-properties"/>
    <ds:schemaRef ds:uri="http://purl.org/dc/dcmitype/"/>
    <ds:schemaRef ds:uri="http://purl.org/dc/terms/"/>
    <ds:schemaRef ds:uri="http://www.w3.org/XML/1998/namespace"/>
    <ds:schemaRef ds:uri="http://schemas.microsoft.com/office/2006/metadata/properties"/>
    <ds:schemaRef ds:uri="f0335eb7-744c-4177-a2b2-0dbd252f4b44"/>
    <ds:schemaRef ds:uri="http://schemas.microsoft.com/office/infopath/2007/PartnerControls"/>
    <ds:schemaRef ds:uri="f5732f5a-0531-41cb-868e-eb373eb5c743"/>
    <ds:schemaRef ds:uri="http://purl.org/dc/elements/1.1/"/>
  </ds:schemaRefs>
</ds:datastoreItem>
</file>

<file path=customXml/itemProps3.xml><?xml version="1.0" encoding="utf-8"?>
<ds:datastoreItem xmlns:ds="http://schemas.openxmlformats.org/officeDocument/2006/customXml" ds:itemID="{1187C085-13D4-481B-8829-FF28B8C410EC}"/>
</file>

<file path=customXml/itemProps4.xml><?xml version="1.0" encoding="utf-8"?>
<ds:datastoreItem xmlns:ds="http://schemas.openxmlformats.org/officeDocument/2006/customXml" ds:itemID="{B35C20E8-CDBE-4461-9C15-6300720F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3156</Words>
  <Characters>18940</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Barański Grzegorz</dc:creator>
  <cp:keywords/>
  <dc:description/>
  <cp:lastModifiedBy>Musiał Ewelina</cp:lastModifiedBy>
  <cp:revision>3</cp:revision>
  <dcterms:created xsi:type="dcterms:W3CDTF">2023-11-30T13:14:00Z</dcterms:created>
  <dcterms:modified xsi:type="dcterms:W3CDTF">2023-12-01T09:12:00Z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0x010100F4EC8107F11BB34F81F6D35CD3AFF487</vt:lpwstr>
  </property>
  <property fmtid="{D5CDD505-2E9C-101B-9397-08002B2CF9AE}" pid="3" name="MediaServiceImageTags">
    <vt:lpwstr/>
  </property>
</Properties>
</file>