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6E" w:rsidRDefault="00EE2C61" w:rsidP="00E65A6E">
      <w:bookmarkStart w:id="0" w:name="_Hlk146613806"/>
      <w:r w:rsidRPr="00B94482">
        <w:rPr>
          <w:noProof/>
        </w:rPr>
        <w:drawing>
          <wp:inline distT="0" distB="0" distL="0" distR="0">
            <wp:extent cx="5762625" cy="466725"/>
            <wp:effectExtent l="0" t="0" r="0" b="0"/>
            <wp:docPr id="1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58" w:rsidRPr="00595C2B" w:rsidRDefault="005F2058" w:rsidP="005F2058">
      <w:pPr>
        <w:pStyle w:val="Nagwek1"/>
        <w:rPr>
          <w:rFonts w:cs="Arial"/>
        </w:rPr>
      </w:pPr>
      <w:r w:rsidRPr="00595C2B">
        <w:rPr>
          <w:rFonts w:cs="Arial"/>
        </w:rPr>
        <w:t xml:space="preserve">Opis zmian </w:t>
      </w:r>
      <w:r w:rsidRPr="00595C2B">
        <w:rPr>
          <w:rFonts w:eastAsia="Calibri" w:cs="Arial"/>
        </w:rPr>
        <w:t>Szczegółowego Opisu Priorytetów Programu Fundusze Europejskie dla Podkarpacia 2021-2027 (SZOP FEP 2021-2027)</w:t>
      </w:r>
    </w:p>
    <w:p w:rsidR="003B0683" w:rsidRDefault="003B0683" w:rsidP="00B43119">
      <w:pPr>
        <w:spacing w:line="312" w:lineRule="auto"/>
        <w:rPr>
          <w:rFonts w:ascii="Arial" w:eastAsia="Calibri" w:hAnsi="Arial" w:cs="Arial"/>
          <w:bCs/>
          <w:sz w:val="22"/>
          <w:szCs w:val="22"/>
        </w:rPr>
      </w:pPr>
    </w:p>
    <w:p w:rsidR="005F2058" w:rsidRDefault="005F2058" w:rsidP="00B43119">
      <w:pPr>
        <w:spacing w:line="312" w:lineRule="auto"/>
        <w:rPr>
          <w:rFonts w:ascii="Arial" w:hAnsi="Arial" w:cs="Arial"/>
          <w:sz w:val="22"/>
          <w:szCs w:val="22"/>
          <w:lang w:eastAsia="ar-SA"/>
        </w:rPr>
      </w:pPr>
    </w:p>
    <w:bookmarkEnd w:id="0"/>
    <w:p w:rsidR="007A09D2" w:rsidRPr="00D31F64" w:rsidRDefault="007A09D2" w:rsidP="007A09D2">
      <w:pPr>
        <w:spacing w:line="312" w:lineRule="auto"/>
        <w:rPr>
          <w:rFonts w:ascii="Arial" w:hAnsi="Arial" w:cs="Arial"/>
          <w:b/>
          <w:sz w:val="23"/>
          <w:szCs w:val="23"/>
          <w:u w:val="single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Do dokumentu (w porównaniu do wersji </w:t>
      </w:r>
      <w:r w:rsidRPr="00D31F64">
        <w:rPr>
          <w:rFonts w:ascii="Arial" w:hAnsi="Arial" w:cs="Arial"/>
          <w:bCs/>
          <w:sz w:val="23"/>
          <w:szCs w:val="23"/>
        </w:rPr>
        <w:t xml:space="preserve">SZOP.FEPK.007 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przyjętej przez Zarząd Województwa Podkarpackiego w Rzeszowie w dniu 26 marca 2024 r.) </w:t>
      </w:r>
      <w:r w:rsidRPr="00D31F64">
        <w:rPr>
          <w:rFonts w:ascii="Arial" w:eastAsia="Calibri" w:hAnsi="Arial" w:cs="Arial"/>
          <w:sz w:val="23"/>
          <w:szCs w:val="23"/>
        </w:rPr>
        <w:t xml:space="preserve">wprowadzono </w:t>
      </w:r>
    </w:p>
    <w:p w:rsidR="007A09D2" w:rsidRPr="00D31F64" w:rsidRDefault="007A09D2" w:rsidP="007A09D2">
      <w:pPr>
        <w:spacing w:line="276" w:lineRule="auto"/>
        <w:rPr>
          <w:rFonts w:ascii="Arial" w:hAnsi="Arial" w:cs="Arial"/>
          <w:sz w:val="23"/>
          <w:szCs w:val="23"/>
        </w:rPr>
      </w:pPr>
      <w:r w:rsidRPr="00D31F64">
        <w:rPr>
          <w:rFonts w:ascii="Arial" w:hAnsi="Arial" w:cs="Arial"/>
          <w:sz w:val="23"/>
          <w:szCs w:val="23"/>
        </w:rPr>
        <w:t>nowe opisy lub modyfikacje / aktualizacje w zakresie następujących obszarów:</w:t>
      </w:r>
    </w:p>
    <w:p w:rsidR="007A09D2" w:rsidRPr="00D31F64" w:rsidRDefault="007A09D2" w:rsidP="007A09D2">
      <w:pPr>
        <w:spacing w:line="276" w:lineRule="auto"/>
        <w:ind w:left="426"/>
        <w:jc w:val="center"/>
        <w:rPr>
          <w:rFonts w:ascii="Arial" w:eastAsia="Calibri" w:hAnsi="Arial" w:cs="Arial"/>
          <w:sz w:val="23"/>
          <w:szCs w:val="23"/>
          <w:u w:val="single"/>
          <w:lang w:eastAsia="ar-SA"/>
        </w:rPr>
      </w:pPr>
    </w:p>
    <w:p w:rsidR="007A09D2" w:rsidRPr="007A09D2" w:rsidRDefault="007A09D2" w:rsidP="007D1BC4">
      <w:pPr>
        <w:pStyle w:val="Akapitzlist"/>
        <w:numPr>
          <w:ilvl w:val="0"/>
          <w:numId w:val="18"/>
        </w:numPr>
        <w:spacing w:line="276" w:lineRule="auto"/>
        <w:rPr>
          <w:rFonts w:ascii="Arial" w:eastAsia="Calibri" w:hAnsi="Arial" w:cs="Arial"/>
          <w:b/>
          <w:sz w:val="23"/>
          <w:szCs w:val="23"/>
          <w:u w:val="single"/>
          <w:lang w:eastAsia="ar-SA"/>
        </w:rPr>
      </w:pPr>
      <w:r w:rsidRPr="007A09D2">
        <w:rPr>
          <w:rFonts w:ascii="Arial" w:eastAsia="Calibri" w:hAnsi="Arial" w:cs="Arial"/>
          <w:b/>
          <w:sz w:val="23"/>
          <w:szCs w:val="23"/>
          <w:u w:val="single"/>
          <w:lang w:eastAsia="ar-SA"/>
        </w:rPr>
        <w:t>w zakresie EFRR</w:t>
      </w:r>
    </w:p>
    <w:p w:rsidR="007A09D2" w:rsidRPr="00D31F64" w:rsidRDefault="007A09D2" w:rsidP="007A09D2">
      <w:pPr>
        <w:spacing w:line="276" w:lineRule="auto"/>
        <w:ind w:left="426"/>
        <w:jc w:val="center"/>
        <w:rPr>
          <w:rFonts w:ascii="Arial" w:eastAsia="Calibri" w:hAnsi="Arial" w:cs="Arial"/>
          <w:sz w:val="23"/>
          <w:szCs w:val="23"/>
          <w:u w:val="single"/>
          <w:lang w:eastAsia="ar-SA"/>
        </w:rPr>
      </w:pP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426"/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D31F64">
        <w:rPr>
          <w:rFonts w:ascii="Arial" w:eastAsia="Calibri" w:hAnsi="Arial" w:cs="Arial"/>
          <w:b/>
          <w:sz w:val="23"/>
          <w:szCs w:val="23"/>
        </w:rPr>
        <w:t xml:space="preserve">Priorytet 1 </w:t>
      </w:r>
      <w:r w:rsidRPr="00D31F64">
        <w:rPr>
          <w:rFonts w:ascii="Arial" w:eastAsia="Calibri" w:hAnsi="Arial" w:cs="Arial"/>
          <w:b/>
          <w:i/>
          <w:sz w:val="23"/>
          <w:szCs w:val="23"/>
        </w:rPr>
        <w:t>Konkurencyjna i cyfrowa gospodarka</w:t>
      </w:r>
      <w:r w:rsidRPr="00D31F64">
        <w:rPr>
          <w:rFonts w:ascii="Arial" w:eastAsia="Calibri" w:hAnsi="Arial" w:cs="Arial"/>
          <w:bCs/>
          <w:sz w:val="23"/>
          <w:szCs w:val="23"/>
        </w:rPr>
        <w:t xml:space="preserve">, </w:t>
      </w:r>
    </w:p>
    <w:p w:rsidR="007A09D2" w:rsidRPr="00D31F64" w:rsidRDefault="007A09D2" w:rsidP="007D1BC4">
      <w:pPr>
        <w:numPr>
          <w:ilvl w:val="0"/>
          <w:numId w:val="9"/>
        </w:numPr>
        <w:spacing w:line="276" w:lineRule="auto"/>
        <w:ind w:left="709" w:hanging="283"/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D31F64">
        <w:rPr>
          <w:rFonts w:ascii="Arial" w:eastAsia="Calibri" w:hAnsi="Arial" w:cs="Arial"/>
          <w:b/>
          <w:bCs/>
          <w:sz w:val="23"/>
          <w:szCs w:val="23"/>
        </w:rPr>
        <w:t>Działanie 1.3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hAnsi="Arial" w:cs="Arial"/>
          <w:i/>
          <w:sz w:val="23"/>
          <w:szCs w:val="23"/>
          <w:lang w:eastAsia="ar-SA"/>
        </w:rPr>
        <w:t>Wsparcie MŚP – dotacja</w:t>
      </w:r>
      <w:r w:rsidRPr="00D31F64">
        <w:rPr>
          <w:rFonts w:ascii="Arial" w:hAnsi="Arial" w:cs="Arial"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contextualSpacing/>
        <w:rPr>
          <w:rFonts w:ascii="Arial" w:eastAsia="Calibri" w:hAnsi="Arial" w:cs="Arial"/>
          <w:sz w:val="23"/>
          <w:szCs w:val="23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w</w:t>
      </w:r>
      <w:r w:rsidRPr="00D31F64">
        <w:rPr>
          <w:rFonts w:ascii="Arial" w:hAnsi="Arial" w:cs="Arial"/>
          <w:i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</w:rPr>
        <w:t xml:space="preserve">typie projektu: </w:t>
      </w:r>
      <w:r w:rsidRPr="00D31F64">
        <w:rPr>
          <w:rFonts w:ascii="Arial" w:eastAsia="Calibri" w:hAnsi="Arial" w:cs="Arial"/>
          <w:i/>
          <w:sz w:val="23"/>
          <w:szCs w:val="23"/>
        </w:rPr>
        <w:t>Wsparcie rozwoju i konkurencyjności MŚP w formie dotacji</w:t>
      </w:r>
      <w:r w:rsidRPr="00D31F64">
        <w:rPr>
          <w:rFonts w:ascii="Arial" w:eastAsia="Calibri" w:hAnsi="Arial" w:cs="Arial"/>
          <w:sz w:val="23"/>
          <w:szCs w:val="23"/>
        </w:rPr>
        <w:t xml:space="preserve">, </w:t>
      </w:r>
      <w:bookmarkStart w:id="1" w:name="_Hlk163808147"/>
      <w:r w:rsidRPr="00D31F64">
        <w:rPr>
          <w:rFonts w:ascii="Arial" w:eastAsia="Calibri" w:hAnsi="Arial" w:cs="Arial"/>
          <w:sz w:val="23"/>
          <w:szCs w:val="23"/>
        </w:rPr>
        <w:t xml:space="preserve">w opisie działania </w:t>
      </w:r>
      <w:bookmarkStart w:id="2" w:name="_Hlk163808117"/>
      <w:r w:rsidRPr="00D31F64">
        <w:rPr>
          <w:rFonts w:ascii="Arial" w:eastAsia="Calibri" w:hAnsi="Arial" w:cs="Arial"/>
          <w:sz w:val="23"/>
          <w:szCs w:val="23"/>
        </w:rPr>
        <w:t xml:space="preserve">w zakresie </w:t>
      </w:r>
      <w:bookmarkEnd w:id="1"/>
      <w:bookmarkEnd w:id="2"/>
      <w:r w:rsidRPr="00D31F64">
        <w:rPr>
          <w:rFonts w:ascii="Arial" w:eastAsia="Calibri" w:hAnsi="Arial" w:cs="Arial"/>
          <w:i/>
          <w:sz w:val="23"/>
          <w:szCs w:val="23"/>
        </w:rPr>
        <w:t>Limitów i ograniczeń</w:t>
      </w:r>
      <w:r w:rsidRPr="00D31F64">
        <w:rPr>
          <w:rFonts w:ascii="Arial" w:eastAsia="Calibri" w:hAnsi="Arial" w:cs="Arial"/>
          <w:sz w:val="23"/>
          <w:szCs w:val="23"/>
        </w:rPr>
        <w:t xml:space="preserve"> dostosowano minimalny okres prowadzenia działalności gospodarczej na terenie przygranicznym zgodnie z kryterium formalnym nr 1, tj. zwiększenie z „12 miesięcy” na „24 miesiące”.</w:t>
      </w:r>
    </w:p>
    <w:p w:rsidR="007A09D2" w:rsidRPr="00D31F64" w:rsidRDefault="007A09D2" w:rsidP="007A09D2">
      <w:pPr>
        <w:spacing w:line="276" w:lineRule="auto"/>
        <w:ind w:left="783"/>
        <w:contextualSpacing/>
        <w:rPr>
          <w:rFonts w:ascii="Arial" w:hAnsi="Arial" w:cs="Arial"/>
          <w:sz w:val="23"/>
          <w:szCs w:val="23"/>
          <w:lang w:eastAsia="ar-SA"/>
        </w:rPr>
      </w:pP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426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sz w:val="23"/>
          <w:szCs w:val="23"/>
          <w:lang w:eastAsia="ar-SA"/>
        </w:rPr>
        <w:t xml:space="preserve">Priorytet 2 </w:t>
      </w:r>
      <w:r w:rsidRPr="00D31F64">
        <w:rPr>
          <w:rFonts w:ascii="Arial" w:hAnsi="Arial" w:cs="Arial"/>
          <w:b/>
          <w:i/>
          <w:sz w:val="23"/>
          <w:szCs w:val="23"/>
          <w:lang w:eastAsia="ar-SA"/>
        </w:rPr>
        <w:t>Energia i środowisko:</w:t>
      </w:r>
    </w:p>
    <w:p w:rsidR="007A09D2" w:rsidRPr="00D31F64" w:rsidRDefault="007A09D2" w:rsidP="007D1BC4">
      <w:pPr>
        <w:numPr>
          <w:ilvl w:val="0"/>
          <w:numId w:val="1"/>
        </w:numPr>
        <w:spacing w:line="276" w:lineRule="auto"/>
        <w:ind w:left="709" w:hanging="284"/>
        <w:rPr>
          <w:rFonts w:ascii="Arial" w:hAnsi="Arial" w:cs="Arial"/>
          <w:b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sz w:val="23"/>
          <w:szCs w:val="23"/>
          <w:lang w:eastAsia="ar-SA"/>
        </w:rPr>
        <w:t xml:space="preserve">Działanie 2.1 </w:t>
      </w:r>
      <w:r w:rsidRPr="00D31F64">
        <w:rPr>
          <w:rFonts w:ascii="Arial" w:hAnsi="Arial" w:cs="Arial"/>
          <w:bCs/>
          <w:i/>
          <w:iCs/>
          <w:sz w:val="23"/>
          <w:szCs w:val="23"/>
          <w:lang w:eastAsia="ar-SA"/>
        </w:rPr>
        <w:t>Poprawa jakości powietrza – dotacja</w:t>
      </w:r>
      <w:r w:rsidRPr="00D31F64">
        <w:rPr>
          <w:rFonts w:ascii="Arial" w:hAnsi="Arial" w:cs="Arial"/>
          <w:bCs/>
          <w:sz w:val="23"/>
          <w:szCs w:val="23"/>
          <w:lang w:eastAsia="ar-SA"/>
        </w:rPr>
        <w:t xml:space="preserve">, </w:t>
      </w:r>
    </w:p>
    <w:p w:rsidR="007A09D2" w:rsidRPr="00D31F64" w:rsidRDefault="007A09D2" w:rsidP="007D1BC4">
      <w:pPr>
        <w:numPr>
          <w:ilvl w:val="0"/>
          <w:numId w:val="7"/>
        </w:numPr>
        <w:spacing w:line="276" w:lineRule="auto"/>
        <w:ind w:left="709" w:hanging="283"/>
        <w:contextualSpacing/>
        <w:rPr>
          <w:rFonts w:ascii="Arial" w:hAnsi="Arial" w:cs="Arial"/>
          <w:b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modyfikac</w:t>
      </w:r>
      <w:r w:rsidRPr="00D31F64">
        <w:rPr>
          <w:rFonts w:ascii="Arial" w:hAnsi="Arial" w:cs="Arial"/>
          <w:bCs/>
          <w:sz w:val="23"/>
          <w:szCs w:val="23"/>
          <w:lang w:eastAsia="ar-SA"/>
        </w:rPr>
        <w:t>ja zapisów poprzez dodanie wskaźnika rezultatu</w:t>
      </w:r>
      <w:r w:rsidRPr="00D31F64">
        <w:rPr>
          <w:rFonts w:ascii="Arial" w:hAnsi="Arial" w:cs="Arial"/>
          <w:b/>
          <w:sz w:val="23"/>
          <w:szCs w:val="23"/>
          <w:lang w:eastAsia="ar-SA"/>
        </w:rPr>
        <w:t xml:space="preserve"> </w:t>
      </w:r>
      <w:r w:rsidRPr="00D31F64">
        <w:rPr>
          <w:rFonts w:ascii="Arial" w:hAnsi="Arial" w:cs="Arial"/>
          <w:bCs/>
          <w:i/>
          <w:iCs/>
          <w:sz w:val="23"/>
          <w:szCs w:val="23"/>
          <w:lang w:eastAsia="ar-SA"/>
        </w:rPr>
        <w:t xml:space="preserve">FEPR12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Ilość uzyskanych średniorocznych oszczędności energii finalnej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, </w:t>
      </w:r>
      <w:r w:rsidRPr="00D31F64">
        <w:rPr>
          <w:rFonts w:ascii="Arial" w:hAnsi="Arial" w:cs="Arial"/>
          <w:bCs/>
          <w:sz w:val="23"/>
          <w:szCs w:val="23"/>
          <w:lang w:eastAsia="ar-SA"/>
        </w:rPr>
        <w:t xml:space="preserve">w związku z </w:t>
      </w:r>
      <w:r w:rsidRPr="00D31F64">
        <w:rPr>
          <w:rFonts w:ascii="Arial" w:hAnsi="Arial" w:cs="Arial"/>
          <w:sz w:val="23"/>
          <w:szCs w:val="23"/>
          <w:lang w:eastAsia="ar-SA"/>
        </w:rPr>
        <w:t>obowiązkiem sprawozdawczym w zakresie przedsięwzięć służących poprawie efektywności energetycznej na potrzeby zasilania centralnego rejestru oszczędności energii finalnej (CROEF)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 xml:space="preserve">. </w:t>
      </w:r>
    </w:p>
    <w:p w:rsidR="007A09D2" w:rsidRPr="00D31F64" w:rsidRDefault="007A09D2" w:rsidP="007D1BC4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>Działanie 2.3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 xml:space="preserve"> </w:t>
      </w:r>
      <w:bookmarkStart w:id="3" w:name="_Hlk164245285"/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Odnawialne źródła energii – dotacja</w:t>
      </w:r>
      <w:bookmarkEnd w:id="3"/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bookmarkStart w:id="4" w:name="_Hlk163046009"/>
      <w:r w:rsidRPr="00D31F64">
        <w:rPr>
          <w:rFonts w:ascii="Arial" w:hAnsi="Arial" w:cs="Arial"/>
          <w:sz w:val="23"/>
          <w:szCs w:val="23"/>
          <w:lang w:eastAsia="ar-SA"/>
        </w:rPr>
        <w:t>dodanie nowego działania.</w:t>
      </w:r>
    </w:p>
    <w:bookmarkEnd w:id="4"/>
    <w:p w:rsidR="007A09D2" w:rsidRPr="00D31F64" w:rsidRDefault="007A09D2" w:rsidP="007D1BC4">
      <w:pPr>
        <w:numPr>
          <w:ilvl w:val="0"/>
          <w:numId w:val="1"/>
        </w:numPr>
        <w:spacing w:line="276" w:lineRule="auto"/>
        <w:ind w:left="709" w:hanging="283"/>
        <w:contextualSpacing/>
        <w:rPr>
          <w:rFonts w:ascii="Arial" w:hAnsi="Arial" w:cs="Arial"/>
          <w:b/>
          <w:bCs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 xml:space="preserve">Działania 2.7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Gospodarka o obiegu zamkniętym</w:t>
      </w:r>
      <w:r w:rsidRPr="00D31F64">
        <w:rPr>
          <w:rFonts w:ascii="Arial" w:hAnsi="Arial" w:cs="Arial"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modyfikacja zapisów w polu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uproszczone metody rozliczania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poprzez usunięcie słowa „brak”.</w:t>
      </w:r>
    </w:p>
    <w:p w:rsidR="007A09D2" w:rsidRPr="00D31F64" w:rsidRDefault="007A09D2" w:rsidP="007D1BC4">
      <w:pPr>
        <w:numPr>
          <w:ilvl w:val="0"/>
          <w:numId w:val="1"/>
        </w:numPr>
        <w:spacing w:line="276" w:lineRule="auto"/>
        <w:ind w:left="709" w:hanging="283"/>
        <w:contextualSpacing/>
        <w:rPr>
          <w:rFonts w:ascii="Arial" w:hAnsi="Arial" w:cs="Arial"/>
          <w:b/>
          <w:bCs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 xml:space="preserve">Działania 2.8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Ochrona przyrody i różnorodności biologicznej: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modyfikacja nazwy 2 typu projektów: „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Opracowanie i aktualizacja dokumentów strategicznych, planistycznych i waloryzujących dla obszarów chronionych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”. </w:t>
      </w:r>
      <w:r w:rsidRPr="00D31F64">
        <w:rPr>
          <w:rFonts w:ascii="Arial" w:hAnsi="Arial" w:cs="Arial"/>
          <w:sz w:val="23"/>
          <w:szCs w:val="23"/>
          <w:u w:val="single"/>
          <w:lang w:eastAsia="ar-SA"/>
        </w:rPr>
        <w:t>Po zmianie nazwa 2 typu projektów brzmi</w:t>
      </w:r>
      <w:r w:rsidRPr="00D31F64">
        <w:rPr>
          <w:rFonts w:ascii="Arial" w:hAnsi="Arial" w:cs="Arial"/>
          <w:sz w:val="23"/>
          <w:szCs w:val="23"/>
          <w:lang w:eastAsia="ar-SA"/>
        </w:rPr>
        <w:t>: „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Opracowanie dokumentów waloryzujących dla obszarów chronionego krajobrazu wraz z rekomendacjami dla ich ochrony”</w:t>
      </w:r>
      <w:r w:rsidRPr="00D31F64">
        <w:rPr>
          <w:rFonts w:ascii="Arial" w:hAnsi="Arial" w:cs="Arial"/>
          <w:sz w:val="23"/>
          <w:szCs w:val="23"/>
          <w:lang w:eastAsia="ar-SA"/>
        </w:rPr>
        <w:t>,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modyfikacja zapisu: „Pozostałe typy projektów </w:t>
      </w:r>
      <w:r w:rsidRPr="00D31F64">
        <w:rPr>
          <w:rFonts w:ascii="Arial" w:hAnsi="Arial" w:cs="Arial"/>
          <w:strike/>
          <w:sz w:val="23"/>
          <w:szCs w:val="23"/>
          <w:lang w:eastAsia="ar-SA"/>
        </w:rPr>
        <w:t>oraz zakres dot. Opracowania i aktualizacji dokumentów strategicznych, planistycznych i waloryzujących dla obszarów chronionych tj. dla parków krajobrazowych, rezerwatów przyrody oraz obszarów Natura 2000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zostaną opracowane na dalszym etapie prac nad SZOP”,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usunięcie limitu nr 5: „W zakresie projektów dot. opracowania dokumentów strategicznych, planistycznych i waloryzujących dla obszarów chronionych finansowanie obejmuje przygotowanie dokumentów dla obszarów chronionego krajobrazu”,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i/>
          <w:iCs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lastRenderedPageBreak/>
        <w:t xml:space="preserve">zmiana zapisów w polu: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 xml:space="preserve">Maksymalny % poziom dofinansowania UE w projekcie 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oraz w polu: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Maksymalny % poziom dofinansowania całkowitego wydatków kwalifikowalnych na poziomie projektu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– </w:t>
      </w:r>
      <w:r w:rsidRPr="00D31F64">
        <w:rPr>
          <w:rFonts w:ascii="Arial" w:hAnsi="Arial" w:cs="Arial"/>
          <w:sz w:val="23"/>
          <w:szCs w:val="23"/>
          <w:u w:val="single"/>
          <w:lang w:eastAsia="ar-SA"/>
        </w:rPr>
        <w:t>wprowadzenie wartości 100%</w:t>
      </w:r>
      <w:r w:rsidRPr="00D31F64">
        <w:rPr>
          <w:rFonts w:ascii="Arial" w:hAnsi="Arial" w:cs="Arial"/>
          <w:sz w:val="23"/>
          <w:szCs w:val="23"/>
          <w:lang w:eastAsia="ar-SA"/>
        </w:rPr>
        <w:t>,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i/>
          <w:iCs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zmiana zapisów w polu: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 xml:space="preserve">Minimalny wkład własny beneficjenta </w:t>
      </w:r>
      <w:r w:rsidRPr="00D31F64">
        <w:rPr>
          <w:rFonts w:ascii="Arial" w:hAnsi="Arial" w:cs="Arial"/>
          <w:sz w:val="23"/>
          <w:szCs w:val="23"/>
          <w:lang w:eastAsia="ar-SA"/>
        </w:rPr>
        <w:t>– wprowadzenie tekstu: „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0% ( minimalny wkład własny 0% dotyczy projektów z typu 2, dla pozostałych projektów – 15%</w:t>
      </w:r>
      <w:r w:rsidRPr="00D31F64">
        <w:rPr>
          <w:rFonts w:ascii="Arial" w:hAnsi="Arial" w:cs="Arial"/>
          <w:sz w:val="23"/>
          <w:szCs w:val="23"/>
          <w:lang w:eastAsia="ar-SA"/>
        </w:rPr>
        <w:t>)”,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uzupełnienie zapisów w polu: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 xml:space="preserve">Sposób wyboru projektów – </w:t>
      </w:r>
      <w:r w:rsidRPr="00D31F64">
        <w:rPr>
          <w:rFonts w:ascii="Arial" w:hAnsi="Arial" w:cs="Arial"/>
          <w:sz w:val="23"/>
          <w:szCs w:val="23"/>
          <w:lang w:eastAsia="ar-SA"/>
        </w:rPr>
        <w:t>poprzez dodanie kolejnego sposobu wyboru projektów - niekonkurencyjny,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modyfikacja zapisów w polu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Uproszczone metody rozliczania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poprzez usunięcie słowa „brak”.</w:t>
      </w:r>
    </w:p>
    <w:p w:rsidR="007A09D2" w:rsidRPr="00D31F64" w:rsidRDefault="007A09D2" w:rsidP="007D1BC4">
      <w:pPr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w opisie działania w zakresie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 xml:space="preserve">Limitów i ograniczeń </w:t>
      </w:r>
      <w:r w:rsidRPr="00D31F64">
        <w:rPr>
          <w:rFonts w:ascii="Arial" w:hAnsi="Arial" w:cs="Arial"/>
          <w:sz w:val="23"/>
          <w:szCs w:val="23"/>
          <w:lang w:eastAsia="ar-SA"/>
        </w:rPr>
        <w:t>dodano limit dot. sposobu wyboru projektów - niekonkurencyjny.</w:t>
      </w:r>
    </w:p>
    <w:p w:rsidR="007A09D2" w:rsidRPr="00D31F64" w:rsidRDefault="007A09D2" w:rsidP="007A09D2">
      <w:pPr>
        <w:spacing w:line="276" w:lineRule="auto"/>
        <w:rPr>
          <w:rFonts w:ascii="Arial" w:hAnsi="Arial" w:cs="Arial"/>
          <w:sz w:val="23"/>
          <w:szCs w:val="23"/>
          <w:lang w:eastAsia="ar-SA"/>
        </w:rPr>
      </w:pP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426"/>
        <w:contextualSpacing/>
        <w:rPr>
          <w:rFonts w:ascii="Arial" w:hAnsi="Arial" w:cs="Arial"/>
          <w:b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sz w:val="23"/>
          <w:szCs w:val="23"/>
          <w:lang w:eastAsia="ar-SA"/>
        </w:rPr>
        <w:t xml:space="preserve">Priorytet 3 </w:t>
      </w:r>
      <w:r w:rsidRPr="00D31F64">
        <w:rPr>
          <w:rFonts w:ascii="Arial" w:hAnsi="Arial" w:cs="Arial"/>
          <w:b/>
          <w:i/>
          <w:iCs/>
          <w:sz w:val="23"/>
          <w:szCs w:val="23"/>
          <w:lang w:eastAsia="ar-SA"/>
        </w:rPr>
        <w:t>Mobilność miejska</w:t>
      </w:r>
      <w:r w:rsidRPr="00D31F64">
        <w:rPr>
          <w:rFonts w:ascii="Arial" w:hAnsi="Arial" w:cs="Arial"/>
          <w:b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hAnsi="Arial" w:cs="Arial"/>
          <w:b/>
          <w:bCs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>Działanie 3.1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Zrównoważona mobilność miejska – ZIT</w:t>
      </w:r>
      <w:r w:rsidRPr="00D31F64">
        <w:rPr>
          <w:rFonts w:ascii="Arial" w:hAnsi="Arial" w:cs="Arial"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6"/>
        </w:numPr>
        <w:spacing w:line="276" w:lineRule="auto"/>
        <w:ind w:left="709" w:hanging="283"/>
        <w:contextualSpacing/>
        <w:rPr>
          <w:rFonts w:ascii="Arial" w:hAnsi="Arial" w:cs="Arial"/>
          <w:iCs/>
          <w:sz w:val="23"/>
          <w:szCs w:val="23"/>
          <w:lang w:eastAsia="ar-SA"/>
        </w:rPr>
      </w:pPr>
      <w:r w:rsidRPr="00D31F64">
        <w:rPr>
          <w:rFonts w:ascii="Arial" w:hAnsi="Arial" w:cs="Arial"/>
          <w:iCs/>
          <w:sz w:val="23"/>
          <w:szCs w:val="23"/>
          <w:lang w:eastAsia="ar-SA"/>
        </w:rPr>
        <w:t>aktualizacja w pozycjach „</w:t>
      </w:r>
      <w:r w:rsidRPr="00D31F64">
        <w:rPr>
          <w:rFonts w:ascii="Arial" w:hAnsi="Arial" w:cs="Arial"/>
          <w:i/>
          <w:sz w:val="23"/>
          <w:szCs w:val="23"/>
          <w:lang w:eastAsia="ar-SA"/>
        </w:rPr>
        <w:t>Wysokość alokacji ogółem (EUR)”</w:t>
      </w:r>
      <w:r w:rsidRPr="00D31F64">
        <w:rPr>
          <w:rFonts w:ascii="Arial" w:hAnsi="Arial" w:cs="Arial"/>
          <w:iCs/>
          <w:sz w:val="23"/>
          <w:szCs w:val="23"/>
          <w:lang w:eastAsia="ar-SA"/>
        </w:rPr>
        <w:t xml:space="preserve"> oraz „</w:t>
      </w:r>
      <w:r w:rsidRPr="00D31F64">
        <w:rPr>
          <w:rFonts w:ascii="Arial" w:hAnsi="Arial" w:cs="Arial"/>
          <w:i/>
          <w:sz w:val="23"/>
          <w:szCs w:val="23"/>
          <w:lang w:eastAsia="ar-SA"/>
        </w:rPr>
        <w:t>Wysokość alokacji UE (EUR)”</w:t>
      </w:r>
      <w:r w:rsidRPr="00D31F64">
        <w:rPr>
          <w:rFonts w:ascii="Arial" w:hAnsi="Arial" w:cs="Arial"/>
          <w:iCs/>
          <w:sz w:val="23"/>
          <w:szCs w:val="23"/>
          <w:lang w:eastAsia="ar-SA"/>
        </w:rPr>
        <w:t xml:space="preserve">, celem uwzględnienia całości środków EFRR z Priorytetu 3 </w:t>
      </w:r>
      <w:r w:rsidRPr="00D31F64">
        <w:rPr>
          <w:rFonts w:ascii="Arial" w:hAnsi="Arial" w:cs="Arial"/>
          <w:i/>
          <w:sz w:val="23"/>
          <w:szCs w:val="23"/>
          <w:lang w:eastAsia="ar-SA"/>
        </w:rPr>
        <w:t>Mobilność miejska</w:t>
      </w:r>
      <w:r w:rsidRPr="00D31F64">
        <w:rPr>
          <w:rFonts w:ascii="Arial" w:hAnsi="Arial" w:cs="Arial"/>
          <w:iCs/>
          <w:sz w:val="23"/>
          <w:szCs w:val="23"/>
          <w:lang w:eastAsia="ar-SA"/>
        </w:rPr>
        <w:t xml:space="preserve"> FEP 2021-2027 w Działaniu 3.1. </w:t>
      </w:r>
      <w:r w:rsidRPr="00D31F64">
        <w:rPr>
          <w:rFonts w:ascii="Arial" w:hAnsi="Arial" w:cs="Arial"/>
          <w:bCs/>
          <w:sz w:val="23"/>
          <w:szCs w:val="23"/>
          <w:lang w:eastAsia="ar-SA"/>
        </w:rPr>
        <w:t xml:space="preserve">Wysokość alokacji ogółem 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na Działanie 3.1 po zmianie </w:t>
      </w:r>
      <w:r w:rsidRPr="00D31F64">
        <w:rPr>
          <w:rFonts w:ascii="Arial" w:hAnsi="Arial" w:cs="Arial"/>
          <w:bCs/>
          <w:sz w:val="23"/>
          <w:szCs w:val="23"/>
          <w:lang w:eastAsia="ar-SA"/>
        </w:rPr>
        <w:t xml:space="preserve">wynosi 82 733 637 euro, natomiast wysokość alokacji UE - </w:t>
      </w:r>
      <w:r w:rsidRPr="00D31F64">
        <w:rPr>
          <w:rFonts w:ascii="Arial" w:hAnsi="Arial" w:cs="Arial"/>
          <w:sz w:val="23"/>
          <w:szCs w:val="23"/>
          <w:lang w:eastAsia="ar-SA"/>
        </w:rPr>
        <w:t>70 323 591 euro.</w:t>
      </w: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sz w:val="23"/>
          <w:szCs w:val="23"/>
          <w:lang w:eastAsia="ar-SA"/>
        </w:rPr>
        <w:t xml:space="preserve">Priorytet 5 </w:t>
      </w:r>
      <w:r w:rsidRPr="00D31F64">
        <w:rPr>
          <w:rFonts w:ascii="Arial" w:hAnsi="Arial" w:cs="Arial"/>
          <w:b/>
          <w:i/>
          <w:sz w:val="23"/>
          <w:szCs w:val="23"/>
          <w:lang w:eastAsia="ar-SA"/>
        </w:rPr>
        <w:t>Przyjazna przestrzeń społeczna: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hAnsi="Arial" w:cs="Arial"/>
          <w:i/>
          <w:iCs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 xml:space="preserve">Działanie 5.2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Włączenie społeczne</w:t>
      </w:r>
    </w:p>
    <w:p w:rsidR="007A09D2" w:rsidRPr="00D31F64" w:rsidRDefault="007A09D2" w:rsidP="007A09D2">
      <w:pPr>
        <w:spacing w:line="276" w:lineRule="auto"/>
        <w:ind w:left="709"/>
        <w:contextualSpacing/>
        <w:rPr>
          <w:rFonts w:ascii="Arial" w:hAnsi="Arial" w:cs="Arial"/>
          <w:i/>
          <w:iCs/>
          <w:sz w:val="23"/>
          <w:szCs w:val="23"/>
          <w:lang w:eastAsia="ar-SA"/>
        </w:rPr>
      </w:pPr>
      <w:r w:rsidRPr="00D31F64">
        <w:rPr>
          <w:rFonts w:ascii="Arial" w:hAnsi="Arial" w:cs="Arial"/>
          <w:iCs/>
          <w:sz w:val="23"/>
          <w:szCs w:val="23"/>
          <w:lang w:eastAsia="ar-SA"/>
        </w:rPr>
        <w:t>Aktualizacja we wszystkich typach projektów, w pozycjach: „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Limity i ograniczenia</w:t>
      </w:r>
      <w:r w:rsidRPr="00D31F64">
        <w:rPr>
          <w:rFonts w:ascii="Arial" w:hAnsi="Arial" w:cs="Arial"/>
          <w:iCs/>
          <w:sz w:val="23"/>
          <w:szCs w:val="23"/>
          <w:lang w:eastAsia="ar-SA"/>
        </w:rPr>
        <w:t>”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5"/>
        </w:numPr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maksymalnej wartości wydatków kwalifikowalnych w projekcie,</w:t>
      </w:r>
    </w:p>
    <w:p w:rsidR="007A09D2" w:rsidRPr="00D31F64" w:rsidRDefault="007A09D2" w:rsidP="007D1BC4">
      <w:pPr>
        <w:numPr>
          <w:ilvl w:val="0"/>
          <w:numId w:val="5"/>
        </w:numPr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dodanie limitu w zakresie ilości wniosków składanych przez jeden podmiot.</w:t>
      </w:r>
    </w:p>
    <w:p w:rsidR="007A09D2" w:rsidRPr="00D31F64" w:rsidRDefault="007A09D2" w:rsidP="007A09D2">
      <w:pPr>
        <w:spacing w:line="276" w:lineRule="auto"/>
        <w:ind w:left="1785"/>
        <w:contextualSpacing/>
        <w:rPr>
          <w:rFonts w:ascii="Arial" w:hAnsi="Arial" w:cs="Arial"/>
          <w:sz w:val="23"/>
          <w:szCs w:val="23"/>
          <w:lang w:eastAsia="ar-SA"/>
        </w:rPr>
      </w:pP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Arial" w:hAnsi="Arial" w:cs="Arial"/>
          <w:bCs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hAnsi="Arial" w:cs="Arial"/>
          <w:b/>
          <w:sz w:val="23"/>
          <w:szCs w:val="23"/>
          <w:lang w:eastAsia="ar-SA"/>
        </w:rPr>
        <w:t xml:space="preserve">Priorytet 9 Pomoc techniczna EFRR, 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 xml:space="preserve">Działanie 9.1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Pomoc techniczna EFRR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: </w:t>
      </w:r>
      <w:bookmarkStart w:id="5" w:name="_Hlk164254791"/>
      <w:r w:rsidRPr="00D31F64">
        <w:rPr>
          <w:rFonts w:ascii="Arial" w:hAnsi="Arial" w:cs="Arial"/>
          <w:sz w:val="23"/>
          <w:szCs w:val="23"/>
          <w:lang w:eastAsia="ar-SA"/>
        </w:rPr>
        <w:t>zmodyfikowano brzmienie  pola Uproszczone metody rozliczania  poprzez dodanie „stawka jednostkowa w oparciu o metodykę IZ [art. 53(3)(a) CPR]” oraz usunięcie słowa „brak”.</w:t>
      </w:r>
      <w:bookmarkEnd w:id="5"/>
    </w:p>
    <w:p w:rsidR="007A09D2" w:rsidRPr="00D31F64" w:rsidRDefault="007A09D2" w:rsidP="007A09D2">
      <w:pPr>
        <w:spacing w:line="276" w:lineRule="auto"/>
        <w:ind w:left="709"/>
        <w:contextualSpacing/>
        <w:rPr>
          <w:rFonts w:ascii="Arial" w:hAnsi="Arial" w:cs="Arial"/>
          <w:sz w:val="23"/>
          <w:szCs w:val="23"/>
          <w:lang w:eastAsia="ar-SA"/>
        </w:rPr>
      </w:pP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Aktualizacja podstaw prawnych pomocy publicznej w opisach niżej wymienionych działań: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Działaniach 1.1, 1.2, 1.3, 1.4, 2.1, 2.2, 2.4, 2.6, 2.7, 2.8, 3.1, 4.2, 4.3, 5.1, 5.2, 5.3, 5.5, 6.1, 6.2 w  Sekcji </w:t>
      </w:r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t>Pomoc publiczna – unijna podstawa prawna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  <w:u w:val="single"/>
          <w:lang w:eastAsia="ar-SA"/>
        </w:rPr>
        <w:t>usunięto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sz w:val="23"/>
          <w:szCs w:val="23"/>
          <w:lang w:eastAsia="ar-SA"/>
        </w:rPr>
        <w:t>,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Działaniach 1.1, 1.2, 1.3, 1.4, 2.2, 2.4, 2.6, 4.2, 4.3, 5.1, 5.2, 5.3, 5.5, 6.1, 6.2 w Sekcji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Pomoc publiczna – unijna podstawa prawna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  <w:u w:val="single"/>
          <w:lang w:eastAsia="ar-SA"/>
        </w:rPr>
        <w:t>dodano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(Dz. U. UE. L. z 2023 r. poz. 2831), 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Działaniach 1.1, 1.2, 1.3, 1.4, 2.1, 2.2, 2.4, 2.6, 2.7, 2.8, 3.1, 4.2, 4.3, 5.1, 5.2, 5.3, 5.5, 6.1, 6.2 w Sekcji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Pomoc publiczna – krajowa podstawa prawna</w:t>
      </w:r>
      <w:r w:rsidRPr="00D31F64">
        <w:rPr>
          <w:rFonts w:ascii="Arial" w:eastAsia="Calibri" w:hAnsi="Arial" w:cs="Arial"/>
          <w:b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  <w:u w:val="single"/>
          <w:lang w:eastAsia="ar-SA"/>
        </w:rPr>
        <w:t>usunięto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t xml:space="preserve">Rozporządzenie Ministra Funduszy i Polityki Regionalnej z dnia 29 września 2022 </w:t>
      </w:r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lastRenderedPageBreak/>
        <w:t xml:space="preserve">r. w sprawie udzielania pomocy de </w:t>
      </w:r>
      <w:proofErr w:type="spellStart"/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i/>
          <w:iCs/>
          <w:sz w:val="23"/>
          <w:szCs w:val="23"/>
          <w:lang w:eastAsia="ar-SA"/>
        </w:rPr>
        <w:t xml:space="preserve"> w ramach regionalnych programów na lata 2021–2027 (Dz. U. 2022 poz. 2062),</w:t>
      </w:r>
    </w:p>
    <w:p w:rsidR="007A09D2" w:rsidRPr="00D31F64" w:rsidRDefault="007A09D2" w:rsidP="007D1BC4">
      <w:pPr>
        <w:numPr>
          <w:ilvl w:val="0"/>
          <w:numId w:val="3"/>
        </w:numPr>
        <w:spacing w:line="276" w:lineRule="auto"/>
        <w:ind w:left="709" w:hanging="283"/>
        <w:contextualSpacing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Działaniach 1.1, 1.2, 1.3, 1.4, 2.1, 2.2, 2.4, 2.6, 2.7, 2.8, 3.1, 4.2, 4.3, 5.1, 5.2, 5.3, 5.5, 6.1, 6.2 w Sekcji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Pomoc publiczna – krajowa podstawa prawna</w:t>
      </w:r>
      <w:r w:rsidRPr="00D31F64">
        <w:rPr>
          <w:rFonts w:ascii="Arial" w:eastAsia="Calibri" w:hAnsi="Arial" w:cs="Arial"/>
          <w:b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bCs/>
          <w:sz w:val="23"/>
          <w:szCs w:val="23"/>
          <w:u w:val="single"/>
          <w:lang w:eastAsia="ar-SA"/>
        </w:rPr>
        <w:t>dodano</w:t>
      </w:r>
      <w:r w:rsidRPr="00D31F64">
        <w:rPr>
          <w:rFonts w:ascii="Arial" w:eastAsia="Calibri" w:hAnsi="Arial" w:cs="Arial"/>
          <w:bCs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Rozporządzenie Ministra Funduszy i Polityki Regionalnej z dnia 17 kwietnia 2024 r. w sprawie udzielania pomocy de </w:t>
      </w:r>
      <w:proofErr w:type="spellStart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 w ramach regionalnych programów na lata 2021–2027 (Dz.U. 2024 poz. 598).</w:t>
      </w:r>
    </w:p>
    <w:p w:rsidR="007A09D2" w:rsidRPr="00D31F64" w:rsidRDefault="007A09D2" w:rsidP="007A09D2">
      <w:pPr>
        <w:spacing w:line="276" w:lineRule="auto"/>
        <w:ind w:left="993"/>
        <w:contextualSpacing/>
        <w:rPr>
          <w:rFonts w:ascii="Arial" w:hAnsi="Arial" w:cs="Arial"/>
          <w:sz w:val="23"/>
          <w:szCs w:val="23"/>
          <w:lang w:eastAsia="ar-SA"/>
        </w:rPr>
      </w:pPr>
    </w:p>
    <w:p w:rsidR="007A09D2" w:rsidRPr="007A09D2" w:rsidRDefault="007A09D2" w:rsidP="007D1BC4">
      <w:pPr>
        <w:pStyle w:val="Akapitzlist"/>
        <w:numPr>
          <w:ilvl w:val="0"/>
          <w:numId w:val="18"/>
        </w:numPr>
        <w:spacing w:line="276" w:lineRule="auto"/>
        <w:rPr>
          <w:rFonts w:ascii="Arial" w:eastAsia="Calibri" w:hAnsi="Arial" w:cs="Arial"/>
          <w:b/>
          <w:sz w:val="23"/>
          <w:szCs w:val="23"/>
          <w:u w:val="single"/>
          <w:lang w:eastAsia="ar-SA"/>
        </w:rPr>
      </w:pPr>
      <w:r w:rsidRPr="007A09D2">
        <w:rPr>
          <w:rFonts w:ascii="Arial" w:eastAsia="Calibri" w:hAnsi="Arial" w:cs="Arial"/>
          <w:b/>
          <w:sz w:val="23"/>
          <w:szCs w:val="23"/>
          <w:u w:val="single"/>
          <w:lang w:eastAsia="ar-SA"/>
        </w:rPr>
        <w:t>w zakresie EFS+</w:t>
      </w:r>
    </w:p>
    <w:p w:rsidR="007A09D2" w:rsidRPr="00D31F64" w:rsidRDefault="007A09D2" w:rsidP="007A09D2">
      <w:p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 w:val="23"/>
          <w:szCs w:val="23"/>
          <w:highlight w:val="yellow"/>
        </w:rPr>
      </w:pPr>
    </w:p>
    <w:p w:rsidR="007A09D2" w:rsidRPr="00D31F64" w:rsidRDefault="007A09D2" w:rsidP="007D1BC4">
      <w:pPr>
        <w:numPr>
          <w:ilvl w:val="0"/>
          <w:numId w:val="2"/>
        </w:numPr>
        <w:spacing w:after="160" w:line="276" w:lineRule="auto"/>
        <w:ind w:left="426" w:hanging="284"/>
        <w:contextualSpacing/>
        <w:rPr>
          <w:rFonts w:ascii="Arial" w:hAnsi="Arial" w:cs="Arial"/>
          <w:sz w:val="23"/>
          <w:szCs w:val="23"/>
        </w:rPr>
      </w:pPr>
      <w:r w:rsidRPr="00D31F64">
        <w:rPr>
          <w:rFonts w:ascii="Arial" w:hAnsi="Arial" w:cs="Arial"/>
          <w:b/>
          <w:sz w:val="23"/>
          <w:szCs w:val="23"/>
        </w:rPr>
        <w:t xml:space="preserve">Priorytet 7 </w:t>
      </w:r>
      <w:r w:rsidRPr="00D31F64">
        <w:rPr>
          <w:rFonts w:ascii="Arial" w:hAnsi="Arial" w:cs="Arial"/>
          <w:b/>
          <w:bCs/>
          <w:i/>
          <w:sz w:val="23"/>
          <w:szCs w:val="23"/>
        </w:rPr>
        <w:t>Kapitał ludzki gotowy do zmian</w:t>
      </w:r>
      <w:r w:rsidRPr="00D31F64">
        <w:rPr>
          <w:rFonts w:ascii="Arial" w:hAnsi="Arial" w:cs="Arial"/>
          <w:b/>
          <w:i/>
          <w:sz w:val="23"/>
          <w:szCs w:val="23"/>
        </w:rPr>
        <w:t xml:space="preserve"> </w:t>
      </w:r>
      <w:r w:rsidRPr="00D31F64">
        <w:rPr>
          <w:rFonts w:ascii="Arial" w:hAnsi="Arial" w:cs="Arial"/>
          <w:sz w:val="23"/>
          <w:szCs w:val="23"/>
        </w:rPr>
        <w:t>w zakresie:</w:t>
      </w:r>
    </w:p>
    <w:p w:rsidR="007A09D2" w:rsidRPr="00D31F64" w:rsidRDefault="007A09D2" w:rsidP="007D1BC4">
      <w:pPr>
        <w:numPr>
          <w:ilvl w:val="0"/>
          <w:numId w:val="16"/>
        </w:numPr>
        <w:tabs>
          <w:tab w:val="left" w:pos="709"/>
        </w:tabs>
        <w:suppressAutoHyphens/>
        <w:autoSpaceDN w:val="0"/>
        <w:spacing w:after="160" w:line="276" w:lineRule="auto"/>
        <w:contextualSpacing/>
        <w:textAlignment w:val="baseline"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</w:rPr>
        <w:t xml:space="preserve">Działania 7.5 </w:t>
      </w:r>
      <w:r w:rsidRPr="00D31F64">
        <w:rPr>
          <w:rFonts w:ascii="Arial" w:hAnsi="Arial" w:cs="Arial"/>
          <w:b/>
          <w:bCs/>
          <w:i/>
          <w:sz w:val="23"/>
          <w:szCs w:val="23"/>
        </w:rPr>
        <w:t>Inicjatywa ALMA</w:t>
      </w:r>
    </w:p>
    <w:p w:rsidR="007A09D2" w:rsidRPr="00D31F64" w:rsidRDefault="007A09D2" w:rsidP="007D1BC4">
      <w:pPr>
        <w:numPr>
          <w:ilvl w:val="0"/>
          <w:numId w:val="17"/>
        </w:numPr>
        <w:tabs>
          <w:tab w:val="left" w:pos="709"/>
        </w:tabs>
        <w:suppressAutoHyphens/>
        <w:autoSpaceDN w:val="0"/>
        <w:spacing w:after="160" w:line="276" w:lineRule="auto"/>
        <w:contextualSpacing/>
        <w:textAlignment w:val="baseline"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dodanie nowego działania,</w:t>
      </w:r>
    </w:p>
    <w:p w:rsidR="007A09D2" w:rsidRPr="00D31F64" w:rsidRDefault="007A09D2" w:rsidP="007D1BC4">
      <w:pPr>
        <w:numPr>
          <w:ilvl w:val="0"/>
          <w:numId w:val="16"/>
        </w:numPr>
        <w:suppressAutoHyphens/>
        <w:spacing w:line="276" w:lineRule="auto"/>
        <w:contextualSpacing/>
        <w:rPr>
          <w:rFonts w:ascii="Arial" w:hAnsi="Arial" w:cs="Arial"/>
          <w:b/>
          <w:bCs/>
          <w:i/>
          <w:sz w:val="23"/>
          <w:szCs w:val="23"/>
        </w:rPr>
      </w:pPr>
      <w:r w:rsidRPr="00D31F64">
        <w:rPr>
          <w:rFonts w:ascii="Arial" w:hAnsi="Arial" w:cs="Arial"/>
          <w:b/>
          <w:bCs/>
          <w:sz w:val="23"/>
          <w:szCs w:val="23"/>
        </w:rPr>
        <w:t xml:space="preserve">Działania 7.6 </w:t>
      </w:r>
      <w:r w:rsidRPr="00D31F64">
        <w:rPr>
          <w:rFonts w:ascii="Arial" w:hAnsi="Arial" w:cs="Arial"/>
          <w:b/>
          <w:bCs/>
          <w:i/>
          <w:sz w:val="23"/>
          <w:szCs w:val="23"/>
        </w:rPr>
        <w:t>Wsparcie Publicznych Służb Zatrudnienia oraz innych Instytucji rynku pracy:</w:t>
      </w:r>
    </w:p>
    <w:p w:rsidR="007A09D2" w:rsidRPr="00D31F64" w:rsidRDefault="007A09D2" w:rsidP="007D1BC4">
      <w:pPr>
        <w:numPr>
          <w:ilvl w:val="0"/>
          <w:numId w:val="15"/>
        </w:numPr>
        <w:suppressAutoHyphens/>
        <w:spacing w:line="276" w:lineRule="auto"/>
        <w:contextualSpacing/>
        <w:rPr>
          <w:rFonts w:ascii="Arial" w:hAnsi="Arial" w:cs="Arial"/>
          <w:bCs/>
          <w:sz w:val="23"/>
          <w:szCs w:val="23"/>
        </w:rPr>
      </w:pPr>
      <w:r w:rsidRPr="00D31F64">
        <w:rPr>
          <w:rFonts w:ascii="Arial" w:hAnsi="Arial" w:cs="Arial"/>
          <w:bCs/>
          <w:sz w:val="23"/>
          <w:szCs w:val="23"/>
        </w:rPr>
        <w:t>dodanie nowego działania,</w:t>
      </w:r>
    </w:p>
    <w:p w:rsidR="007A09D2" w:rsidRPr="00D31F64" w:rsidRDefault="007A09D2" w:rsidP="007D1BC4">
      <w:pPr>
        <w:numPr>
          <w:ilvl w:val="0"/>
          <w:numId w:val="16"/>
        </w:numPr>
        <w:suppressAutoHyphens/>
        <w:spacing w:line="276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D31F64">
        <w:rPr>
          <w:rFonts w:ascii="Arial" w:hAnsi="Arial" w:cs="Arial"/>
          <w:b/>
          <w:bCs/>
          <w:sz w:val="23"/>
          <w:szCs w:val="23"/>
        </w:rPr>
        <w:t xml:space="preserve">Działania 7.9 </w:t>
      </w:r>
      <w:r w:rsidRPr="00D31F64">
        <w:rPr>
          <w:rFonts w:ascii="Arial" w:hAnsi="Arial" w:cs="Arial"/>
          <w:b/>
          <w:bCs/>
          <w:i/>
          <w:sz w:val="23"/>
          <w:szCs w:val="23"/>
        </w:rPr>
        <w:t>Rozwój kwalifikacji i kompetencji kadr</w:t>
      </w:r>
      <w:r w:rsidRPr="00D31F64">
        <w:rPr>
          <w:rFonts w:ascii="Arial" w:hAnsi="Arial" w:cs="Arial"/>
          <w:b/>
          <w:bCs/>
          <w:sz w:val="23"/>
          <w:szCs w:val="23"/>
        </w:rPr>
        <w:t>:</w:t>
      </w:r>
    </w:p>
    <w:p w:rsidR="007A09D2" w:rsidRPr="00D31F64" w:rsidRDefault="007A09D2" w:rsidP="007D1BC4">
      <w:pPr>
        <w:numPr>
          <w:ilvl w:val="0"/>
          <w:numId w:val="15"/>
        </w:numPr>
        <w:suppressAutoHyphens/>
        <w:spacing w:line="276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D31F64">
        <w:rPr>
          <w:rFonts w:ascii="Arial" w:hAnsi="Arial" w:cs="Arial"/>
          <w:bCs/>
          <w:sz w:val="23"/>
          <w:szCs w:val="23"/>
        </w:rPr>
        <w:t xml:space="preserve">w polu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Wysokość alokacji ogółem</w:t>
      </w:r>
      <w:r w:rsidRPr="00D31F64">
        <w:rPr>
          <w:rFonts w:ascii="Arial" w:eastAsia="Calibri" w:hAnsi="Arial" w:cs="Arial"/>
          <w:b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(EUR)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hAnsi="Arial" w:cs="Arial"/>
          <w:bCs/>
          <w:sz w:val="23"/>
          <w:szCs w:val="23"/>
        </w:rPr>
        <w:t>- skorygowano kwotę na 29 764 707 euro,</w:t>
      </w:r>
    </w:p>
    <w:p w:rsidR="007A09D2" w:rsidRPr="00D31F64" w:rsidRDefault="007A09D2" w:rsidP="007D1BC4">
      <w:pPr>
        <w:numPr>
          <w:ilvl w:val="0"/>
          <w:numId w:val="17"/>
        </w:numPr>
        <w:suppressAutoHyphens/>
        <w:spacing w:line="276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D31F64">
        <w:rPr>
          <w:rFonts w:ascii="Arial" w:hAnsi="Arial" w:cs="Arial"/>
          <w:bCs/>
          <w:sz w:val="23"/>
          <w:szCs w:val="23"/>
        </w:rPr>
        <w:t xml:space="preserve">dodano wskaźnik PLDC002 </w:t>
      </w:r>
      <w:r w:rsidRPr="00D31F64">
        <w:rPr>
          <w:rFonts w:ascii="Arial" w:hAnsi="Arial" w:cs="Arial"/>
          <w:bCs/>
          <w:i/>
          <w:sz w:val="23"/>
          <w:szCs w:val="23"/>
        </w:rPr>
        <w:t xml:space="preserve">Liczba dużych przedsiębiorstw objętych usługami rozwojowymi, </w:t>
      </w:r>
    </w:p>
    <w:p w:rsidR="007A09D2" w:rsidRPr="00D31F64" w:rsidRDefault="007A09D2" w:rsidP="007D1BC4">
      <w:pPr>
        <w:numPr>
          <w:ilvl w:val="0"/>
          <w:numId w:val="12"/>
        </w:numPr>
        <w:suppressAutoHyphens/>
        <w:autoSpaceDN w:val="0"/>
        <w:spacing w:line="276" w:lineRule="auto"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b/>
          <w:sz w:val="23"/>
          <w:szCs w:val="23"/>
          <w:lang w:eastAsia="ar-SA"/>
        </w:rPr>
        <w:t xml:space="preserve">Działania 7.18 </w:t>
      </w:r>
      <w:r w:rsidRPr="00D31F64">
        <w:rPr>
          <w:rFonts w:ascii="Arial" w:eastAsia="Calibri" w:hAnsi="Arial" w:cs="Arial"/>
          <w:b/>
          <w:i/>
          <w:sz w:val="23"/>
          <w:szCs w:val="23"/>
          <w:lang w:eastAsia="ar-SA"/>
        </w:rPr>
        <w:t>Usługi społeczne i zdrowotne świadczone w społeczności lokalnej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</w:p>
    <w:p w:rsidR="007A09D2" w:rsidRPr="00D31F64" w:rsidRDefault="007A09D2" w:rsidP="007D1BC4">
      <w:pPr>
        <w:numPr>
          <w:ilvl w:val="0"/>
          <w:numId w:val="17"/>
        </w:numPr>
        <w:suppressAutoHyphens/>
        <w:autoSpaceDN w:val="0"/>
        <w:spacing w:line="276" w:lineRule="auto"/>
        <w:contextualSpacing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polu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Wysokość alokacji ogółem</w:t>
      </w:r>
      <w:r w:rsidRPr="00D31F64">
        <w:rPr>
          <w:rFonts w:ascii="Arial" w:eastAsia="Calibri" w:hAnsi="Arial" w:cs="Arial"/>
          <w:b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(EUR)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skorygowano kwotę na 128 632 568 EUR,</w:t>
      </w:r>
    </w:p>
    <w:p w:rsidR="007A09D2" w:rsidRPr="00D31F64" w:rsidRDefault="007A09D2" w:rsidP="007D1BC4">
      <w:pPr>
        <w:numPr>
          <w:ilvl w:val="0"/>
          <w:numId w:val="12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Cs/>
          <w:color w:val="000000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color w:val="000000"/>
          <w:sz w:val="23"/>
          <w:szCs w:val="23"/>
          <w:lang w:eastAsia="ar-SA"/>
        </w:rPr>
        <w:t>Priorytet 10 Pomoc techniczna EFS+</w:t>
      </w:r>
      <w:r w:rsidRPr="00D31F64">
        <w:rPr>
          <w:rFonts w:ascii="Arial" w:hAnsi="Arial" w:cs="Arial"/>
          <w:color w:val="000000"/>
          <w:sz w:val="23"/>
          <w:szCs w:val="23"/>
          <w:lang w:eastAsia="ar-SA"/>
        </w:rPr>
        <w:t xml:space="preserve">, </w:t>
      </w:r>
    </w:p>
    <w:p w:rsidR="007A09D2" w:rsidRPr="00D31F64" w:rsidRDefault="007A09D2" w:rsidP="007D1BC4">
      <w:pPr>
        <w:numPr>
          <w:ilvl w:val="0"/>
          <w:numId w:val="12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b/>
          <w:bCs/>
          <w:sz w:val="23"/>
          <w:szCs w:val="23"/>
          <w:lang w:eastAsia="ar-SA"/>
        </w:rPr>
        <w:t xml:space="preserve">Działanie 10.1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Pomoc techniczna EFS+: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zmodyfikowano brzmienie pola Uproszczone metody rozliczania  poprzez dodanie „stawka jednostkowa w oparciu o metodykę IZ [art. 53(3)(a) CPR]” oraz usunięcie słowa „brak”.</w:t>
      </w:r>
    </w:p>
    <w:p w:rsidR="007A09D2" w:rsidRPr="00D31F64" w:rsidRDefault="007A09D2" w:rsidP="007D1BC4">
      <w:pPr>
        <w:numPr>
          <w:ilvl w:val="0"/>
          <w:numId w:val="2"/>
        </w:numPr>
        <w:spacing w:line="276" w:lineRule="auto"/>
        <w:ind w:left="426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Aktualizacja podstaw prawnych pomocy publicznej w opisach niżej wymienionych działań:</w:t>
      </w:r>
    </w:p>
    <w:p w:rsidR="007A09D2" w:rsidRPr="00D31F64" w:rsidRDefault="007A09D2" w:rsidP="007D1BC4">
      <w:pPr>
        <w:numPr>
          <w:ilvl w:val="0"/>
          <w:numId w:val="1"/>
        </w:numPr>
        <w:suppressAutoHyphens/>
        <w:autoSpaceDN w:val="0"/>
        <w:spacing w:line="276" w:lineRule="auto"/>
        <w:ind w:left="567" w:hanging="141"/>
        <w:contextualSpacing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 w Działaniu 7.1</w:t>
      </w:r>
      <w:r w:rsidRPr="00D31F64">
        <w:rPr>
          <w:rFonts w:ascii="Arial" w:eastAsia="Calibri" w:hAnsi="Arial" w:cs="Arial"/>
          <w:sz w:val="23"/>
          <w:szCs w:val="23"/>
          <w:u w:val="single"/>
          <w:lang w:eastAsia="ar-SA"/>
        </w:rPr>
        <w:t xml:space="preserve"> usunięto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>:</w:t>
      </w:r>
    </w:p>
    <w:p w:rsidR="007A09D2" w:rsidRPr="00D31F64" w:rsidRDefault="007A09D2" w:rsidP="007D1BC4">
      <w:pPr>
        <w:numPr>
          <w:ilvl w:val="0"/>
          <w:numId w:val="11"/>
        </w:numPr>
        <w:suppressAutoHyphens/>
        <w:autoSpaceDN w:val="0"/>
        <w:spacing w:line="276" w:lineRule="auto"/>
        <w:ind w:left="567" w:hanging="141"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w Sekcji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Pomoc publiczna – unijna podstawa prawna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sz w:val="23"/>
          <w:szCs w:val="23"/>
          <w:lang w:eastAsia="ar-SA"/>
        </w:rPr>
        <w:t>,</w:t>
      </w:r>
    </w:p>
    <w:p w:rsidR="007A09D2" w:rsidRPr="00D31F64" w:rsidRDefault="007A09D2" w:rsidP="007D1BC4">
      <w:pPr>
        <w:numPr>
          <w:ilvl w:val="0"/>
          <w:numId w:val="11"/>
        </w:numPr>
        <w:suppressAutoHyphens/>
        <w:autoSpaceDN w:val="0"/>
        <w:spacing w:line="276" w:lineRule="auto"/>
        <w:ind w:left="709" w:hanging="283"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Sekcji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Pomoc publiczna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–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krajowa podstawa prawna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Rozporządzenie 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>Ministra Funduszy i Polityki Regionalnej z dnia 29 września 2022 r. w sprawie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 udzielania pomocy de </w:t>
      </w:r>
      <w:proofErr w:type="spellStart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 w ramach regionalnych programów na lata 2021–2027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(Dz. U. 2022 poz. 2062), </w:t>
      </w:r>
    </w:p>
    <w:p w:rsidR="007A09D2" w:rsidRPr="00D31F64" w:rsidRDefault="007A09D2" w:rsidP="007D1BC4">
      <w:pPr>
        <w:numPr>
          <w:ilvl w:val="0"/>
          <w:numId w:val="12"/>
        </w:numPr>
        <w:suppressAutoHyphens/>
        <w:autoSpaceDN w:val="0"/>
        <w:spacing w:line="276" w:lineRule="auto"/>
        <w:ind w:hanging="294"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>w Działani</w:t>
      </w:r>
      <w:r>
        <w:rPr>
          <w:rFonts w:ascii="Arial" w:eastAsia="Calibri" w:hAnsi="Arial" w:cs="Arial"/>
          <w:sz w:val="23"/>
          <w:szCs w:val="23"/>
          <w:lang w:eastAsia="ar-SA"/>
        </w:rPr>
        <w:t>ach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7.2, 7.3, 7.4, 7.8, 7.9, 7.10, 7.11, 7.12, 7.13, 7.14, 7.15, 7.16, 7.18, 7.19 oraz 8.1, 8.2, 8.3, 8.4, 8.5, 8.6,</w:t>
      </w:r>
      <w:r w:rsidRPr="00D31F64">
        <w:rPr>
          <w:rFonts w:ascii="Arial" w:eastAsia="Calibri" w:hAnsi="Arial" w:cs="Arial"/>
          <w:b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>polegająca na:</w:t>
      </w:r>
    </w:p>
    <w:p w:rsidR="007A09D2" w:rsidRPr="00D31F64" w:rsidRDefault="007A09D2" w:rsidP="007D1BC4">
      <w:pPr>
        <w:numPr>
          <w:ilvl w:val="0"/>
          <w:numId w:val="14"/>
        </w:numPr>
        <w:suppressAutoHyphens/>
        <w:autoSpaceDN w:val="0"/>
        <w:spacing w:line="276" w:lineRule="auto"/>
        <w:ind w:left="709" w:hanging="283"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w polu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Pomoc publiczna – unijna podstawa prawna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  <w:u w:val="single"/>
          <w:lang w:eastAsia="ar-SA"/>
        </w:rPr>
        <w:t>usunięto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,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</w:p>
    <w:p w:rsidR="007A09D2" w:rsidRPr="00D31F64" w:rsidRDefault="007A09D2" w:rsidP="007D1BC4">
      <w:pPr>
        <w:numPr>
          <w:ilvl w:val="0"/>
          <w:numId w:val="13"/>
        </w:numPr>
        <w:suppressAutoHyphens/>
        <w:autoSpaceDN w:val="0"/>
        <w:spacing w:line="276" w:lineRule="auto"/>
        <w:ind w:left="709" w:hanging="283"/>
        <w:textAlignment w:val="baseline"/>
        <w:rPr>
          <w:rFonts w:ascii="Arial" w:eastAsia="Calibri" w:hAnsi="Arial" w:cs="Arial"/>
          <w:sz w:val="23"/>
          <w:szCs w:val="23"/>
          <w:lang w:eastAsia="ar-SA"/>
        </w:rPr>
      </w:pPr>
      <w:r w:rsidRPr="00D31F64">
        <w:rPr>
          <w:rFonts w:ascii="Arial" w:eastAsia="Calibri" w:hAnsi="Arial" w:cs="Arial"/>
          <w:sz w:val="23"/>
          <w:szCs w:val="23"/>
          <w:lang w:eastAsia="ar-SA"/>
        </w:rPr>
        <w:t>w polu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 Pomoc publiczna – unijna podstawa prawna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sz w:val="23"/>
          <w:szCs w:val="23"/>
          <w:u w:val="single"/>
          <w:lang w:eastAsia="ar-SA"/>
        </w:rPr>
        <w:t>dodano</w:t>
      </w:r>
      <w:r w:rsidRPr="00D31F64">
        <w:rPr>
          <w:rFonts w:ascii="Arial" w:eastAsia="Calibri" w:hAnsi="Arial" w:cs="Arial"/>
          <w:sz w:val="23"/>
          <w:szCs w:val="23"/>
          <w:lang w:eastAsia="ar-SA"/>
        </w:rPr>
        <w:t xml:space="preserve">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Rozporządzenie Komisji (UE) 2023/2831 z dnia 13 grudnia 2023 r. w sprawie stosowania art. 107 i </w:t>
      </w:r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lastRenderedPageBreak/>
        <w:t xml:space="preserve">108 Traktatu o funkcjonowaniu Unii Europejskiej do pomocy de </w:t>
      </w:r>
      <w:proofErr w:type="spellStart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>minimis</w:t>
      </w:r>
      <w:proofErr w:type="spellEnd"/>
      <w:r w:rsidRPr="00D31F64">
        <w:rPr>
          <w:rFonts w:ascii="Arial" w:eastAsia="Calibri" w:hAnsi="Arial" w:cs="Arial"/>
          <w:i/>
          <w:sz w:val="23"/>
          <w:szCs w:val="23"/>
          <w:lang w:eastAsia="ar-SA"/>
        </w:rPr>
        <w:t xml:space="preserve"> (Dz. U. UE. L. z 2023 r. poz. 2831).</w:t>
      </w:r>
    </w:p>
    <w:p w:rsidR="007A09D2" w:rsidRPr="00D31F64" w:rsidRDefault="007A09D2" w:rsidP="007A09D2">
      <w:pPr>
        <w:spacing w:line="276" w:lineRule="auto"/>
        <w:ind w:left="426"/>
        <w:jc w:val="center"/>
        <w:rPr>
          <w:rFonts w:ascii="Arial" w:eastAsia="Calibri" w:hAnsi="Arial" w:cs="Arial"/>
          <w:sz w:val="23"/>
          <w:szCs w:val="23"/>
          <w:u w:val="single"/>
          <w:lang w:eastAsia="ar-SA"/>
        </w:rPr>
      </w:pPr>
    </w:p>
    <w:p w:rsidR="007A09D2" w:rsidRPr="007A09D2" w:rsidRDefault="007A09D2" w:rsidP="007D1BC4">
      <w:pPr>
        <w:pStyle w:val="Akapitzlist"/>
        <w:numPr>
          <w:ilvl w:val="0"/>
          <w:numId w:val="18"/>
        </w:numPr>
        <w:spacing w:line="276" w:lineRule="auto"/>
        <w:rPr>
          <w:rFonts w:ascii="Arial" w:eastAsia="Calibri" w:hAnsi="Arial" w:cs="Arial"/>
          <w:b/>
          <w:sz w:val="23"/>
          <w:szCs w:val="23"/>
          <w:u w:val="single"/>
          <w:lang w:eastAsia="ar-SA"/>
        </w:rPr>
      </w:pPr>
      <w:r w:rsidRPr="007A09D2">
        <w:rPr>
          <w:rFonts w:ascii="Arial" w:eastAsia="Calibri" w:hAnsi="Arial" w:cs="Arial"/>
          <w:b/>
          <w:sz w:val="23"/>
          <w:szCs w:val="23"/>
          <w:u w:val="single"/>
          <w:lang w:eastAsia="ar-SA"/>
        </w:rPr>
        <w:t>załączniki do SZOP</w:t>
      </w:r>
    </w:p>
    <w:p w:rsidR="007A09D2" w:rsidRPr="00D31F64" w:rsidRDefault="007A09D2" w:rsidP="007A09D2">
      <w:pPr>
        <w:spacing w:line="276" w:lineRule="auto"/>
        <w:rPr>
          <w:rFonts w:ascii="Arial" w:hAnsi="Arial" w:cs="Arial"/>
          <w:sz w:val="23"/>
          <w:szCs w:val="23"/>
          <w:u w:val="single"/>
          <w:lang w:eastAsia="ar-SA"/>
        </w:rPr>
      </w:pPr>
    </w:p>
    <w:p w:rsidR="007A09D2" w:rsidRPr="00D31F64" w:rsidRDefault="007A09D2" w:rsidP="007A09D2">
      <w:pPr>
        <w:spacing w:line="276" w:lineRule="auto"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>Aktualizacja indykatywnych tabel finansowych w zakresie EFRR oraz EFS+, tj.:</w:t>
      </w:r>
    </w:p>
    <w:p w:rsidR="007A09D2" w:rsidRPr="00D31F64" w:rsidRDefault="007A09D2" w:rsidP="007D1BC4">
      <w:pPr>
        <w:numPr>
          <w:ilvl w:val="0"/>
          <w:numId w:val="10"/>
        </w:numPr>
        <w:spacing w:line="276" w:lineRule="auto"/>
        <w:ind w:left="709" w:hanging="283"/>
        <w:contextualSpacing/>
        <w:rPr>
          <w:rFonts w:ascii="Arial" w:hAnsi="Arial" w:cs="Arial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Załącznika 1.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Alokacja programu FEP 2021-2027 w podziale na działania, wsparcie UE i wkład krajowy (w EUR)</w:t>
      </w:r>
      <w:r w:rsidRPr="00D31F64">
        <w:rPr>
          <w:rFonts w:ascii="Arial" w:hAnsi="Arial" w:cs="Arial"/>
          <w:sz w:val="23"/>
          <w:szCs w:val="23"/>
          <w:lang w:eastAsia="ar-SA"/>
        </w:rPr>
        <w:t xml:space="preserve"> </w:t>
      </w:r>
    </w:p>
    <w:p w:rsidR="007A09D2" w:rsidRPr="00D31F64" w:rsidRDefault="007A09D2" w:rsidP="007D1BC4">
      <w:pPr>
        <w:numPr>
          <w:ilvl w:val="0"/>
          <w:numId w:val="10"/>
        </w:numPr>
        <w:spacing w:line="276" w:lineRule="auto"/>
        <w:ind w:left="709" w:hanging="283"/>
        <w:contextualSpacing/>
        <w:rPr>
          <w:rFonts w:ascii="Arial" w:hAnsi="Arial" w:cs="Arial"/>
          <w:color w:val="227ACB"/>
          <w:sz w:val="23"/>
          <w:szCs w:val="23"/>
          <w:lang w:eastAsia="ar-SA"/>
        </w:rPr>
      </w:pPr>
      <w:r w:rsidRPr="00D31F64">
        <w:rPr>
          <w:rFonts w:ascii="Arial" w:hAnsi="Arial" w:cs="Arial"/>
          <w:sz w:val="23"/>
          <w:szCs w:val="23"/>
          <w:lang w:eastAsia="ar-SA"/>
        </w:rPr>
        <w:t xml:space="preserve">Załącznika 2. </w:t>
      </w:r>
      <w:r w:rsidRPr="00D31F64">
        <w:rPr>
          <w:rFonts w:ascii="Arial" w:hAnsi="Arial" w:cs="Arial"/>
          <w:i/>
          <w:iCs/>
          <w:sz w:val="23"/>
          <w:szCs w:val="23"/>
          <w:lang w:eastAsia="ar-SA"/>
        </w:rPr>
        <w:t>Alokacja programu FEP 2021-2027 w podziale na działania i zakres interwencji</w:t>
      </w:r>
      <w:r w:rsidRPr="00D31F64">
        <w:rPr>
          <w:rFonts w:ascii="Arial" w:hAnsi="Arial" w:cs="Arial"/>
          <w:i/>
          <w:iCs/>
          <w:color w:val="227ACB"/>
          <w:sz w:val="23"/>
          <w:szCs w:val="23"/>
          <w:lang w:eastAsia="ar-SA"/>
        </w:rPr>
        <w:t>.</w:t>
      </w:r>
    </w:p>
    <w:p w:rsidR="00E65A6E" w:rsidRDefault="00E65A6E" w:rsidP="00E65A6E">
      <w:pPr>
        <w:spacing w:line="276" w:lineRule="auto"/>
        <w:jc w:val="right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Rzeszów, </w:t>
      </w:r>
      <w:r w:rsidR="004651AD">
        <w:rPr>
          <w:rFonts w:ascii="Arial" w:eastAsia="Calibri" w:hAnsi="Arial" w:cs="Arial"/>
          <w:color w:val="000000"/>
          <w:sz w:val="22"/>
          <w:szCs w:val="22"/>
        </w:rPr>
        <w:t>14.05</w:t>
      </w:r>
      <w:r>
        <w:rPr>
          <w:rFonts w:ascii="Arial" w:eastAsia="Calibri" w:hAnsi="Arial" w:cs="Arial"/>
          <w:color w:val="000000"/>
          <w:sz w:val="22"/>
          <w:szCs w:val="22"/>
        </w:rPr>
        <w:t>.202</w:t>
      </w:r>
      <w:r w:rsidR="004651AD">
        <w:rPr>
          <w:rFonts w:ascii="Arial" w:eastAsia="Calibri" w:hAnsi="Arial" w:cs="Arial"/>
          <w:color w:val="000000"/>
          <w:sz w:val="22"/>
          <w:szCs w:val="22"/>
        </w:rPr>
        <w:t>4</w:t>
      </w:r>
      <w:bookmarkStart w:id="6" w:name="_GoBack"/>
      <w:bookmarkEnd w:id="6"/>
      <w:r>
        <w:rPr>
          <w:rFonts w:ascii="Arial" w:eastAsia="Calibri" w:hAnsi="Arial" w:cs="Arial"/>
          <w:color w:val="000000"/>
          <w:sz w:val="22"/>
          <w:szCs w:val="22"/>
        </w:rPr>
        <w:t xml:space="preserve"> r. </w:t>
      </w:r>
    </w:p>
    <w:sectPr w:rsidR="00E65A6E" w:rsidSect="006E1707">
      <w:footerReference w:type="default" r:id="rId9"/>
      <w:headerReference w:type="first" r:id="rId10"/>
      <w:pgSz w:w="11906" w:h="16838"/>
      <w:pgMar w:top="1134" w:right="1361" w:bottom="42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C4" w:rsidRDefault="007D1BC4" w:rsidP="00491AC1">
      <w:r>
        <w:separator/>
      </w:r>
    </w:p>
  </w:endnote>
  <w:endnote w:type="continuationSeparator" w:id="0">
    <w:p w:rsidR="007D1BC4" w:rsidRDefault="007D1BC4" w:rsidP="004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C1" w:rsidRDefault="00491AC1">
    <w:pPr>
      <w:pStyle w:val="Stopka"/>
      <w:jc w:val="right"/>
    </w:pPr>
    <w:r w:rsidRPr="00B44623">
      <w:rPr>
        <w:rFonts w:ascii="Arial" w:hAnsi="Arial" w:cs="Arial"/>
        <w:sz w:val="22"/>
        <w:szCs w:val="22"/>
      </w:rPr>
      <w:t>Strona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4050C">
      <w:rPr>
        <w:b/>
        <w:bCs/>
        <w:noProof/>
      </w:rPr>
      <w:t>2</w:t>
    </w:r>
    <w:r>
      <w:rPr>
        <w:b/>
        <w:bCs/>
      </w:rPr>
      <w:fldChar w:fldCharType="end"/>
    </w:r>
  </w:p>
  <w:p w:rsidR="00491AC1" w:rsidRDefault="00491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C4" w:rsidRDefault="007D1BC4" w:rsidP="00491AC1">
      <w:r>
        <w:separator/>
      </w:r>
    </w:p>
  </w:footnote>
  <w:footnote w:type="continuationSeparator" w:id="0">
    <w:p w:rsidR="007D1BC4" w:rsidRDefault="007D1BC4" w:rsidP="0049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60" w:rsidRDefault="00A76E60" w:rsidP="00A76E60">
    <w:pPr>
      <w:pStyle w:val="Miejsceidata"/>
      <w:spacing w:line="360" w:lineRule="auto"/>
      <w:rPr>
        <w:b/>
        <w:noProof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47E"/>
    <w:multiLevelType w:val="hybridMultilevel"/>
    <w:tmpl w:val="BFAA62F0"/>
    <w:lvl w:ilvl="0" w:tplc="E0B4D3B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96739FE"/>
    <w:multiLevelType w:val="hybridMultilevel"/>
    <w:tmpl w:val="ECA8AE2C"/>
    <w:lvl w:ilvl="0" w:tplc="21D670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9CF53D7"/>
    <w:multiLevelType w:val="hybridMultilevel"/>
    <w:tmpl w:val="541887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E7463E"/>
    <w:multiLevelType w:val="hybridMultilevel"/>
    <w:tmpl w:val="B5087CB0"/>
    <w:lvl w:ilvl="0" w:tplc="EE246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F3265"/>
    <w:multiLevelType w:val="hybridMultilevel"/>
    <w:tmpl w:val="FDEAC406"/>
    <w:lvl w:ilvl="0" w:tplc="E0B4D3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52A5624"/>
    <w:multiLevelType w:val="hybridMultilevel"/>
    <w:tmpl w:val="AF749DB6"/>
    <w:lvl w:ilvl="0" w:tplc="041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2BC6142"/>
    <w:multiLevelType w:val="hybridMultilevel"/>
    <w:tmpl w:val="B3E839D2"/>
    <w:lvl w:ilvl="0" w:tplc="FDC067C0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B651B2"/>
    <w:multiLevelType w:val="hybridMultilevel"/>
    <w:tmpl w:val="A80C5ABC"/>
    <w:lvl w:ilvl="0" w:tplc="322AEA06">
      <w:start w:val="1"/>
      <w:numFmt w:val="bullet"/>
      <w:lvlText w:val="─"/>
      <w:lvlJc w:val="left"/>
      <w:pPr>
        <w:ind w:left="135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 w15:restartNumberingAfterBreak="0">
    <w:nsid w:val="4ED764BF"/>
    <w:multiLevelType w:val="hybridMultilevel"/>
    <w:tmpl w:val="C3949CD2"/>
    <w:lvl w:ilvl="0" w:tplc="FDC067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928A9"/>
    <w:multiLevelType w:val="hybridMultilevel"/>
    <w:tmpl w:val="0C127B3E"/>
    <w:lvl w:ilvl="0" w:tplc="D460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74FB"/>
    <w:multiLevelType w:val="hybridMultilevel"/>
    <w:tmpl w:val="4718B23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1DE407F"/>
    <w:multiLevelType w:val="hybridMultilevel"/>
    <w:tmpl w:val="A02AFA9A"/>
    <w:lvl w:ilvl="0" w:tplc="D460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8130A"/>
    <w:multiLevelType w:val="hybridMultilevel"/>
    <w:tmpl w:val="3D04351E"/>
    <w:lvl w:ilvl="0" w:tplc="322AEA0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DC22B7"/>
    <w:multiLevelType w:val="hybridMultilevel"/>
    <w:tmpl w:val="05480A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4324F7"/>
    <w:multiLevelType w:val="hybridMultilevel"/>
    <w:tmpl w:val="B2EA55B2"/>
    <w:lvl w:ilvl="0" w:tplc="FDC067C0">
      <w:start w:val="1"/>
      <w:numFmt w:val="bullet"/>
      <w:lvlText w:val="─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9FA73E3"/>
    <w:multiLevelType w:val="hybridMultilevel"/>
    <w:tmpl w:val="55E210A0"/>
    <w:lvl w:ilvl="0" w:tplc="322AEA0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E2D00"/>
    <w:multiLevelType w:val="hybridMultilevel"/>
    <w:tmpl w:val="33AE0C60"/>
    <w:lvl w:ilvl="0" w:tplc="322AEA0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C305B8"/>
    <w:multiLevelType w:val="hybridMultilevel"/>
    <w:tmpl w:val="4B9AC0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8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7"/>
    <w:rsid w:val="00003055"/>
    <w:rsid w:val="00024D0F"/>
    <w:rsid w:val="00033ECB"/>
    <w:rsid w:val="000425C3"/>
    <w:rsid w:val="00046F0E"/>
    <w:rsid w:val="00051AC8"/>
    <w:rsid w:val="00052B5B"/>
    <w:rsid w:val="00060B4D"/>
    <w:rsid w:val="00072100"/>
    <w:rsid w:val="00072E90"/>
    <w:rsid w:val="00075BD9"/>
    <w:rsid w:val="000961F6"/>
    <w:rsid w:val="000A57F8"/>
    <w:rsid w:val="000C3C91"/>
    <w:rsid w:val="000D14A1"/>
    <w:rsid w:val="000D6204"/>
    <w:rsid w:val="000E180E"/>
    <w:rsid w:val="00102C7D"/>
    <w:rsid w:val="00103144"/>
    <w:rsid w:val="001078B5"/>
    <w:rsid w:val="00111966"/>
    <w:rsid w:val="0013050B"/>
    <w:rsid w:val="001328FA"/>
    <w:rsid w:val="00154A93"/>
    <w:rsid w:val="00162091"/>
    <w:rsid w:val="001642EF"/>
    <w:rsid w:val="00164D06"/>
    <w:rsid w:val="00172B6E"/>
    <w:rsid w:val="00172B88"/>
    <w:rsid w:val="00183C84"/>
    <w:rsid w:val="00184A41"/>
    <w:rsid w:val="001916EC"/>
    <w:rsid w:val="00195AB7"/>
    <w:rsid w:val="001966C0"/>
    <w:rsid w:val="001A25F8"/>
    <w:rsid w:val="001A3174"/>
    <w:rsid w:val="001A6A82"/>
    <w:rsid w:val="001B4727"/>
    <w:rsid w:val="001C1E59"/>
    <w:rsid w:val="001C4E0F"/>
    <w:rsid w:val="001D0265"/>
    <w:rsid w:val="001E3640"/>
    <w:rsid w:val="001E4CB4"/>
    <w:rsid w:val="001F1D14"/>
    <w:rsid w:val="001F42CA"/>
    <w:rsid w:val="002049C5"/>
    <w:rsid w:val="0021255D"/>
    <w:rsid w:val="0021782B"/>
    <w:rsid w:val="002275B0"/>
    <w:rsid w:val="002335E1"/>
    <w:rsid w:val="002455DA"/>
    <w:rsid w:val="00245C5B"/>
    <w:rsid w:val="002473B0"/>
    <w:rsid w:val="002564AD"/>
    <w:rsid w:val="002622D5"/>
    <w:rsid w:val="00270FCB"/>
    <w:rsid w:val="002870FF"/>
    <w:rsid w:val="00291830"/>
    <w:rsid w:val="00296AD4"/>
    <w:rsid w:val="002A358B"/>
    <w:rsid w:val="002A4004"/>
    <w:rsid w:val="002B6BE2"/>
    <w:rsid w:val="002C1097"/>
    <w:rsid w:val="002D6A72"/>
    <w:rsid w:val="002D7960"/>
    <w:rsid w:val="002E1836"/>
    <w:rsid w:val="002E39A1"/>
    <w:rsid w:val="002E5A02"/>
    <w:rsid w:val="002F1449"/>
    <w:rsid w:val="00304BD9"/>
    <w:rsid w:val="003073AF"/>
    <w:rsid w:val="003106B1"/>
    <w:rsid w:val="00315D74"/>
    <w:rsid w:val="0032169E"/>
    <w:rsid w:val="00322CA0"/>
    <w:rsid w:val="00323509"/>
    <w:rsid w:val="00333F43"/>
    <w:rsid w:val="0034130A"/>
    <w:rsid w:val="003545DE"/>
    <w:rsid w:val="00366219"/>
    <w:rsid w:val="0037337A"/>
    <w:rsid w:val="00381F03"/>
    <w:rsid w:val="0038271D"/>
    <w:rsid w:val="003857A7"/>
    <w:rsid w:val="00390969"/>
    <w:rsid w:val="00392DDF"/>
    <w:rsid w:val="00394138"/>
    <w:rsid w:val="003970E0"/>
    <w:rsid w:val="003A0665"/>
    <w:rsid w:val="003B0683"/>
    <w:rsid w:val="003B1D95"/>
    <w:rsid w:val="003B22F5"/>
    <w:rsid w:val="003B2C43"/>
    <w:rsid w:val="003C4EEC"/>
    <w:rsid w:val="003D1511"/>
    <w:rsid w:val="003E54AC"/>
    <w:rsid w:val="003F013C"/>
    <w:rsid w:val="003F16EB"/>
    <w:rsid w:val="003F7D34"/>
    <w:rsid w:val="00403BD3"/>
    <w:rsid w:val="004119C6"/>
    <w:rsid w:val="00415BF0"/>
    <w:rsid w:val="004261BD"/>
    <w:rsid w:val="00453EED"/>
    <w:rsid w:val="004603B1"/>
    <w:rsid w:val="00461CF4"/>
    <w:rsid w:val="00463121"/>
    <w:rsid w:val="004651AD"/>
    <w:rsid w:val="00467FA0"/>
    <w:rsid w:val="004713D5"/>
    <w:rsid w:val="004809B8"/>
    <w:rsid w:val="0048102C"/>
    <w:rsid w:val="00486888"/>
    <w:rsid w:val="00491AC1"/>
    <w:rsid w:val="0049483D"/>
    <w:rsid w:val="00495603"/>
    <w:rsid w:val="004A44FD"/>
    <w:rsid w:val="004A4644"/>
    <w:rsid w:val="004B4FFD"/>
    <w:rsid w:val="004B654E"/>
    <w:rsid w:val="004C1704"/>
    <w:rsid w:val="004C21D8"/>
    <w:rsid w:val="004C5E2F"/>
    <w:rsid w:val="004D029D"/>
    <w:rsid w:val="004D20C6"/>
    <w:rsid w:val="004D5024"/>
    <w:rsid w:val="004D5661"/>
    <w:rsid w:val="004E21CE"/>
    <w:rsid w:val="004E6E64"/>
    <w:rsid w:val="004E70BD"/>
    <w:rsid w:val="004E716C"/>
    <w:rsid w:val="004E79B5"/>
    <w:rsid w:val="004F216B"/>
    <w:rsid w:val="004F6750"/>
    <w:rsid w:val="00501ED3"/>
    <w:rsid w:val="005166E4"/>
    <w:rsid w:val="00521551"/>
    <w:rsid w:val="00527550"/>
    <w:rsid w:val="005362DC"/>
    <w:rsid w:val="00540117"/>
    <w:rsid w:val="00544A41"/>
    <w:rsid w:val="00562C50"/>
    <w:rsid w:val="00592A36"/>
    <w:rsid w:val="00594309"/>
    <w:rsid w:val="00596DC4"/>
    <w:rsid w:val="005B429C"/>
    <w:rsid w:val="005D1F81"/>
    <w:rsid w:val="005D2832"/>
    <w:rsid w:val="005E2EE2"/>
    <w:rsid w:val="005F2058"/>
    <w:rsid w:val="00600349"/>
    <w:rsid w:val="006034B5"/>
    <w:rsid w:val="0060487F"/>
    <w:rsid w:val="00605EBE"/>
    <w:rsid w:val="00606061"/>
    <w:rsid w:val="006075FD"/>
    <w:rsid w:val="00610AC8"/>
    <w:rsid w:val="00610E87"/>
    <w:rsid w:val="0061250F"/>
    <w:rsid w:val="00617C76"/>
    <w:rsid w:val="00623CDA"/>
    <w:rsid w:val="00631C31"/>
    <w:rsid w:val="0064399A"/>
    <w:rsid w:val="00644D3C"/>
    <w:rsid w:val="00644D47"/>
    <w:rsid w:val="0065042E"/>
    <w:rsid w:val="00653EFC"/>
    <w:rsid w:val="0066029B"/>
    <w:rsid w:val="0066150C"/>
    <w:rsid w:val="0067539C"/>
    <w:rsid w:val="0067614B"/>
    <w:rsid w:val="00686830"/>
    <w:rsid w:val="0069506C"/>
    <w:rsid w:val="006A2250"/>
    <w:rsid w:val="006A5BB1"/>
    <w:rsid w:val="006B068A"/>
    <w:rsid w:val="006B36FC"/>
    <w:rsid w:val="006C039F"/>
    <w:rsid w:val="006C197D"/>
    <w:rsid w:val="006C393C"/>
    <w:rsid w:val="006C485F"/>
    <w:rsid w:val="006C4E5E"/>
    <w:rsid w:val="006C6C41"/>
    <w:rsid w:val="006D69EB"/>
    <w:rsid w:val="006D6AF1"/>
    <w:rsid w:val="006D75B3"/>
    <w:rsid w:val="006E1707"/>
    <w:rsid w:val="006E7020"/>
    <w:rsid w:val="007141EF"/>
    <w:rsid w:val="007239B6"/>
    <w:rsid w:val="0073178D"/>
    <w:rsid w:val="0073379C"/>
    <w:rsid w:val="007373DA"/>
    <w:rsid w:val="00746159"/>
    <w:rsid w:val="00754BAE"/>
    <w:rsid w:val="00760097"/>
    <w:rsid w:val="00767E0D"/>
    <w:rsid w:val="00777BA5"/>
    <w:rsid w:val="00797E05"/>
    <w:rsid w:val="007A09D2"/>
    <w:rsid w:val="007B275C"/>
    <w:rsid w:val="007B571D"/>
    <w:rsid w:val="007B66B9"/>
    <w:rsid w:val="007B6B83"/>
    <w:rsid w:val="007D0149"/>
    <w:rsid w:val="007D1BC4"/>
    <w:rsid w:val="007D39C9"/>
    <w:rsid w:val="007D79C6"/>
    <w:rsid w:val="007E2FC6"/>
    <w:rsid w:val="007E3706"/>
    <w:rsid w:val="007E46A1"/>
    <w:rsid w:val="007F2ACC"/>
    <w:rsid w:val="008028EE"/>
    <w:rsid w:val="00802A98"/>
    <w:rsid w:val="00804CE0"/>
    <w:rsid w:val="008129B3"/>
    <w:rsid w:val="0081413E"/>
    <w:rsid w:val="008162B4"/>
    <w:rsid w:val="0083299F"/>
    <w:rsid w:val="00833A3F"/>
    <w:rsid w:val="008365B6"/>
    <w:rsid w:val="0084050C"/>
    <w:rsid w:val="00847149"/>
    <w:rsid w:val="00853143"/>
    <w:rsid w:val="008571B0"/>
    <w:rsid w:val="00862373"/>
    <w:rsid w:val="00863E02"/>
    <w:rsid w:val="00865D9D"/>
    <w:rsid w:val="0086753D"/>
    <w:rsid w:val="008712E6"/>
    <w:rsid w:val="008724A2"/>
    <w:rsid w:val="00872CF4"/>
    <w:rsid w:val="008753C5"/>
    <w:rsid w:val="00875475"/>
    <w:rsid w:val="00883DFC"/>
    <w:rsid w:val="00884D9E"/>
    <w:rsid w:val="00895225"/>
    <w:rsid w:val="008A289D"/>
    <w:rsid w:val="008A5534"/>
    <w:rsid w:val="008A6A02"/>
    <w:rsid w:val="008B7829"/>
    <w:rsid w:val="008C21AB"/>
    <w:rsid w:val="008E7ECD"/>
    <w:rsid w:val="008F2326"/>
    <w:rsid w:val="008F7A05"/>
    <w:rsid w:val="00900832"/>
    <w:rsid w:val="00901F8A"/>
    <w:rsid w:val="00904B11"/>
    <w:rsid w:val="00921506"/>
    <w:rsid w:val="00922363"/>
    <w:rsid w:val="00944007"/>
    <w:rsid w:val="0095004D"/>
    <w:rsid w:val="009551EF"/>
    <w:rsid w:val="0096747E"/>
    <w:rsid w:val="00970466"/>
    <w:rsid w:val="009806D1"/>
    <w:rsid w:val="00980D04"/>
    <w:rsid w:val="00994F56"/>
    <w:rsid w:val="009959F1"/>
    <w:rsid w:val="009A00BE"/>
    <w:rsid w:val="009A2DC8"/>
    <w:rsid w:val="009A4864"/>
    <w:rsid w:val="009A7BF5"/>
    <w:rsid w:val="009B6517"/>
    <w:rsid w:val="009B6DC2"/>
    <w:rsid w:val="009B7457"/>
    <w:rsid w:val="009C25F4"/>
    <w:rsid w:val="009C366A"/>
    <w:rsid w:val="009D2A2F"/>
    <w:rsid w:val="00A00B66"/>
    <w:rsid w:val="00A01CB8"/>
    <w:rsid w:val="00A02357"/>
    <w:rsid w:val="00A042D2"/>
    <w:rsid w:val="00A101B3"/>
    <w:rsid w:val="00A115ED"/>
    <w:rsid w:val="00A12826"/>
    <w:rsid w:val="00A13D88"/>
    <w:rsid w:val="00A15364"/>
    <w:rsid w:val="00A21578"/>
    <w:rsid w:val="00A21F40"/>
    <w:rsid w:val="00A25D9C"/>
    <w:rsid w:val="00A25E2A"/>
    <w:rsid w:val="00A3072F"/>
    <w:rsid w:val="00A33ADC"/>
    <w:rsid w:val="00A3587B"/>
    <w:rsid w:val="00A44487"/>
    <w:rsid w:val="00A51428"/>
    <w:rsid w:val="00A6177E"/>
    <w:rsid w:val="00A63B32"/>
    <w:rsid w:val="00A7004D"/>
    <w:rsid w:val="00A711C9"/>
    <w:rsid w:val="00A719F8"/>
    <w:rsid w:val="00A725CC"/>
    <w:rsid w:val="00A76E60"/>
    <w:rsid w:val="00A83F92"/>
    <w:rsid w:val="00A90BE0"/>
    <w:rsid w:val="00A910BE"/>
    <w:rsid w:val="00AB12CB"/>
    <w:rsid w:val="00AB59C1"/>
    <w:rsid w:val="00AB685B"/>
    <w:rsid w:val="00AB76FA"/>
    <w:rsid w:val="00AC1F92"/>
    <w:rsid w:val="00AC3AAC"/>
    <w:rsid w:val="00AC4A7B"/>
    <w:rsid w:val="00AC6BE3"/>
    <w:rsid w:val="00AF4F81"/>
    <w:rsid w:val="00AF5820"/>
    <w:rsid w:val="00AF6D30"/>
    <w:rsid w:val="00B024A0"/>
    <w:rsid w:val="00B0489F"/>
    <w:rsid w:val="00B053A9"/>
    <w:rsid w:val="00B05865"/>
    <w:rsid w:val="00B22F92"/>
    <w:rsid w:val="00B23F21"/>
    <w:rsid w:val="00B3703D"/>
    <w:rsid w:val="00B3708A"/>
    <w:rsid w:val="00B4299A"/>
    <w:rsid w:val="00B43119"/>
    <w:rsid w:val="00B44623"/>
    <w:rsid w:val="00B44C5C"/>
    <w:rsid w:val="00B74367"/>
    <w:rsid w:val="00B745A9"/>
    <w:rsid w:val="00B76519"/>
    <w:rsid w:val="00B9071B"/>
    <w:rsid w:val="00BA4C55"/>
    <w:rsid w:val="00BA759F"/>
    <w:rsid w:val="00BD0C87"/>
    <w:rsid w:val="00BE0768"/>
    <w:rsid w:val="00BE1DFE"/>
    <w:rsid w:val="00BE319A"/>
    <w:rsid w:val="00BE507D"/>
    <w:rsid w:val="00BE5819"/>
    <w:rsid w:val="00C07948"/>
    <w:rsid w:val="00C079BB"/>
    <w:rsid w:val="00C113CF"/>
    <w:rsid w:val="00C25302"/>
    <w:rsid w:val="00C2744E"/>
    <w:rsid w:val="00C42C53"/>
    <w:rsid w:val="00C572C9"/>
    <w:rsid w:val="00C760D8"/>
    <w:rsid w:val="00C77EE1"/>
    <w:rsid w:val="00CA5336"/>
    <w:rsid w:val="00CA6CF8"/>
    <w:rsid w:val="00CB2E89"/>
    <w:rsid w:val="00CB5D12"/>
    <w:rsid w:val="00CC086F"/>
    <w:rsid w:val="00CD62CB"/>
    <w:rsid w:val="00CE591A"/>
    <w:rsid w:val="00CE5973"/>
    <w:rsid w:val="00CF19B0"/>
    <w:rsid w:val="00CF5A69"/>
    <w:rsid w:val="00CF671E"/>
    <w:rsid w:val="00D0340B"/>
    <w:rsid w:val="00D051D6"/>
    <w:rsid w:val="00D07B9F"/>
    <w:rsid w:val="00D13DBA"/>
    <w:rsid w:val="00D163DA"/>
    <w:rsid w:val="00D24FEC"/>
    <w:rsid w:val="00D252B4"/>
    <w:rsid w:val="00D32C41"/>
    <w:rsid w:val="00D34C9E"/>
    <w:rsid w:val="00D40E0E"/>
    <w:rsid w:val="00D41A41"/>
    <w:rsid w:val="00D52184"/>
    <w:rsid w:val="00D53C69"/>
    <w:rsid w:val="00D603FD"/>
    <w:rsid w:val="00D736C9"/>
    <w:rsid w:val="00DB0BC1"/>
    <w:rsid w:val="00DB2F55"/>
    <w:rsid w:val="00DC179B"/>
    <w:rsid w:val="00DC31BE"/>
    <w:rsid w:val="00DE5DEB"/>
    <w:rsid w:val="00DF09BD"/>
    <w:rsid w:val="00DF2002"/>
    <w:rsid w:val="00E03696"/>
    <w:rsid w:val="00E12223"/>
    <w:rsid w:val="00E24B41"/>
    <w:rsid w:val="00E2736B"/>
    <w:rsid w:val="00E3630B"/>
    <w:rsid w:val="00E40E71"/>
    <w:rsid w:val="00E455F0"/>
    <w:rsid w:val="00E52ACB"/>
    <w:rsid w:val="00E650CE"/>
    <w:rsid w:val="00E65A6E"/>
    <w:rsid w:val="00E71A66"/>
    <w:rsid w:val="00E76984"/>
    <w:rsid w:val="00E80007"/>
    <w:rsid w:val="00E8233E"/>
    <w:rsid w:val="00E85450"/>
    <w:rsid w:val="00E9027D"/>
    <w:rsid w:val="00E95800"/>
    <w:rsid w:val="00EA68DD"/>
    <w:rsid w:val="00EB2FB0"/>
    <w:rsid w:val="00EB3239"/>
    <w:rsid w:val="00EB5BAB"/>
    <w:rsid w:val="00EC4BCF"/>
    <w:rsid w:val="00ED109D"/>
    <w:rsid w:val="00ED578B"/>
    <w:rsid w:val="00EE2C61"/>
    <w:rsid w:val="00EF2352"/>
    <w:rsid w:val="00EF3B99"/>
    <w:rsid w:val="00EF3D2C"/>
    <w:rsid w:val="00EF4A61"/>
    <w:rsid w:val="00EF4DF5"/>
    <w:rsid w:val="00EF5D64"/>
    <w:rsid w:val="00EF77F7"/>
    <w:rsid w:val="00EF7C9F"/>
    <w:rsid w:val="00F06B8B"/>
    <w:rsid w:val="00F1129C"/>
    <w:rsid w:val="00F1700E"/>
    <w:rsid w:val="00F317CE"/>
    <w:rsid w:val="00F329A6"/>
    <w:rsid w:val="00F34454"/>
    <w:rsid w:val="00F3780A"/>
    <w:rsid w:val="00F471A7"/>
    <w:rsid w:val="00F54315"/>
    <w:rsid w:val="00F64125"/>
    <w:rsid w:val="00F64736"/>
    <w:rsid w:val="00F65E4B"/>
    <w:rsid w:val="00F65FB5"/>
    <w:rsid w:val="00F67AD6"/>
    <w:rsid w:val="00F708F9"/>
    <w:rsid w:val="00F95445"/>
    <w:rsid w:val="00F95DCE"/>
    <w:rsid w:val="00FB16D1"/>
    <w:rsid w:val="00FB3FFE"/>
    <w:rsid w:val="00FB59AA"/>
    <w:rsid w:val="00FB726B"/>
    <w:rsid w:val="00FD1A1A"/>
    <w:rsid w:val="00FD3EDF"/>
    <w:rsid w:val="00FE37CF"/>
    <w:rsid w:val="00FE48E0"/>
    <w:rsid w:val="00FE7C8E"/>
    <w:rsid w:val="00FF0F57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1E50"/>
  <w15:chartTrackingRefBased/>
  <w15:docId w15:val="{CC530CF5-1C96-41CA-B66D-992E8F5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0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4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semiHidden/>
    <w:rsid w:val="00F344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1A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A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1AC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650CE"/>
    <w:rPr>
      <w:rFonts w:ascii="Times New Roman" w:eastAsia="Times New Roman" w:hAnsi="Times New Roman"/>
      <w:sz w:val="24"/>
      <w:szCs w:val="24"/>
    </w:rPr>
  </w:style>
  <w:style w:type="paragraph" w:customStyle="1" w:styleId="Miejsceidata">
    <w:name w:val="Miejsce i data"/>
    <w:basedOn w:val="Normalny"/>
    <w:next w:val="Normalny"/>
    <w:rsid w:val="00A76E60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F378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4BD9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F205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0564-8CBF-45E4-BBA7-164B1878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zmian</vt:lpstr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zmian</dc:title>
  <dc:subject/>
  <dc:creator>UMWP</dc:creator>
  <cp:keywords/>
  <cp:lastModifiedBy>Zarzyczny Agnieszka</cp:lastModifiedBy>
  <cp:revision>2</cp:revision>
  <cp:lastPrinted>2023-11-07T10:50:00Z</cp:lastPrinted>
  <dcterms:created xsi:type="dcterms:W3CDTF">2024-05-14T13:37:00Z</dcterms:created>
  <dcterms:modified xsi:type="dcterms:W3CDTF">2024-05-14T13:37:00Z</dcterms:modified>
</cp:coreProperties>
</file>