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A525" w14:textId="43B029F5" w:rsidR="00202814" w:rsidRDefault="00202814" w:rsidP="00050E43">
      <w:r w:rsidRPr="006323DD">
        <w:rPr>
          <w:noProof/>
        </w:rPr>
        <w:drawing>
          <wp:inline distT="0" distB="0" distL="0" distR="0" wp14:anchorId="33A9775F" wp14:editId="154B2F98">
            <wp:extent cx="5760720" cy="611505"/>
            <wp:effectExtent l="0" t="0" r="0" b="0"/>
            <wp:doc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D416" w14:textId="697450DC" w:rsidR="00117FEC" w:rsidRPr="003046A2" w:rsidRDefault="003046A2" w:rsidP="00050E43">
      <w:pPr>
        <w:rPr>
          <w:sz w:val="28"/>
          <w:szCs w:val="28"/>
        </w:rPr>
      </w:pPr>
      <w:r w:rsidRPr="003046A2">
        <w:rPr>
          <w:rFonts w:ascii="Verdana" w:hAnsi="Verdana"/>
          <w:b/>
          <w:bCs/>
          <w:sz w:val="28"/>
          <w:szCs w:val="28"/>
        </w:rPr>
        <w:t xml:space="preserve">Wykaz wskaźników FERS i ich definicji obowiązujących </w:t>
      </w:r>
      <w:r>
        <w:rPr>
          <w:rFonts w:ascii="Verdana" w:hAnsi="Verdana"/>
          <w:b/>
          <w:bCs/>
          <w:sz w:val="28"/>
          <w:szCs w:val="28"/>
        </w:rPr>
        <w:br/>
      </w:r>
      <w:r w:rsidRPr="003046A2">
        <w:rPr>
          <w:rFonts w:ascii="Verdana" w:hAnsi="Verdana"/>
          <w:b/>
          <w:bCs/>
          <w:sz w:val="28"/>
          <w:szCs w:val="28"/>
        </w:rPr>
        <w:t>w naborze</w:t>
      </w:r>
    </w:p>
    <w:p w14:paraId="7E766161" w14:textId="271F2FFF" w:rsidR="00117FEC" w:rsidRPr="003046A2" w:rsidRDefault="00050E43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5A3E8A69" w14:textId="77777777" w:rsidR="00117FEC" w:rsidRPr="003046A2" w:rsidRDefault="00117FEC" w:rsidP="003046A2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Liczba innowacji przyjętych do dofinansowania</w:t>
      </w:r>
    </w:p>
    <w:p w14:paraId="2EFC761F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65274559" w14:textId="37ED8B0E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PLAIKLCO01</w:t>
      </w:r>
    </w:p>
    <w:p w14:paraId="7EFAF7CC" w14:textId="7D69BDB4" w:rsidR="00117FEC" w:rsidRPr="003046A2" w:rsidRDefault="00050E43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5C9F9554" w14:textId="70D01DDB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sztuki</w:t>
      </w:r>
    </w:p>
    <w:p w14:paraId="33734518" w14:textId="7B165BBB" w:rsidR="00117FEC" w:rsidRPr="003046A2" w:rsidRDefault="00050E43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23CA1AD5" w14:textId="35786823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784CC1C1" w14:textId="7D013C4D" w:rsidR="00050E43" w:rsidRPr="003046A2" w:rsidRDefault="00050E43" w:rsidP="003046A2">
      <w:pPr>
        <w:spacing w:before="120" w:after="120" w:line="276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t>Definicj</w:t>
      </w:r>
      <w:r w:rsidR="00117FEC" w:rsidRPr="003046A2">
        <w:rPr>
          <w:rFonts w:ascii="Verdana" w:hAnsi="Verdana"/>
          <w:b/>
          <w:bCs/>
          <w:sz w:val="24"/>
          <w:szCs w:val="24"/>
        </w:rPr>
        <w:t>a</w:t>
      </w:r>
      <w:r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33EB6529" w14:textId="28DB6DA2" w:rsidR="00050E43" w:rsidRPr="003046A2" w:rsidRDefault="00050E43" w:rsidP="003046A2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Wskaźnik mierzy liczbę innowacji przyjętych do dofinansowania łącznie w ramach schematu makro i mikro. Makro-innowacje:</w:t>
      </w:r>
      <w:r w:rsidR="0049748C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 xml:space="preserve">opracowanie (o ile będzie to konieczne), przetestowanie, upowszechnienie i podjęcie działań w zakresie włączenia wybranych nowych rozwiązań do polityki lub praktyki. Mikro-innowacje: 1) </w:t>
      </w:r>
      <w:proofErr w:type="spellStart"/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preinkubacja</w:t>
      </w:r>
      <w:proofErr w:type="spellEnd"/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 xml:space="preserve"> i inkubacja nowych pomysłów, w tym ich generowanie, opracowanie i rozwinięcie, oraz przetestowanie i upowszechnienie wybranych rozwiązań,</w:t>
      </w:r>
      <w:r w:rsidR="0049748C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2) akceleracja nowych pomysłów, w tym ich rozwinięcie, udoskonalenie i przygotowanie do wdrożenia na szerszą skalę, 3) wykorzystanie technik behawioralnych w procesie projektowania lub świadczenia usług w ogólnym interesie.</w:t>
      </w:r>
    </w:p>
    <w:p w14:paraId="6BA99311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33A4AB06" w14:textId="292781C1" w:rsidR="00117FEC" w:rsidRPr="003046A2" w:rsidRDefault="00117FEC" w:rsidP="003046A2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Liczba przetestowanych innowacji społecznych</w:t>
      </w:r>
    </w:p>
    <w:p w14:paraId="7EE939E3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1B41F1BF" w14:textId="32B5AE37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PLAIKLCR01</w:t>
      </w:r>
    </w:p>
    <w:p w14:paraId="4BE3EA0D" w14:textId="545EA55C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4DFAA9D7" w14:textId="43E91F46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sztuki</w:t>
      </w:r>
    </w:p>
    <w:p w14:paraId="0196E15F" w14:textId="6161A4C2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79FA88A1" w14:textId="087DD3D1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rezultatu</w:t>
      </w:r>
    </w:p>
    <w:p w14:paraId="1BEEF0C5" w14:textId="496D1264" w:rsidR="00050E43" w:rsidRPr="003046A2" w:rsidRDefault="00117FEC" w:rsidP="003046A2">
      <w:pPr>
        <w:pageBreakBefore/>
        <w:spacing w:before="120" w:after="120" w:line="276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lastRenderedPageBreak/>
        <w:t>Definicja</w:t>
      </w:r>
      <w:r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22676A7D" w14:textId="586AEE79" w:rsidR="00050E43" w:rsidRPr="003046A2" w:rsidRDefault="00050E43" w:rsidP="003046A2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 xml:space="preserve">Wskaźnik mierzy łączną liczbę przetestowanych makro i mikro innowacji społecznych, tzn. liczbę innowacji gotowych do upowszechniania i podjęcia działań w zakresie włączenia do polityki i praktyki. Testowanie innowacji społecznej polega na sprawdzeniu nowego rozwiązania w sytuacji rzeczywistej. W trakcie testowania,  konieczne jest zapewnienie udziału przedstawicieli grup docelowych, zarówno użytkowników, jak i odbiorców produktu. Umożliwi to przeprowadzenie procesu oceny rozwiązania przez grupy docelowe i dokonania jego analizy. Na tej podstawie, beneficjent będzie musiał stosownie ulepszyć rozwiązanie i/lub zaplanować jego dalsze, efektywne upowszechnianie. Makro-innowacje – opracowanie (o ile będzie to konieczne), przetestowanie, upowszechnienie i podjęcie działań w zakresie włączenia wybranych nowych rozwiązań do polityki lub praktyki. Mikro-innowacje: 1) </w:t>
      </w:r>
      <w:proofErr w:type="spellStart"/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preinkubacja</w:t>
      </w:r>
      <w:proofErr w:type="spellEnd"/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 xml:space="preserve"> i inkubacja nowych pomysłów, w tym ich generowanie, opracowanie i rozwinięcie, oraz przetestowanie i upowszechnienie wybranych rozwiązań, 2) akceleracja nowych pomysłów, w tym ich rozwinięcie, udoskonalenie i przygotowanie do wdrożenia </w:t>
      </w:r>
      <w:r w:rsidR="003046A2">
        <w:rPr>
          <w:rFonts w:ascii="Verdana" w:eastAsia="Times New Roman" w:hAnsi="Verdana" w:cs="Calibri"/>
          <w:sz w:val="24"/>
          <w:szCs w:val="24"/>
          <w:lang w:eastAsia="pl-PL"/>
        </w:rPr>
        <w:br/>
      </w: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na szerszą skalę, 3) wykorzystanie technik behawioralnych w procesie projektowania lub świadczenia usług w ogólnym interesie.</w:t>
      </w:r>
    </w:p>
    <w:p w14:paraId="0553E877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7836DE7E" w14:textId="475AE6C5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Liczba projektów, w których sfinansowano koszty racjonalnych usprawnień dla osób z niepełnosprawnościami</w:t>
      </w:r>
    </w:p>
    <w:p w14:paraId="6C0272CE" w14:textId="7F09C8FC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35706EBF" w14:textId="4FB179B1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eastAsia="Times New Roman" w:hAnsi="Verdana"/>
          <w:sz w:val="24"/>
          <w:szCs w:val="24"/>
        </w:rPr>
        <w:t>WLWK-PL0CO01</w:t>
      </w:r>
    </w:p>
    <w:p w14:paraId="3A078567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34FB4824" w14:textId="6AE6F9BC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sztuki</w:t>
      </w:r>
    </w:p>
    <w:p w14:paraId="270B57EF" w14:textId="4D958DAB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7D68BD5F" w14:textId="5AEE6730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1BE3DF08" w14:textId="55F59ED9" w:rsidR="00C8085B" w:rsidRPr="003046A2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t>Definicja</w:t>
      </w:r>
      <w:r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4E0B83D0" w14:textId="3E1F78D2" w:rsidR="00C8085B" w:rsidRPr="003046A2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 xml:space="preserve">Racjonalne usprawnienie oznacza konieczne i odpowiednie zmiany oraz dostosowania, nie nakładające nieproporcjonalnego lub nadmiernego obciążenia, rozpatrywane osobno dla każdego konkretnego przypadku,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w celu zapewnienia osobom z niepełnosprawnościami możliwości korzystania z wszelkich praw człowieka i podstawowych wolności oraz ich wykonywania na zasadzie równości z innymi osobami.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br/>
        <w:t>Wskaźnik mierzony w momencie rozliczenia wydatku związanego z racjonalnymi usprawnieniami w ramach danego projektu.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br/>
        <w:t>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br/>
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br/>
        <w:t>Definicja na podstawie: Wytyczne w zakresie realizacji zasad równościowych w ramach funduszy unijnych na lata 2021-2027.</w:t>
      </w:r>
    </w:p>
    <w:p w14:paraId="7566779D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22162041" w14:textId="36C5F786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 xml:space="preserve">Liczba obiektów dostosowanych do potrzeb osób z niepełnosprawnościami </w:t>
      </w:r>
    </w:p>
    <w:p w14:paraId="29FB8C84" w14:textId="77777777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45E02DB6" w14:textId="3B32E157" w:rsidR="00117FEC" w:rsidRPr="003046A2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eastAsia="Times New Roman" w:hAnsi="Verdana"/>
          <w:sz w:val="24"/>
          <w:szCs w:val="24"/>
        </w:rPr>
        <w:t>WLWK-PL0CO02</w:t>
      </w:r>
    </w:p>
    <w:p w14:paraId="4C93B1DD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5B35175E" w14:textId="7FCBA6DA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sztuki</w:t>
      </w:r>
    </w:p>
    <w:p w14:paraId="421FBC15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Rodzaj wskaźnika</w:t>
      </w:r>
    </w:p>
    <w:p w14:paraId="5F9AF52A" w14:textId="0DC9A502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  <w:r w:rsidR="00117FEC" w:rsidRPr="003046A2">
        <w:rPr>
          <w:rFonts w:ascii="Verdana" w:hAnsi="Verdana"/>
          <w:sz w:val="24"/>
          <w:szCs w:val="24"/>
        </w:rPr>
        <w:t xml:space="preserve"> </w:t>
      </w:r>
    </w:p>
    <w:p w14:paraId="679B0BE9" w14:textId="1798FB44" w:rsidR="00C8085B" w:rsidRPr="003046A2" w:rsidRDefault="00117FEC" w:rsidP="003046A2">
      <w:pPr>
        <w:spacing w:before="120" w:after="120" w:line="276" w:lineRule="auto"/>
        <w:rPr>
          <w:rFonts w:ascii="Verdana" w:hAnsi="Verdana" w:cs="Arial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Definicj</w:t>
      </w:r>
      <w:r w:rsidR="003046A2">
        <w:rPr>
          <w:rFonts w:ascii="Verdana" w:hAnsi="Verdana"/>
          <w:b/>
          <w:bCs/>
          <w:sz w:val="24"/>
          <w:szCs w:val="24"/>
        </w:rPr>
        <w:t>a</w:t>
      </w:r>
    </w:p>
    <w:p w14:paraId="6AB1B773" w14:textId="77777777" w:rsidR="004B3269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br/>
        <w:t>Jako obiekty należy rozumieć konstrukcje połączone z gruntem w sposób trwały, wykonane z materiałów budowlanych i elementów składowych, będące wynikiem prac budowlanych (wg. def. PKOB).</w:t>
      </w:r>
    </w:p>
    <w:p w14:paraId="4A1FDD5E" w14:textId="0E83A085" w:rsidR="004B3269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 xml:space="preserve">Należy podać liczbę obiektów, a nie sprzętów, urządzeń itp., w które obiekty zaopatrzono. Jeśli instytucja, zakład itp. składa się z kilku </w:t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obiektów, należy zliczyć wszystkie, które dostosowano do potrzeb osób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z niepełnosprawnościami.</w:t>
      </w:r>
    </w:p>
    <w:p w14:paraId="758A992A" w14:textId="125E639B" w:rsidR="00C8085B" w:rsidRPr="003046A2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 xml:space="preserve">Wskaźnik mierzony w momencie rozliczenia wydatku związanego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 xml:space="preserve">z wyposażeniem obiektów w rozwiązania służące osobom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C8085B">
        <w:rPr>
          <w:rFonts w:ascii="Verdana" w:eastAsia="Times New Roman" w:hAnsi="Verdana" w:cs="Arial"/>
          <w:sz w:val="24"/>
          <w:szCs w:val="24"/>
          <w:lang w:eastAsia="pl-PL"/>
        </w:rPr>
        <w:t>z niepełnosprawnościami w ramach danego projektu.</w:t>
      </w:r>
    </w:p>
    <w:p w14:paraId="7AFA3EE6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0D83E26F" w14:textId="37D4D4F3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Liczba osób z niepełnosprawnościami objętych wsparciem w programie</w:t>
      </w:r>
    </w:p>
    <w:p w14:paraId="17928190" w14:textId="087A6B32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5B6F1090" w14:textId="4EDB5561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WLWK-EECO12</w:t>
      </w:r>
    </w:p>
    <w:p w14:paraId="6A811E7E" w14:textId="4F6747C0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48385E9A" w14:textId="3195B5C5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osoby</w:t>
      </w:r>
    </w:p>
    <w:p w14:paraId="767BB5EA" w14:textId="576B086D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402F30D6" w14:textId="00634F54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4CDC1C81" w14:textId="46B214DC" w:rsidR="00392582" w:rsidRPr="003046A2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t>Definicja</w:t>
      </w:r>
      <w:r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5C3975F4" w14:textId="209BE5E9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Za osoby z niepełnosprawnościami uznaje się osoby niepełnosprawne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w świetle przepisów ustawy z dnia 27 sierpnia 1997 r. o rehabilitacji zawodowej i społecznej oraz zatrudnianiu osób niepełnosprawnych,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a także osoby z zaburzeniami psychicznymi, o których mowa w ustawie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z dnia 19 sierpnia 1994 r. o ochronie zdrowia psychicznego tj. osoby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z odpowiednim orzeczeniem lub innym dokumentem poświadczającym stan zdrowia.</w:t>
      </w:r>
    </w:p>
    <w:p w14:paraId="38299A18" w14:textId="17CFE407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Przynależność do grupy osób z niepełnosprawnościami określana jest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w momencie rozpoczęcia udziału w projekcie, tj. w chwili rozpoczęcia udziału w pierwszej formie wsparcia w projekcie.</w:t>
      </w:r>
    </w:p>
    <w:p w14:paraId="58C7F872" w14:textId="1D6BA5DB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</w:t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monitorowania).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5BE58CFE" w14:textId="36438EBF" w:rsidR="00392582" w:rsidRPr="003046A2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Zarządzającą.</w:t>
      </w:r>
    </w:p>
    <w:p w14:paraId="45A36A89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Nazwa wskaźnika</w:t>
      </w:r>
    </w:p>
    <w:p w14:paraId="03A60BC2" w14:textId="32D0C144" w:rsidR="00A5052D" w:rsidRPr="003046A2" w:rsidRDefault="00A5052D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Liczba osób z krajów trzecich objętych wsparciem w programie (osoby)</w:t>
      </w:r>
    </w:p>
    <w:p w14:paraId="4B0CD27D" w14:textId="38D7037B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2BAD4B12" w14:textId="0B8B76AA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WLWK-EECO13</w:t>
      </w:r>
    </w:p>
    <w:p w14:paraId="45F3E8C1" w14:textId="293ADA78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51DBF91F" w14:textId="503A234A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osoby</w:t>
      </w:r>
    </w:p>
    <w:p w14:paraId="39351F7C" w14:textId="61689EE1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05A40525" w14:textId="05DE392C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20654F17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Definicja</w:t>
      </w:r>
    </w:p>
    <w:p w14:paraId="6207020A" w14:textId="41E62096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Osoby, które są obywatelami krajów spoza UE. Do wskaźnika wlicza się też bezpaństwowców zgodnie z Konwencją o statusie bezpaństwowców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z 1954 r. i osoby bez ustalonego obywatelstwa.</w:t>
      </w:r>
    </w:p>
    <w:p w14:paraId="3BA32DCB" w14:textId="4276C8ED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Przynależność do grupy osób z krajów trzecich określana jest w momencie rozpoczęcia udziału w projekcie, tj. w chwili rozpoczęcia udziału w pierwszej formie wsparcia w projekcie.</w:t>
      </w:r>
    </w:p>
    <w:p w14:paraId="6B510EEA" w14:textId="27D1EDF9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obywatelstwo państw trzecich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krajów trzecich w ogólnej liczbie uczestników w podziale na płeć były uzyskiwane za pomocą metod, które można statystycznie uzasadnić. Jeśli nie jest to możliwe, należy wykorzystać tzw. wiarygodne szacunki (różne metody szacowania opisano w załączniku do Wytycznych). Wybraną metodę szacowania należy udokumentować. Uwaga: w danym projekcie może być stosowana wyłącznie jedna metoda monitorowania tego wskaźnika tj. </w:t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szacowanie lub zbieranie danych osobowych dot. tego wskaźnika od uczestników.</w:t>
      </w:r>
    </w:p>
    <w:p w14:paraId="2CEB3D15" w14:textId="1C184D10" w:rsidR="00392582" w:rsidRPr="003046A2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Zarządzającą.</w:t>
      </w:r>
    </w:p>
    <w:p w14:paraId="3AEDAC43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65326FDD" w14:textId="7B15AFE6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obcego pochodzenia objętych wsparciem w programie </w:t>
      </w:r>
    </w:p>
    <w:p w14:paraId="5AFA70D0" w14:textId="394402B5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0128BCAA" w14:textId="40CF7CD3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WLWK-EECO14</w:t>
      </w:r>
    </w:p>
    <w:p w14:paraId="54C6BB3F" w14:textId="4AF66C51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6AA6416E" w14:textId="2F0F65C3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osoby</w:t>
      </w:r>
    </w:p>
    <w:p w14:paraId="670A3800" w14:textId="7CBFB0B8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60EB7C9A" w14:textId="37C0C948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7FC8717B" w14:textId="06D590DE" w:rsidR="00392582" w:rsidRPr="003046A2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t>Definicja</w:t>
      </w:r>
      <w:r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6D6A1126" w14:textId="77777777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Osoby obcego pochodzenia to cudzoziemcy - każda osoba, która nie posiada polskiego obywatelstwa, bez względu na fakt posiadania lub nie obywatelstwa (obywatelstw) innych krajów.</w:t>
      </w:r>
    </w:p>
    <w:p w14:paraId="471AAD76" w14:textId="188CD23C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Wskaźnik nie obejmuje osób należących do mniejszości, których udział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w projektach monitorowany jest wskaźnikiem liczba osób należących do mniejszości, w tym społeczności marginalizowanych takich jak Romowie, objętych wsparciem w programie.</w:t>
      </w:r>
    </w:p>
    <w:p w14:paraId="69D4C43A" w14:textId="0F3D8B6E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Przynależność do grupy osób obcego pochodzenia określana jest w momencie rozpoczęcia udziału w projekcie, tj. w chwili rozpoczęcia udziału w pierwszej formie wsparcia w projekcie.</w:t>
      </w:r>
    </w:p>
    <w:p w14:paraId="5ECA25A2" w14:textId="5D88F2BA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fakt bycia cudzoziemcem (osobą obcego pochodzenia)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obcego pochodzenia w ogólnej liczbie uczestników w podziale na płeć były uzyskiwane za pomocą metod, które można statystycznie uzasadnić. Jeśli nie jest to możliwe, należy wykorzystać tzw. </w:t>
      </w:r>
      <w:r w:rsidRPr="00392582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wiarygodne szacunki (różne metody szacowania 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3EE7CAEC" w14:textId="77777777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 xml:space="preserve">Informacje dodatkowe: </w:t>
      </w:r>
    </w:p>
    <w:p w14:paraId="2EF3C5FD" w14:textId="0C128E3F" w:rsidR="004B3269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Wskaźnik będzie obejmował zawsze osoby z krajów trzecich, zliczane we wskaźniku liczba osób z krajów trzecich objętych wsparciem w programie.</w:t>
      </w:r>
    </w:p>
    <w:p w14:paraId="62FF4FF6" w14:textId="1B23294A" w:rsidR="00392582" w:rsidRPr="003046A2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392582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Zarządzającą.</w:t>
      </w:r>
    </w:p>
    <w:p w14:paraId="60409C32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14ECAE6E" w14:textId="2D5AFC80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należących do mniejszości, w tym społeczności marginalizowanych takich jak Romowie, objętych wsparciem w programie </w:t>
      </w:r>
    </w:p>
    <w:p w14:paraId="529F8477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56EC7791" w14:textId="248D0FAF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WLWK-EECO15</w:t>
      </w:r>
    </w:p>
    <w:p w14:paraId="234096F2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Jednostka miary</w:t>
      </w:r>
    </w:p>
    <w:p w14:paraId="48B3EC10" w14:textId="592FC3FD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osoby</w:t>
      </w:r>
      <w:r w:rsidR="00117FEC" w:rsidRPr="003046A2">
        <w:rPr>
          <w:rFonts w:ascii="Verdana" w:hAnsi="Verdana"/>
          <w:sz w:val="24"/>
          <w:szCs w:val="24"/>
        </w:rPr>
        <w:t xml:space="preserve"> </w:t>
      </w:r>
    </w:p>
    <w:p w14:paraId="3973FB5A" w14:textId="16957D6A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7FF906D9" w14:textId="2392C1D6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244DC9D4" w14:textId="06DF00DE" w:rsidR="00DF4331" w:rsidRPr="003046A2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t>Definicja</w:t>
      </w:r>
      <w:r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2D56B43D" w14:textId="77777777" w:rsidR="004B3269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 xml:space="preserve">Wskaźnik obejmuje osoby należące do mniejszości narodowych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>i etnicznych biorące udział w projektach EFS+.</w:t>
      </w:r>
    </w:p>
    <w:p w14:paraId="7E6E94CD" w14:textId="4C352198" w:rsidR="004B3269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>Zgodnie z prawem krajowym mniejszości narodowe to mniejszość: białoruska, czeska, litewska, niemiecka, ormiańska, rosyjska, słowacka, ukraińska, żydowska. Mniejszości etniczne: karaimska, łemkowska, romska, tatarska.</w:t>
      </w:r>
    </w:p>
    <w:p w14:paraId="06E341EE" w14:textId="562FAF8D" w:rsidR="004B3269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 xml:space="preserve">Definicja opracowana na podstawie ustawy z dnia 6 stycznia 2005 r.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>o mniejszościach narodowych i etnicznych oraz o języku regionalnym.</w:t>
      </w:r>
      <w:r w:rsidRPr="00DF4331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Przynależność do grupy osób należących do mniejszości określana jest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>w momencie rozpoczęcia udziału w projekcie, tj. w chwili rozpoczęcia udziału w pierwszej formie wsparcia w projekcie.</w:t>
      </w:r>
    </w:p>
    <w:p w14:paraId="13B9353B" w14:textId="68079B72" w:rsidR="004B3269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przynależność do mniejszości jest kryterium umożliwiającym udział w danej interwencji (np. grupa docelowa wskazana została we wniosku o dofinansowanie, kryteriach wyboru projektu lub dokumentach programowych), należy dane pozyskiwać bezpośrednio od </w:t>
      </w:r>
      <w:r w:rsidRPr="00DF4331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należących do mniejszości w ogólnej liczbie uczestników w podziale na płeć były uzyskiwane za pomocą metod, które można statystycznie uzasadnić. Jeśli nie jest to możliwe, należy wykorzystać tzw. wiarygodne szacunki (różne metody szacowania 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17B6F30B" w14:textId="088C9192" w:rsidR="00DF4331" w:rsidRPr="003046A2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DF4331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</w:t>
      </w:r>
    </w:p>
    <w:p w14:paraId="71941F3E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5E2EC66E" w14:textId="5A7F9166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kryzysie bezdomności lub dotkniętych wykluczeniem z dostępu do mieszkań, objętych wsparciem w programie </w:t>
      </w:r>
    </w:p>
    <w:p w14:paraId="200BC2BE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437F5D0D" w14:textId="451A6119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WLWK-EECO16</w:t>
      </w:r>
    </w:p>
    <w:p w14:paraId="08219591" w14:textId="1C97CE6B" w:rsidR="00117FEC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06D6A8FB" w14:textId="5E767D1F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osoby</w:t>
      </w:r>
    </w:p>
    <w:p w14:paraId="0B7386FD" w14:textId="17891584" w:rsidR="00117FEC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Rodzaj wskaźnika</w:t>
      </w:r>
      <w:r w:rsidRPr="003046A2">
        <w:rPr>
          <w:rFonts w:ascii="Verdana" w:hAnsi="Verdana"/>
          <w:sz w:val="24"/>
          <w:szCs w:val="24"/>
        </w:rPr>
        <w:t xml:space="preserve"> </w:t>
      </w:r>
    </w:p>
    <w:p w14:paraId="010B3802" w14:textId="37AA1FD5" w:rsidR="003046A2" w:rsidRPr="003046A2" w:rsidRDefault="003046A2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produktu</w:t>
      </w:r>
    </w:p>
    <w:p w14:paraId="62527673" w14:textId="01A7C75C" w:rsidR="00864873" w:rsidRPr="003046A2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3046A2">
        <w:rPr>
          <w:rFonts w:ascii="Verdana" w:hAnsi="Verdana"/>
          <w:b/>
          <w:bCs/>
          <w:sz w:val="24"/>
          <w:szCs w:val="24"/>
        </w:rPr>
        <w:t>Definicja</w:t>
      </w:r>
      <w:r w:rsidR="00864873" w:rsidRPr="003046A2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52C76A80" w14:textId="77777777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We wskaźniku wykazywane są osoby w kryzysie bezdomności lub dotknięte wykluczeniem z dostępu do mieszkań.</w:t>
      </w:r>
    </w:p>
    <w:p w14:paraId="46608536" w14:textId="3A330805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społecznej:</w:t>
      </w:r>
    </w:p>
    <w:p w14:paraId="52D2C998" w14:textId="5E0D7C25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1. Bez dachu nad głową, w tym osoby żyjące w przestrzeni publicznej lub zakwaterowane interwencyjnie;</w:t>
      </w:r>
    </w:p>
    <w:p w14:paraId="767EC89A" w14:textId="2DA94BEF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2. Bez mieszkania, w tym osoby zakwaterowane w placówkach dla bezdomnych, w schroniskach dla kobiet, schroniskach dla imigrantów, osoby opuszczające instytucje penitencjarne/karne/medyczne, instytucje opiekuńcze, osoby otrzymujące długookresowe wsparcie z powodu bezdomności - specjalistyczne zakwaterowanie wspierane);</w:t>
      </w:r>
    </w:p>
    <w:p w14:paraId="3D814BF1" w14:textId="73B4B488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 xml:space="preserve">3. Niezabezpieczone zakwaterowanie, w tym osoby w lokalach niezabezpieczonych – przebywające czasowo u rodziny/przyjaciół, tj. przebywające w konwencjonalnych warunkach lokalowych, ale nie </w:t>
      </w:r>
      <w:r w:rsidR="003046A2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w stałym miejscu zamieszkania ze względu na brak posiadania takiego, wynajmujący nielegalnie lub nielegalnie zajmujące ziemie, osoby posiadające niepewny najem z nakazem eksmisji, osoby zagrożone przemocą;</w:t>
      </w:r>
    </w:p>
    <w:p w14:paraId="0A783CAE" w14:textId="7BAD2C16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 xml:space="preserve">4. Nieodpowiednie warunki mieszkaniowe, w tym osoby zamieszkujące konstrukcje tymczasowe/nietrwałe, mieszkania </w:t>
      </w:r>
      <w:proofErr w:type="spellStart"/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substandardowe</w:t>
      </w:r>
      <w:proofErr w:type="spellEnd"/>
      <w:r w:rsidRPr="00864873">
        <w:rPr>
          <w:rFonts w:ascii="Verdana" w:eastAsia="Times New Roman" w:hAnsi="Verdana" w:cs="Arial"/>
          <w:sz w:val="24"/>
          <w:szCs w:val="24"/>
          <w:lang w:eastAsia="pl-PL"/>
        </w:rPr>
        <w:t xml:space="preserve"> - lokale nienadające się do zamieszkania wg standardu krajowego, w warunkach skrajnego przeludnienia;</w:t>
      </w:r>
    </w:p>
    <w:p w14:paraId="6934F89A" w14:textId="0AB2DA95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5. Osoby niezamieszkujące w lokalu mieszkalnym w rozumieniu przepisów o ochronie praw lokatorów i mieszkaniowym zasobie gminy i niezameldowane na pobyt stały, w rozumieniu przepisów o ewidencji ludności, a także osoby niezamieszkujące w lokalu mieszkalnym i zameldowaną na pobyt stały w lokalu, w którym nie ma możliwości zamieszkania.</w:t>
      </w:r>
    </w:p>
    <w:p w14:paraId="28030964" w14:textId="383520B8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Osoby dorosłe mieszkające z rodzicami nie powinny być wykazywane we wskaźniku, chyba że wszystkie te osoby są w kryzysie bezdomności lub mieszkają w nieodpowiednich i niebezpiecznych warunkach.</w:t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W przypadku, gdy bezdomność / wykluczenie z dostępu do mieszkań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bezdomnych / wykluczonych z dostępu do mieszkań w ogólnej liczbie uczestników w podziale na płeć były uzyskiwane za pomocą metod, które można statystycznie uzasadnić. Jeśli nie jest to możliwe, należy wykorzystać tzw. wiarygodne szacunki (różne metody szacowania opisano w załączniku do Wytycznych). Wybraną metodę szacowania należy udokumentować. Uwaga: w danym projekcie może być stosowana </w:t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wyłącznie jedna metoda monitorowania tego wskaźnika tj. szacowanie lub zbieranie danych osobowych dot. tego wskaźnika od uczestników.</w:t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Przynależność do grupy osób w kryzysie bezdomności lub dotkniętych wykluczeniem z dostępu do mieszkań określana jest w momencie rozpoczęcia udziału w projekcie, tj. w chwili rozpoczęcia udziału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w pierwszej formie wsparcia w projekcie.</w:t>
      </w:r>
    </w:p>
    <w:p w14:paraId="43FAC38F" w14:textId="77777777" w:rsidR="0049748C" w:rsidRDefault="00864873" w:rsidP="0049748C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</w:t>
      </w:r>
      <w:r w:rsidR="0049748C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3B5A27AA" w14:textId="756BCF40" w:rsidR="00A5052D" w:rsidRPr="003046A2" w:rsidRDefault="00117FEC" w:rsidP="0049748C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>Nazwa wskaźnika</w:t>
      </w:r>
    </w:p>
    <w:p w14:paraId="415DA76A" w14:textId="00091940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eastAsia="Times New Roman" w:hAnsi="Verdana" w:cs="Arial"/>
          <w:sz w:val="24"/>
          <w:szCs w:val="24"/>
          <w:lang w:eastAsia="pl-PL"/>
        </w:rPr>
        <w:t>Liczba objętych wsparciem podmiotów administracji publicznej lub służb publicznych na szczeblu krajowym, regionalnym lub lokalnym (podmioty)</w:t>
      </w:r>
    </w:p>
    <w:p w14:paraId="4B401950" w14:textId="77777777" w:rsidR="00A5052D" w:rsidRPr="003046A2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3046A2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40EC5943" w14:textId="2ED8B90E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WLWK-EECO18</w:t>
      </w:r>
    </w:p>
    <w:p w14:paraId="69434D45" w14:textId="77777777" w:rsidR="00A5052D" w:rsidRPr="004B3269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>Jednostka miary</w:t>
      </w:r>
    </w:p>
    <w:p w14:paraId="074F7A9E" w14:textId="05DF739A" w:rsidR="00A5052D" w:rsidRPr="003046A2" w:rsidRDefault="004B3269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A5052D" w:rsidRPr="003046A2">
        <w:rPr>
          <w:rFonts w:ascii="Verdana" w:hAnsi="Verdana"/>
          <w:sz w:val="24"/>
          <w:szCs w:val="24"/>
        </w:rPr>
        <w:t>ztuki</w:t>
      </w:r>
    </w:p>
    <w:p w14:paraId="346FA34F" w14:textId="6C54ABCB" w:rsidR="00117FEC" w:rsidRPr="004B3269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6A564BEC" w14:textId="1F2D878C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2CE2C2B6" w14:textId="0B5407DC" w:rsidR="00864873" w:rsidRPr="004B3269" w:rsidRDefault="00117FEC" w:rsidP="003046A2">
      <w:pPr>
        <w:spacing w:before="120" w:after="120" w:line="276" w:lineRule="auto"/>
        <w:rPr>
          <w:rFonts w:ascii="Verdana" w:hAnsi="Verdana" w:cs="Arial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>Definicja</w:t>
      </w:r>
      <w:r w:rsidRPr="004B3269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227AE774" w14:textId="77777777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Za służby publiczne uznaje się publiczne lub prywatne podmioty, które świadczą usługi publiczne (w przypadku usług publicznych zlecanych przez państwo podmiotom prywatnym lub świadczonych w ramach partnerstwa publiczno-prywatnego).</w:t>
      </w:r>
    </w:p>
    <w:p w14:paraId="7B4D290B" w14:textId="77777777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 xml:space="preserve">Przez administrację publiczną rozumie się: administrację wykonawczą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i prawodawczą na poziomie centralnym, regionalnym i lokalnym; administrację i nadzór nad sprawami podatkowymi (obsługa podatków; pobór cła / podatku od towarów i dochodzenie w sprawie naruszenia prawa podatkowego; służba celna); administrację zajmującą się wdrażaniem budżetu i zarządzaniem  środkami budżetu państwa i długiem publicznym (pobieranie i otrzymywanie pieniędzy oraz kontrola ich wydatkowania); administrację zajmującą się sprawami obywatelskimi, polityką w zakresie badań i rozwoju oraz powiązanymi funduszami; administrację i realizację  ogólnego planowania gospodarczego i społecznego oraz usług statystycznych na różnych szczeblach rządzenia.</w:t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Informacje dotyczące podmiotów objętych wsparciem powinny pochodzić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z dokumentów administracyjnych np. z umów o dofinansowanie.</w:t>
      </w:r>
    </w:p>
    <w:p w14:paraId="3A0A144B" w14:textId="77777777" w:rsidR="004B3269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Do wskaźnika wliczane są tylko te podmioty, dla których można wyróżnić wydatki (nie dotyczy pomocy technicznej).</w:t>
      </w:r>
    </w:p>
    <w:p w14:paraId="77F126D2" w14:textId="7AF8E8DB" w:rsidR="00864873" w:rsidRPr="003046A2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 xml:space="preserve">Podmiot jest wliczany do wskaźnika w momencie rozpoczęcia udziału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w projekcie.</w:t>
      </w:r>
    </w:p>
    <w:p w14:paraId="048486F2" w14:textId="77777777" w:rsidR="00A5052D" w:rsidRPr="004B3269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5F0E153B" w14:textId="610128BB" w:rsidR="00A5052D" w:rsidRPr="003046A2" w:rsidRDefault="00A5052D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Liczba objętych wsparciem mikro-, małych i średnich przedsiębiorstw (w tym spółdzielni i przedsiębiorstw społecznych) (przedsiębiorstwa)</w:t>
      </w:r>
    </w:p>
    <w:p w14:paraId="291B2A1B" w14:textId="77777777" w:rsidR="004B3269" w:rsidRPr="004B3269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1C45ED82" w14:textId="686295D6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WLWL-EECO19</w:t>
      </w:r>
    </w:p>
    <w:p w14:paraId="1F8D47DA" w14:textId="77777777" w:rsidR="00A5052D" w:rsidRPr="004B3269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>Jednostka miary</w:t>
      </w:r>
    </w:p>
    <w:p w14:paraId="41B5685F" w14:textId="0B831C87" w:rsidR="00117FEC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sztuki</w:t>
      </w:r>
      <w:r w:rsidR="00117FEC" w:rsidRPr="003046A2">
        <w:rPr>
          <w:rFonts w:ascii="Verdana" w:hAnsi="Verdana"/>
          <w:sz w:val="24"/>
          <w:szCs w:val="24"/>
        </w:rPr>
        <w:t xml:space="preserve"> </w:t>
      </w:r>
    </w:p>
    <w:p w14:paraId="6771DDAD" w14:textId="28DBE809" w:rsidR="00117FEC" w:rsidRPr="004B3269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17616DD9" w14:textId="2F98F91E" w:rsidR="00A5052D" w:rsidRPr="003046A2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3046A2">
        <w:rPr>
          <w:rFonts w:ascii="Verdana" w:hAnsi="Verdana"/>
          <w:sz w:val="24"/>
          <w:szCs w:val="24"/>
        </w:rPr>
        <w:t>produktu</w:t>
      </w:r>
    </w:p>
    <w:p w14:paraId="1B8A5ACD" w14:textId="28BDFD12" w:rsidR="00864873" w:rsidRPr="004B3269" w:rsidRDefault="00117FEC" w:rsidP="003046A2">
      <w:pPr>
        <w:spacing w:before="120" w:after="120" w:line="276" w:lineRule="auto"/>
        <w:rPr>
          <w:rFonts w:ascii="Verdana" w:eastAsia="Times New Roman" w:hAnsi="Verdana"/>
          <w:b/>
          <w:bCs/>
          <w:sz w:val="24"/>
          <w:szCs w:val="24"/>
        </w:rPr>
      </w:pPr>
      <w:r w:rsidRPr="004B3269">
        <w:rPr>
          <w:rFonts w:ascii="Verdana" w:hAnsi="Verdana"/>
          <w:b/>
          <w:bCs/>
          <w:sz w:val="24"/>
          <w:szCs w:val="24"/>
        </w:rPr>
        <w:t>Definicj</w:t>
      </w:r>
      <w:r w:rsidR="00A5052D" w:rsidRPr="004B3269">
        <w:rPr>
          <w:rFonts w:ascii="Verdana" w:hAnsi="Verdana"/>
          <w:b/>
          <w:bCs/>
          <w:sz w:val="24"/>
          <w:szCs w:val="24"/>
        </w:rPr>
        <w:t>a</w:t>
      </w:r>
    </w:p>
    <w:p w14:paraId="7F5643A2" w14:textId="77777777" w:rsidR="004B3269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Za przedsiębiorstwo uważa się podmiot prowadzący działalność gospodarczą bez względu na jego formę prawną, w tym spółdzielnie i przedsiębiorstwa społeczne.</w:t>
      </w:r>
    </w:p>
    <w:p w14:paraId="0472127B" w14:textId="688988E9" w:rsidR="004B3269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Na kategorię mikroprzedsiębiorstw oraz małych i średnich przedsiębiorstw (MMŚP) składają się przedsiębiorstwa, które zatrudniają mniej niż 250 pracowników, których roczny obrót nie przekracza 50 milionów EUR lub roczna suma bilansowa nie przekracza 43 milionów EUR.</w:t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br/>
        <w:t>Definicje na podstawie: Zalecenie Komisji z dnia 6 maja 2003 r. dotyczące definicji mikroprzedsiębiorstw oraz małych i średnich przedsiębiorstw (2003/361/WE).</w:t>
      </w:r>
    </w:p>
    <w:p w14:paraId="4C250AE4" w14:textId="77777777" w:rsidR="004B3269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Dodatkowe informacje:</w:t>
      </w:r>
    </w:p>
    <w:p w14:paraId="00CED8F6" w14:textId="77777777" w:rsidR="004B3269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W kategorii mikroprzedsiębiorstwa należy uwzględnić również osoby prowadzące działalność na własny rachunek.</w:t>
      </w:r>
    </w:p>
    <w:p w14:paraId="619E4BBF" w14:textId="1A661489" w:rsidR="00864873" w:rsidRPr="003046A2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dotyczącym MMŚP, ponieważ jest to tylko wsparcie pośrednie dla przedsiębiorstwa. MMŚP będące jedynie beneficjentami projektu także nie są odnotowywane w tym wskaźniku.</w:t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Podmiot jest wliczany do wskaźnika w momencie rozpoczęcia udziału </w:t>
      </w:r>
      <w:r w:rsidR="004B3269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64873">
        <w:rPr>
          <w:rFonts w:ascii="Verdana" w:eastAsia="Times New Roman" w:hAnsi="Verdana" w:cs="Arial"/>
          <w:sz w:val="24"/>
          <w:szCs w:val="24"/>
          <w:lang w:eastAsia="pl-PL"/>
        </w:rPr>
        <w:t>w projekcie.</w:t>
      </w:r>
    </w:p>
    <w:sectPr w:rsidR="00864873" w:rsidRPr="0030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362D" w14:textId="77777777" w:rsidR="00202814" w:rsidRDefault="00202814" w:rsidP="00202814">
      <w:pPr>
        <w:spacing w:after="0" w:line="240" w:lineRule="auto"/>
      </w:pPr>
      <w:r>
        <w:separator/>
      </w:r>
    </w:p>
  </w:endnote>
  <w:endnote w:type="continuationSeparator" w:id="0">
    <w:p w14:paraId="0780B558" w14:textId="77777777" w:rsidR="00202814" w:rsidRDefault="00202814" w:rsidP="002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65E" w14:textId="77777777" w:rsidR="00626206" w:rsidRDefault="00626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86206"/>
      <w:docPartObj>
        <w:docPartGallery w:val="Page Numbers (Bottom of Page)"/>
        <w:docPartUnique/>
      </w:docPartObj>
    </w:sdtPr>
    <w:sdtEndPr/>
    <w:sdtContent>
      <w:p w14:paraId="365E2885" w14:textId="5DA57146" w:rsidR="00626206" w:rsidRDefault="0062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E3AAE" w14:textId="77777777" w:rsidR="00626206" w:rsidRDefault="00626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FB2F" w14:textId="77777777" w:rsidR="00626206" w:rsidRDefault="006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2A48" w14:textId="77777777" w:rsidR="00202814" w:rsidRDefault="00202814" w:rsidP="00202814">
      <w:pPr>
        <w:spacing w:after="0" w:line="240" w:lineRule="auto"/>
      </w:pPr>
      <w:r>
        <w:separator/>
      </w:r>
    </w:p>
  </w:footnote>
  <w:footnote w:type="continuationSeparator" w:id="0">
    <w:p w14:paraId="514EDC87" w14:textId="77777777" w:rsidR="00202814" w:rsidRDefault="00202814" w:rsidP="0020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5B" w14:textId="77777777" w:rsidR="00626206" w:rsidRDefault="00626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61EF" w14:textId="2BBA6784" w:rsidR="00202814" w:rsidRPr="003046A2" w:rsidRDefault="00202814">
    <w:pPr>
      <w:pStyle w:val="Nagwek"/>
      <w:rPr>
        <w:rFonts w:ascii="Verdana" w:hAnsi="Verdana"/>
        <w:b/>
        <w:bCs/>
        <w:sz w:val="24"/>
        <w:szCs w:val="24"/>
      </w:rPr>
    </w:pPr>
    <w:r w:rsidRPr="003046A2">
      <w:rPr>
        <w:rFonts w:ascii="Verdana" w:hAnsi="Verdana"/>
        <w:sz w:val="24"/>
        <w:szCs w:val="24"/>
      </w:rPr>
      <w:t>Załącznik nr 1</w:t>
    </w:r>
    <w:r w:rsidRPr="003046A2">
      <w:rPr>
        <w:rFonts w:ascii="Verdana" w:hAnsi="Verdana"/>
        <w:b/>
        <w:bCs/>
        <w:sz w:val="24"/>
        <w:szCs w:val="24"/>
      </w:rPr>
      <w:t xml:space="preserve"> -</w:t>
    </w:r>
    <w:r w:rsidR="003046A2" w:rsidRPr="003046A2">
      <w:rPr>
        <w:b/>
        <w:bCs/>
      </w:rPr>
      <w:t xml:space="preserve"> </w:t>
    </w:r>
    <w:r w:rsidR="003046A2" w:rsidRPr="003046A2">
      <w:rPr>
        <w:rFonts w:ascii="Verdana" w:hAnsi="Verdana"/>
        <w:b/>
        <w:bCs/>
        <w:sz w:val="24"/>
        <w:szCs w:val="24"/>
      </w:rPr>
      <w:t>Wykaz wskaźników FERS i ich definicji obowiązujących w naborze</w:t>
    </w:r>
    <w:r w:rsidRPr="003046A2">
      <w:rPr>
        <w:rFonts w:ascii="Verdana" w:hAnsi="Verdana"/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93F1" w14:textId="77777777" w:rsidR="00626206" w:rsidRDefault="00626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54"/>
    <w:multiLevelType w:val="hybridMultilevel"/>
    <w:tmpl w:val="2A10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854"/>
    <w:multiLevelType w:val="hybridMultilevel"/>
    <w:tmpl w:val="ACC2FF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5B"/>
    <w:rsid w:val="00050E43"/>
    <w:rsid w:val="00117FEC"/>
    <w:rsid w:val="00202814"/>
    <w:rsid w:val="00223B4D"/>
    <w:rsid w:val="003046A2"/>
    <w:rsid w:val="00392582"/>
    <w:rsid w:val="00493337"/>
    <w:rsid w:val="0049748C"/>
    <w:rsid w:val="004A407F"/>
    <w:rsid w:val="004B3269"/>
    <w:rsid w:val="00573AFB"/>
    <w:rsid w:val="00626206"/>
    <w:rsid w:val="00864873"/>
    <w:rsid w:val="00893F67"/>
    <w:rsid w:val="00A5052D"/>
    <w:rsid w:val="00C8085B"/>
    <w:rsid w:val="00DF4331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F770"/>
  <w15:chartTrackingRefBased/>
  <w15:docId w15:val="{62A5BFD3-3E82-459E-8D1C-188D760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392582"/>
    <w:pPr>
      <w:ind w:left="720"/>
      <w:contextualSpacing/>
    </w:p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392582"/>
  </w:style>
  <w:style w:type="paragraph" w:styleId="Nagwek">
    <w:name w:val="header"/>
    <w:basedOn w:val="Normalny"/>
    <w:link w:val="NagwekZnak"/>
    <w:uiPriority w:val="99"/>
    <w:unhideWhenUsed/>
    <w:rsid w:val="002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814"/>
  </w:style>
  <w:style w:type="paragraph" w:styleId="Stopka">
    <w:name w:val="footer"/>
    <w:basedOn w:val="Normalny"/>
    <w:link w:val="StopkaZnak"/>
    <w:uiPriority w:val="99"/>
    <w:unhideWhenUsed/>
    <w:rsid w:val="002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2883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Bortnowska Dorota</cp:lastModifiedBy>
  <cp:revision>4</cp:revision>
  <dcterms:created xsi:type="dcterms:W3CDTF">2023-05-31T10:59:00Z</dcterms:created>
  <dcterms:modified xsi:type="dcterms:W3CDTF">2023-06-14T09:59:00Z</dcterms:modified>
</cp:coreProperties>
</file>