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6A06" w14:textId="26A629DF" w:rsidR="006D08D8" w:rsidRPr="00F977A8" w:rsidRDefault="0045489E" w:rsidP="0019167D">
      <w:pPr>
        <w:pStyle w:val="Tytu"/>
        <w:spacing w:line="30" w:lineRule="atLeast"/>
        <w:rPr>
          <w:b w:val="0"/>
          <w:bCs/>
          <w:i/>
          <w:iCs/>
          <w:sz w:val="44"/>
          <w:szCs w:val="44"/>
        </w:rPr>
      </w:pPr>
      <w:bookmarkStart w:id="0" w:name="_Toc120173368"/>
      <w:r w:rsidRPr="0045489E">
        <w:rPr>
          <w:b w:val="0"/>
          <w:bCs/>
          <w:sz w:val="44"/>
          <w:szCs w:val="44"/>
        </w:rPr>
        <w:t xml:space="preserve">Załącznik nr 2 do Uchwały nr </w:t>
      </w:r>
      <w:r>
        <w:rPr>
          <w:b w:val="0"/>
          <w:bCs/>
          <w:sz w:val="44"/>
          <w:szCs w:val="44"/>
        </w:rPr>
        <w:t>6</w:t>
      </w:r>
      <w:r w:rsidR="00503F1C">
        <w:rPr>
          <w:b w:val="0"/>
          <w:bCs/>
          <w:sz w:val="44"/>
          <w:szCs w:val="44"/>
        </w:rPr>
        <w:br/>
      </w:r>
      <w:r w:rsidR="00396988" w:rsidRPr="00F977A8">
        <w:rPr>
          <w:b w:val="0"/>
          <w:bCs/>
          <w:sz w:val="44"/>
          <w:szCs w:val="44"/>
        </w:rPr>
        <w:t xml:space="preserve">Kryteria </w:t>
      </w:r>
      <w:r w:rsidR="00825129" w:rsidRPr="00F977A8">
        <w:rPr>
          <w:b w:val="0"/>
          <w:bCs/>
          <w:sz w:val="44"/>
          <w:szCs w:val="44"/>
        </w:rPr>
        <w:t xml:space="preserve">dla działania 2.1 Wysoka jakość i dostępność e-usług publicznych </w:t>
      </w:r>
      <w:r w:rsidR="00396988" w:rsidRPr="00F977A8">
        <w:rPr>
          <w:b w:val="0"/>
          <w:bCs/>
          <w:sz w:val="44"/>
          <w:szCs w:val="44"/>
        </w:rPr>
        <w:t xml:space="preserve">wyboru projektów w </w:t>
      </w:r>
      <w:r w:rsidR="00CB5871" w:rsidRPr="00F977A8">
        <w:rPr>
          <w:b w:val="0"/>
          <w:bCs/>
          <w:sz w:val="44"/>
          <w:szCs w:val="44"/>
        </w:rPr>
        <w:t>programie</w:t>
      </w:r>
      <w:r w:rsidR="00396988" w:rsidRPr="00F977A8">
        <w:rPr>
          <w:b w:val="0"/>
          <w:bCs/>
          <w:sz w:val="44"/>
          <w:szCs w:val="44"/>
        </w:rPr>
        <w:t xml:space="preserve"> </w:t>
      </w:r>
      <w:r w:rsidR="00C71848" w:rsidRPr="00F977A8">
        <w:rPr>
          <w:b w:val="0"/>
          <w:bCs/>
          <w:sz w:val="44"/>
          <w:szCs w:val="44"/>
        </w:rPr>
        <w:t>Fundusze Europejskie na Rozwój Cyfrowy</w:t>
      </w:r>
      <w:r w:rsidR="00825129" w:rsidRPr="00F977A8">
        <w:rPr>
          <w:b w:val="0"/>
          <w:bCs/>
          <w:sz w:val="44"/>
          <w:szCs w:val="44"/>
        </w:rPr>
        <w:t xml:space="preserve"> 2021-2027</w:t>
      </w:r>
      <w:bookmarkEnd w:id="0"/>
      <w:r w:rsidR="00973175" w:rsidRPr="00F977A8">
        <w:rPr>
          <w:b w:val="0"/>
          <w:bCs/>
          <w:sz w:val="44"/>
          <w:szCs w:val="44"/>
        </w:rPr>
        <w:t xml:space="preserve"> (FERC) </w:t>
      </w:r>
      <w:r w:rsidR="00AC3CF3" w:rsidRPr="00F977A8">
        <w:rPr>
          <w:b w:val="0"/>
          <w:bCs/>
          <w:sz w:val="44"/>
          <w:szCs w:val="44"/>
        </w:rPr>
        <w:t xml:space="preserve">- </w:t>
      </w:r>
      <w:bookmarkStart w:id="1" w:name="_Hlk135047101"/>
      <w:r w:rsidR="000C074C" w:rsidRPr="00F977A8">
        <w:rPr>
          <w:b w:val="0"/>
          <w:bCs/>
          <w:sz w:val="44"/>
          <w:szCs w:val="44"/>
        </w:rPr>
        <w:t>konkurencyjny</w:t>
      </w:r>
      <w:r w:rsidR="00AE02C0" w:rsidRPr="00F977A8">
        <w:rPr>
          <w:b w:val="0"/>
          <w:bCs/>
          <w:sz w:val="44"/>
          <w:szCs w:val="44"/>
        </w:rPr>
        <w:t xml:space="preserve"> sposób wyboru projektów</w:t>
      </w:r>
      <w:bookmarkEnd w:id="1"/>
    </w:p>
    <w:p w14:paraId="4355D0DD" w14:textId="40AC0DBE" w:rsidR="00B01CF5" w:rsidRPr="00775F12" w:rsidRDefault="00B01CF5" w:rsidP="0019167D">
      <w:pPr>
        <w:pStyle w:val="Nagwek1"/>
        <w:spacing w:line="30" w:lineRule="atLeast"/>
        <w:rPr>
          <w:sz w:val="28"/>
          <w:szCs w:val="28"/>
        </w:rPr>
      </w:pPr>
      <w:r w:rsidRPr="00775F12">
        <w:rPr>
          <w:sz w:val="28"/>
          <w:szCs w:val="28"/>
        </w:rPr>
        <w:t xml:space="preserve">Kryteria formalne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2906"/>
        <w:gridCol w:w="8307"/>
        <w:gridCol w:w="2142"/>
      </w:tblGrid>
      <w:tr w:rsidR="000B284D" w:rsidRPr="009F6CD0" w14:paraId="538F1719" w14:textId="4BC66DD1" w:rsidTr="00FB4385">
        <w:trPr>
          <w:tblHeader/>
          <w:jc w:val="center"/>
        </w:trPr>
        <w:tc>
          <w:tcPr>
            <w:tcW w:w="637" w:type="dxa"/>
            <w:vAlign w:val="center"/>
          </w:tcPr>
          <w:p w14:paraId="6B590353" w14:textId="77777777" w:rsidR="000B284D" w:rsidRPr="00683C7E" w:rsidRDefault="000B284D" w:rsidP="0019167D">
            <w:pPr>
              <w:spacing w:line="30" w:lineRule="atLeast"/>
              <w:jc w:val="center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906" w:type="dxa"/>
            <w:vAlign w:val="center"/>
          </w:tcPr>
          <w:p w14:paraId="50E16C9B" w14:textId="777777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Nazwa kryterium</w:t>
            </w:r>
          </w:p>
        </w:tc>
        <w:tc>
          <w:tcPr>
            <w:tcW w:w="8309" w:type="dxa"/>
            <w:vAlign w:val="center"/>
          </w:tcPr>
          <w:p w14:paraId="73104E0C" w14:textId="777777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Opis kryterium</w:t>
            </w:r>
          </w:p>
        </w:tc>
        <w:tc>
          <w:tcPr>
            <w:tcW w:w="2142" w:type="dxa"/>
          </w:tcPr>
          <w:p w14:paraId="166FC6CA" w14:textId="4AE1F9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Sposób oceny</w:t>
            </w:r>
          </w:p>
        </w:tc>
      </w:tr>
      <w:tr w:rsidR="000B284D" w:rsidRPr="009F6CD0" w14:paraId="455EEF65" w14:textId="592A0162" w:rsidTr="00DB7A49">
        <w:trPr>
          <w:jc w:val="center"/>
        </w:trPr>
        <w:tc>
          <w:tcPr>
            <w:tcW w:w="637" w:type="dxa"/>
          </w:tcPr>
          <w:p w14:paraId="14C8215C" w14:textId="39015991" w:rsidR="000B284D" w:rsidRPr="00683C7E" w:rsidRDefault="004A6D56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06" w:type="dxa"/>
          </w:tcPr>
          <w:p w14:paraId="5CB4935F" w14:textId="4B62770C" w:rsidR="000B284D" w:rsidRPr="00683C7E" w:rsidRDefault="000B284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Złożenie Wniosku o </w:t>
            </w:r>
            <w:r w:rsidR="00396988" w:rsidRPr="00683C7E">
              <w:rPr>
                <w:rFonts w:cstheme="minorHAnsi"/>
                <w:b w:val="0"/>
                <w:bCs/>
                <w:szCs w:val="24"/>
              </w:rPr>
              <w:t xml:space="preserve">dofinansowanie </w:t>
            </w:r>
            <w:r w:rsidRPr="00683C7E">
              <w:rPr>
                <w:rFonts w:cstheme="minorHAnsi"/>
                <w:b w:val="0"/>
                <w:bCs/>
                <w:szCs w:val="24"/>
              </w:rPr>
              <w:t>w odpowiedniej formie</w:t>
            </w:r>
          </w:p>
        </w:tc>
        <w:tc>
          <w:tcPr>
            <w:tcW w:w="8309" w:type="dxa"/>
          </w:tcPr>
          <w:p w14:paraId="16869DC3" w14:textId="393AEE81" w:rsidR="000B284D" w:rsidRPr="00683C7E" w:rsidRDefault="00BE6846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W ramach kryterium weryfikowane jest czy </w:t>
            </w:r>
            <w:r w:rsidR="00396988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Wnioskodawca złożył podpisany przez upoważnioną osobę/osoby wniosek o dofinansowanie w postaci elektronicznej zgodnie z wymaganiami określonymi w regulaminie wyboru projektów. </w:t>
            </w:r>
          </w:p>
        </w:tc>
        <w:tc>
          <w:tcPr>
            <w:tcW w:w="2142" w:type="dxa"/>
          </w:tcPr>
          <w:p w14:paraId="3B83E9D0" w14:textId="40138117" w:rsidR="00396988" w:rsidRPr="00683C7E" w:rsidRDefault="00F27829" w:rsidP="006471AE">
            <w:pPr>
              <w:tabs>
                <w:tab w:val="left" w:pos="4561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B284D" w:rsidRPr="009F6CD0" w14:paraId="198F5F36" w14:textId="4EADA8E7" w:rsidTr="00DB7A49">
        <w:trPr>
          <w:jc w:val="center"/>
        </w:trPr>
        <w:tc>
          <w:tcPr>
            <w:tcW w:w="637" w:type="dxa"/>
          </w:tcPr>
          <w:p w14:paraId="3375F3EC" w14:textId="03D5DBF5" w:rsidR="000B284D" w:rsidRPr="00683C7E" w:rsidRDefault="004A6D56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06" w:type="dxa"/>
          </w:tcPr>
          <w:p w14:paraId="03D586D5" w14:textId="77777777" w:rsidR="00396988" w:rsidRPr="00683C7E" w:rsidRDefault="0039698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Kompletność dokumentacji wymaganej na etapie aplikowania</w:t>
            </w:r>
          </w:p>
          <w:p w14:paraId="4F1B7668" w14:textId="31256D0E" w:rsidR="000B284D" w:rsidRPr="00683C7E" w:rsidRDefault="000B284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09" w:type="dxa"/>
          </w:tcPr>
          <w:p w14:paraId="54C5136A" w14:textId="1658FB1A" w:rsidR="007813AC" w:rsidRPr="00683C7E" w:rsidRDefault="007813AC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 ramach kryterium weryfikowane jest czy:</w:t>
            </w:r>
          </w:p>
          <w:p w14:paraId="5950C3D8" w14:textId="0FEB8A47" w:rsidR="007813AC" w:rsidRPr="00683C7E" w:rsidRDefault="00396988" w:rsidP="0019167D">
            <w:pPr>
              <w:pStyle w:val="Akapitzlist"/>
              <w:numPr>
                <w:ilvl w:val="0"/>
                <w:numId w:val="50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Wnioskodawca złożył wypełniony we wszystkich wymaganych polach wniosek o dofinansowanie wraz z kompletem wymaganych czytelnych załączników</w:t>
            </w:r>
            <w:r w:rsidR="00BA5CFD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 oraz</w:t>
            </w:r>
          </w:p>
          <w:p w14:paraId="7A0E8976" w14:textId="2E41167F" w:rsidR="000B284D" w:rsidRPr="00683C7E" w:rsidRDefault="002D40BD" w:rsidP="0019167D">
            <w:pPr>
              <w:pStyle w:val="Akapitzlist"/>
              <w:numPr>
                <w:ilvl w:val="0"/>
                <w:numId w:val="50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</w:t>
            </w:r>
            <w:r w:rsidR="007813AC" w:rsidRPr="00683C7E">
              <w:rPr>
                <w:rFonts w:cstheme="minorHAnsi"/>
                <w:b w:val="0"/>
                <w:bCs/>
                <w:color w:val="000000"/>
                <w:szCs w:val="24"/>
              </w:rPr>
              <w:t>e</w:t>
            </w:r>
            <w:r w:rsidR="00396988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 wniosku o dofinansowanie, w oświadczeniach oraz w załącznikach do wniosku nie występują istotne rozbieżności: w szczególności wartość budżetu projektu, wskaźniki projektu.</w:t>
            </w:r>
          </w:p>
          <w:p w14:paraId="6B9A4D2B" w14:textId="69330D6E" w:rsidR="004A47A9" w:rsidRPr="00683C7E" w:rsidRDefault="00F31A15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(projekt musi uzyskać pozytywną ocenę we wszystkich punktach)</w:t>
            </w:r>
          </w:p>
        </w:tc>
        <w:tc>
          <w:tcPr>
            <w:tcW w:w="2142" w:type="dxa"/>
          </w:tcPr>
          <w:p w14:paraId="773585AC" w14:textId="474C25D3" w:rsidR="00396988" w:rsidRPr="00683C7E" w:rsidRDefault="00DE655F" w:rsidP="006471AE">
            <w:pPr>
              <w:tabs>
                <w:tab w:val="left" w:pos="4561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683C7E" w:rsidDel="00DE655F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062EB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2A5CB7" w:rsidRPr="009F6CD0" w14:paraId="3B65A72C" w14:textId="77777777" w:rsidTr="00FB4385">
        <w:trPr>
          <w:jc w:val="center"/>
        </w:trPr>
        <w:tc>
          <w:tcPr>
            <w:tcW w:w="637" w:type="dxa"/>
          </w:tcPr>
          <w:p w14:paraId="14C78397" w14:textId="0DEF52AF" w:rsidR="002A5CB7" w:rsidRPr="00683C7E" w:rsidRDefault="002A5CB7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3</w:t>
            </w:r>
          </w:p>
        </w:tc>
        <w:tc>
          <w:tcPr>
            <w:tcW w:w="2906" w:type="dxa"/>
          </w:tcPr>
          <w:p w14:paraId="450FE38A" w14:textId="2C3623CE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Pozytywna ocena Komitetu Rady Ministrów do spraw Cyfryzacji (KRMC) </w:t>
            </w:r>
          </w:p>
        </w:tc>
        <w:tc>
          <w:tcPr>
            <w:tcW w:w="8309" w:type="dxa"/>
          </w:tcPr>
          <w:p w14:paraId="0D98FB01" w14:textId="4CCD079E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Opinia Komitetu Rady Ministrów ds. Cyfryzacji wydana dla ocenianego projektu jest pozytywna i wydana została nie później niż w dniu złożenia wniosku o dofinansowanie</w:t>
            </w:r>
            <w:r w:rsidR="00E87CEB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E87CEB" w:rsidRPr="00936812">
              <w:rPr>
                <w:rFonts w:cstheme="minorHAnsi"/>
                <w:b w:val="0"/>
                <w:szCs w:val="24"/>
              </w:rPr>
              <w:t xml:space="preserve">i nie wcześniej niż </w:t>
            </w:r>
            <w:r w:rsidR="00E87CEB" w:rsidRPr="00FD0A95">
              <w:rPr>
                <w:rFonts w:cstheme="minorHAnsi"/>
                <w:b w:val="0"/>
                <w:szCs w:val="24"/>
              </w:rPr>
              <w:t>9</w:t>
            </w:r>
            <w:r w:rsidR="00E87CEB" w:rsidRPr="00936812">
              <w:rPr>
                <w:rFonts w:cstheme="minorHAnsi"/>
                <w:b w:val="0"/>
                <w:szCs w:val="24"/>
              </w:rPr>
              <w:t xml:space="preserve"> miesięcy przed dniem złożenia wniosku</w:t>
            </w:r>
            <w:r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142" w:type="dxa"/>
          </w:tcPr>
          <w:p w14:paraId="40E20EFC" w14:textId="5EF8320D" w:rsidR="002A5CB7" w:rsidRPr="00683C7E" w:rsidRDefault="005E102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D2D21">
              <w:rPr>
                <w:rFonts w:cstheme="minorHAnsi"/>
                <w:b w:val="0"/>
                <w:bCs/>
                <w:szCs w:val="24"/>
              </w:rPr>
              <w:t>TAK/NIE</w:t>
            </w:r>
            <w:r w:rsidR="00D76BF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7D2D21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</w:t>
            </w:r>
          </w:p>
        </w:tc>
      </w:tr>
      <w:tr w:rsidR="002A5CB7" w:rsidRPr="009F6CD0" w14:paraId="495C2AD6" w14:textId="5B561CEE" w:rsidTr="00FB4385">
        <w:trPr>
          <w:jc w:val="center"/>
        </w:trPr>
        <w:tc>
          <w:tcPr>
            <w:tcW w:w="637" w:type="dxa"/>
          </w:tcPr>
          <w:p w14:paraId="00B4D16B" w14:textId="0FB249CD" w:rsidR="002A5CB7" w:rsidRPr="00683C7E" w:rsidRDefault="002A5CB7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06" w:type="dxa"/>
          </w:tcPr>
          <w:p w14:paraId="33D2A527" w14:textId="592C3B5C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Kwalifikowalność  Wnioskodawcy/</w:t>
            </w:r>
            <w:r w:rsidR="003E3E6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</w:t>
            </w:r>
          </w:p>
        </w:tc>
        <w:tc>
          <w:tcPr>
            <w:tcW w:w="8309" w:type="dxa"/>
          </w:tcPr>
          <w:p w14:paraId="234C9122" w14:textId="1C66F62A" w:rsidR="002A5CB7" w:rsidRPr="00683C7E" w:rsidRDefault="004F2605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Wnioskodawca </w:t>
            </w:r>
            <w:r w:rsidR="000F3C24" w:rsidRPr="000F3C24">
              <w:rPr>
                <w:rFonts w:cstheme="minorHAnsi"/>
                <w:b w:val="0"/>
                <w:bCs/>
                <w:szCs w:val="24"/>
              </w:rPr>
              <w:t>oraz Partner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2E7B3E" w:rsidRPr="00683C7E">
              <w:rPr>
                <w:rFonts w:cstheme="minorHAnsi"/>
                <w:b w:val="0"/>
                <w:bCs/>
                <w:szCs w:val="24"/>
              </w:rPr>
              <w:t>jest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podmiot</w:t>
            </w:r>
            <w:r w:rsidR="002E7B3E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Pr="00683C7E">
              <w:rPr>
                <w:rFonts w:cstheme="minorHAnsi"/>
                <w:b w:val="0"/>
                <w:bCs/>
                <w:szCs w:val="24"/>
              </w:rPr>
              <w:t>m kwalifikującym się do wsparcia w ramach działania 2.1 FERC, zgodnie z</w:t>
            </w:r>
            <w:r w:rsidR="002C3748">
              <w:rPr>
                <w:rFonts w:cstheme="minorHAnsi"/>
                <w:b w:val="0"/>
                <w:bCs/>
                <w:szCs w:val="24"/>
              </w:rPr>
              <w:t>e</w:t>
            </w:r>
            <w:r w:rsidR="002C3748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Szczegółowym Opisem Priorytetów Programu Fundusze Europejskie na Rozwój Cyfrowy na lata 2021-2027 (SZOP)</w:t>
            </w:r>
            <w:r w:rsidRPr="00683C7E">
              <w:rPr>
                <w:rFonts w:cstheme="minorHAnsi"/>
                <w:b w:val="0"/>
                <w:bCs/>
                <w:szCs w:val="24"/>
                <w:vertAlign w:val="superscript"/>
              </w:rPr>
              <w:footnoteReference w:id="2"/>
            </w:r>
            <w:r w:rsidR="003E3E66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3169440" w14:textId="60BDF408" w:rsidR="004A47A9" w:rsidRPr="00683C7E" w:rsidRDefault="004A47A9" w:rsidP="0019167D">
            <w:pPr>
              <w:spacing w:line="30" w:lineRule="atLeast"/>
              <w:ind w:left="26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11A0C3A2" w14:textId="3F0F32EA" w:rsidR="002A5CB7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2A5CB7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55C31" w:rsidRPr="009F6CD0" w14:paraId="61CDFDAC" w14:textId="5F7DEA47" w:rsidTr="00FB4385">
        <w:trPr>
          <w:jc w:val="center"/>
        </w:trPr>
        <w:tc>
          <w:tcPr>
            <w:tcW w:w="637" w:type="dxa"/>
          </w:tcPr>
          <w:p w14:paraId="60C0F4D1" w14:textId="43B9BC79" w:rsidR="00D55C31" w:rsidRPr="00683C7E" w:rsidRDefault="00D55C31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5</w:t>
            </w:r>
          </w:p>
        </w:tc>
        <w:tc>
          <w:tcPr>
            <w:tcW w:w="2906" w:type="dxa"/>
          </w:tcPr>
          <w:p w14:paraId="657CD54F" w14:textId="7EAC0FB3" w:rsidR="00D55C31" w:rsidRPr="00683C7E" w:rsidRDefault="00D55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Realizacja projektu mieści się w ramach czasowych FERC</w:t>
            </w:r>
          </w:p>
        </w:tc>
        <w:tc>
          <w:tcPr>
            <w:tcW w:w="8309" w:type="dxa"/>
          </w:tcPr>
          <w:p w14:paraId="29E34CFA" w14:textId="77777777" w:rsidR="00D55C31" w:rsidRPr="00683C7E" w:rsidRDefault="00D55C3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termin rozpoczęcia i zakończania realizacji projektu mieści się w ramach czasowych FERC, określonych datami od 1 stycznia 2021 r. do 31 grudnia 2029 r.</w:t>
            </w:r>
          </w:p>
          <w:p w14:paraId="01101A4F" w14:textId="4AA651F8" w:rsidR="00D55C31" w:rsidRPr="00683C7E" w:rsidRDefault="00D55C31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7C918A1E" w14:textId="2015A6EC" w:rsidR="00D55C31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cstheme="minorHAnsi"/>
                <w:b w:val="0"/>
                <w:bCs/>
                <w:szCs w:val="24"/>
              </w:rPr>
              <w:br/>
            </w:r>
            <w:r w:rsidR="00D55C31" w:rsidRPr="00683C7E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632C31" w:rsidRPr="009F6CD0" w14:paraId="57502C8C" w14:textId="77777777" w:rsidTr="00FB4385">
        <w:trPr>
          <w:jc w:val="center"/>
        </w:trPr>
        <w:tc>
          <w:tcPr>
            <w:tcW w:w="637" w:type="dxa"/>
          </w:tcPr>
          <w:p w14:paraId="3DF34679" w14:textId="62C45D34" w:rsidR="00632C31" w:rsidRPr="00683C7E" w:rsidRDefault="00632C31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6</w:t>
            </w:r>
          </w:p>
        </w:tc>
        <w:tc>
          <w:tcPr>
            <w:tcW w:w="2906" w:type="dxa"/>
          </w:tcPr>
          <w:p w14:paraId="38E35DF5" w14:textId="7D10ABEB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color w:val="000000" w:themeColor="text1"/>
                <w:szCs w:val="24"/>
              </w:rPr>
              <w:t>Prawidłowość określenia kwoty wsparcia</w:t>
            </w:r>
          </w:p>
        </w:tc>
        <w:tc>
          <w:tcPr>
            <w:tcW w:w="8309" w:type="dxa"/>
          </w:tcPr>
          <w:p w14:paraId="03A052FB" w14:textId="77777777" w:rsidR="00632C31" w:rsidRPr="00683C7E" w:rsidRDefault="00632C31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jest czy wnioskowany procent poziomu dofinansowania UE w projekcie nie przekracza maksymalnego procentu wskazanego dla Działania 2.1 FERC w Szczegółowym Opisie Priorytetów Programu Fundusze Europejskie na Rozwój Cyfrowy 2021-2027. </w:t>
            </w:r>
          </w:p>
          <w:p w14:paraId="05985D38" w14:textId="77777777" w:rsidR="00632C31" w:rsidRPr="00683C7E" w:rsidRDefault="00632C31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413CDF52" w14:textId="4308DF6F" w:rsidR="00632C31" w:rsidRPr="00683C7E" w:rsidRDefault="00DE655F" w:rsidP="006471AE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cstheme="minorHAnsi"/>
                <w:b w:val="0"/>
                <w:bCs/>
                <w:color w:val="000000" w:themeColor="text1"/>
                <w:szCs w:val="24"/>
              </w:rPr>
              <w:br/>
            </w:r>
            <w:r w:rsidR="00632C31"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632C31" w:rsidRPr="009F6CD0" w14:paraId="6B55AADA" w14:textId="766CA96A" w:rsidTr="00FB4385">
        <w:trPr>
          <w:jc w:val="center"/>
        </w:trPr>
        <w:tc>
          <w:tcPr>
            <w:tcW w:w="637" w:type="dxa"/>
          </w:tcPr>
          <w:p w14:paraId="18D47153" w14:textId="6A70B252" w:rsidR="00632C31" w:rsidRPr="00683C7E" w:rsidRDefault="00AA772C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06" w:type="dxa"/>
          </w:tcPr>
          <w:p w14:paraId="290C3F51" w14:textId="1C784A8A" w:rsidR="00632C31" w:rsidRPr="00683C7E" w:rsidRDefault="00AA772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Brak podlegania wykluczeniu z ubiegania się o dofinansowanie</w:t>
            </w:r>
          </w:p>
        </w:tc>
        <w:tc>
          <w:tcPr>
            <w:tcW w:w="8309" w:type="dxa"/>
          </w:tcPr>
          <w:p w14:paraId="024283A5" w14:textId="7597426A" w:rsidR="00AA772C" w:rsidRPr="00683C7E" w:rsidRDefault="00AA772C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zapewnienie przez Wnioskodawcę </w:t>
            </w:r>
            <w:r w:rsidRPr="00683C7E">
              <w:rPr>
                <w:rFonts w:cstheme="minorHAnsi"/>
                <w:b w:val="0"/>
                <w:bCs/>
                <w:szCs w:val="24"/>
              </w:rPr>
              <w:t>i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Partnerów (jeśli dotyczy) w formie oświadczenia Wnioskodawcy </w:t>
            </w:r>
            <w:r w:rsidRPr="00683C7E">
              <w:rPr>
                <w:rFonts w:cstheme="minorHAnsi"/>
                <w:b w:val="0"/>
                <w:bCs/>
                <w:szCs w:val="24"/>
              </w:rPr>
              <w:t>i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Partnerów (jeśli dotyczy),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że są uprawnieni do ubiegania się o przyznanie dofinansowania z uwagi na to, że: </w:t>
            </w:r>
          </w:p>
          <w:p w14:paraId="341D4DD9" w14:textId="77777777" w:rsidR="00AA772C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późn</w:t>
            </w:r>
            <w:proofErr w:type="spellEnd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zm.);</w:t>
            </w:r>
          </w:p>
          <w:p w14:paraId="5786A7AA" w14:textId="77777777" w:rsidR="00FD3DD3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późn</w:t>
            </w:r>
            <w:proofErr w:type="spellEnd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zm.) – nie dotyczy jednostek organizacyjnych Skarbu Państwa;</w:t>
            </w:r>
          </w:p>
          <w:p w14:paraId="0AD86F94" w14:textId="5A3CE63D" w:rsidR="001B1627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zastosowano wobec nich środków na podstawie art. 1 </w:t>
            </w:r>
            <w:r w:rsidRPr="00683C7E">
              <w:rPr>
                <w:rFonts w:cstheme="minorHAnsi"/>
                <w:b w:val="0"/>
                <w:bCs/>
                <w:i/>
                <w:iCs/>
                <w:color w:val="000000" w:themeColor="text1"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 (Dz. U. poz. 835)</w:t>
            </w:r>
            <w:r w:rsidR="00021025"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</w:t>
            </w:r>
          </w:p>
          <w:p w14:paraId="41C24EF0" w14:textId="565B3004" w:rsidR="001B1627" w:rsidRPr="00683C7E" w:rsidRDefault="001B1627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punktach)</w:t>
            </w:r>
          </w:p>
          <w:p w14:paraId="55E5C8D0" w14:textId="7959F351" w:rsidR="001B1627" w:rsidRPr="00683C7E" w:rsidRDefault="001B1627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142" w:type="dxa"/>
          </w:tcPr>
          <w:p w14:paraId="41AC45E9" w14:textId="65F3529B" w:rsidR="00632C31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632C3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F3748A" w:rsidRPr="009F6CD0" w14:paraId="76DE3EAD" w14:textId="77777777" w:rsidTr="00FB4385">
        <w:trPr>
          <w:jc w:val="center"/>
        </w:trPr>
        <w:tc>
          <w:tcPr>
            <w:tcW w:w="637" w:type="dxa"/>
          </w:tcPr>
          <w:p w14:paraId="39A89BCF" w14:textId="04ECCE62" w:rsidR="00F3748A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8</w:t>
            </w:r>
          </w:p>
        </w:tc>
        <w:tc>
          <w:tcPr>
            <w:tcW w:w="2906" w:type="dxa"/>
          </w:tcPr>
          <w:p w14:paraId="146E153D" w14:textId="25951CD9" w:rsidR="00F3748A" w:rsidRPr="00683C7E" w:rsidRDefault="00301AD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01AD4">
              <w:rPr>
                <w:rFonts w:cstheme="minorHAnsi"/>
                <w:b w:val="0"/>
                <w:bCs/>
                <w:szCs w:val="24"/>
              </w:rPr>
              <w:t>Wpisywanie się projektu we właściwe działanie</w:t>
            </w:r>
          </w:p>
        </w:tc>
        <w:tc>
          <w:tcPr>
            <w:tcW w:w="8309" w:type="dxa"/>
          </w:tcPr>
          <w:p w14:paraId="5E31921C" w14:textId="5DA97500" w:rsidR="00F3748A" w:rsidRPr="00683C7E" w:rsidRDefault="00301AD4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301AD4">
              <w:rPr>
                <w:rFonts w:cstheme="minorHAnsi"/>
                <w:b w:val="0"/>
                <w:bCs/>
                <w:szCs w:val="24"/>
              </w:rPr>
              <w:t>W ramach kryterium weryfikuje się czy projekt wpisuje się we właściwe działanie, zgodnie z opisem działania 2.</w:t>
            </w: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Pr="00301AD4">
              <w:rPr>
                <w:rFonts w:cstheme="minorHAnsi"/>
                <w:b w:val="0"/>
                <w:bCs/>
                <w:szCs w:val="24"/>
              </w:rPr>
              <w:t xml:space="preserve"> Wysoka jakość i dostępność e-usług publicznych w Szczegółowym Opisie Priorytetów Programu Funduszu Europejskiego na Rozwój Cyfrowy na lata 2021-2027 oraz regulaminem wyboru projektów.</w:t>
            </w:r>
          </w:p>
        </w:tc>
        <w:tc>
          <w:tcPr>
            <w:tcW w:w="2142" w:type="dxa"/>
          </w:tcPr>
          <w:p w14:paraId="2EBF2AEB" w14:textId="350ACC4E" w:rsidR="00F3748A" w:rsidRPr="00683C7E" w:rsidRDefault="00E206C8" w:rsidP="00CA6960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632C31" w:rsidRPr="009F6CD0" w14:paraId="5B026E74" w14:textId="59CFC356" w:rsidTr="00FB4385">
        <w:trPr>
          <w:jc w:val="center"/>
        </w:trPr>
        <w:tc>
          <w:tcPr>
            <w:tcW w:w="637" w:type="dxa"/>
          </w:tcPr>
          <w:p w14:paraId="2EA8DFBE" w14:textId="3A929EBD" w:rsidR="00632C31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</w:p>
        </w:tc>
        <w:tc>
          <w:tcPr>
            <w:tcW w:w="2906" w:type="dxa"/>
          </w:tcPr>
          <w:p w14:paraId="1F9C37AB" w14:textId="523BFEA5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 z przepisami art. 63 ust. 6 i art. 73 ust. 2 lit. f) i h) Rozporządzenia Parlamentu Europejskiego i Rady (UE) nr 2021/1060 z dnia 24 czerwca 2021 r.</w:t>
            </w:r>
            <w:r w:rsidR="00663473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8309" w:type="dxa"/>
          </w:tcPr>
          <w:p w14:paraId="3658F961" w14:textId="60240ED3" w:rsidR="00632C31" w:rsidRPr="00683C7E" w:rsidRDefault="009B63C3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zapewnienie przez Wnioskodawcę w formie oświadczenia, że: </w:t>
            </w:r>
          </w:p>
          <w:p w14:paraId="0E63D3E2" w14:textId="5E1D4B28" w:rsidR="00632C31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projekt nie został zakończony w rozumieniu art. 63 ust. 6</w:t>
            </w:r>
            <w:r w:rsidR="00A83209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26C4502E" w14:textId="6734D051" w:rsidR="00632C31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</w:t>
            </w:r>
            <w:r w:rsidR="00A83209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7DB8427" w14:textId="77777777" w:rsidR="00663473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h)</w:t>
            </w:r>
            <w:r w:rsidR="00663473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47106513" w14:textId="1F7E4F60" w:rsidR="00632C31" w:rsidRPr="00683C7E" w:rsidRDefault="00A84E5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punktach)</w:t>
            </w:r>
          </w:p>
        </w:tc>
        <w:tc>
          <w:tcPr>
            <w:tcW w:w="2142" w:type="dxa"/>
          </w:tcPr>
          <w:p w14:paraId="12858FAA" w14:textId="6A957240" w:rsidR="00632C31" w:rsidRPr="00683C7E" w:rsidRDefault="00431C00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632C31" w:rsidRPr="009F6CD0" w14:paraId="3940E0E6" w14:textId="77777777" w:rsidTr="00FB4385">
        <w:tblPrEx>
          <w:jc w:val="left"/>
        </w:tblPrEx>
        <w:tc>
          <w:tcPr>
            <w:tcW w:w="637" w:type="dxa"/>
          </w:tcPr>
          <w:p w14:paraId="4C9FB6C5" w14:textId="25E085C3" w:rsidR="00632C31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10</w:t>
            </w:r>
          </w:p>
        </w:tc>
        <w:tc>
          <w:tcPr>
            <w:tcW w:w="2906" w:type="dxa"/>
          </w:tcPr>
          <w:p w14:paraId="26338A12" w14:textId="0EDBA62E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Brak podwójnego finansowania</w:t>
            </w:r>
          </w:p>
        </w:tc>
        <w:tc>
          <w:tcPr>
            <w:tcW w:w="8309" w:type="dxa"/>
          </w:tcPr>
          <w:p w14:paraId="05E3FC29" w14:textId="77777777" w:rsidR="00111EB1" w:rsidRPr="00683C7E" w:rsidRDefault="00111EB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Wnioskodawca i Partnerzy (jeśli dotyczy) nie otrzymali już finansowania na ten sam cel, na te same wydatki w ramach innych unijnych programów, instrumentów, funduszy w ramach budżetu </w:t>
            </w: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Unii Europejskiej oraz środków publicznych na realizację zakresu prac zakładanego w ramach wniosku o dofinansowanie.</w:t>
            </w:r>
          </w:p>
          <w:p w14:paraId="22449A99" w14:textId="164D6379" w:rsidR="00632C31" w:rsidRPr="00683C7E" w:rsidRDefault="00111EB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Weryfikacja na etapie oceny wniosku o dofinasowanie będzie obejmować oświadczenie o braku podwójnego finansowania projektu złożone przez Wnioskodawcę i Partnerów (jeśli dotyczy).</w:t>
            </w:r>
          </w:p>
        </w:tc>
        <w:tc>
          <w:tcPr>
            <w:tcW w:w="2142" w:type="dxa"/>
          </w:tcPr>
          <w:p w14:paraId="3CEBB30D" w14:textId="024CE356" w:rsidR="00632C31" w:rsidRPr="00683C7E" w:rsidRDefault="008A41A9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632C3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="00632C3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odrzucenie wniosku)</w:t>
            </w:r>
          </w:p>
        </w:tc>
      </w:tr>
      <w:tr w:rsidR="000F3470" w:rsidRPr="009F6CD0" w14:paraId="3FF073BA" w14:textId="77777777" w:rsidTr="00FB4385">
        <w:tblPrEx>
          <w:jc w:val="left"/>
        </w:tblPrEx>
        <w:tc>
          <w:tcPr>
            <w:tcW w:w="637" w:type="dxa"/>
          </w:tcPr>
          <w:p w14:paraId="67F53238" w14:textId="31786029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06" w:type="dxa"/>
          </w:tcPr>
          <w:p w14:paraId="7D972F88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 xml:space="preserve">Zgodność projektu z Kartą Praw Podstawowych Unii Europejskiej </w:t>
            </w:r>
          </w:p>
          <w:p w14:paraId="44948E52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</w:p>
        </w:tc>
        <w:tc>
          <w:tcPr>
            <w:tcW w:w="8309" w:type="dxa"/>
          </w:tcPr>
          <w:p w14:paraId="2C077356" w14:textId="0A13414D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>W ramach kryterium weryfikowana jest zgodność projektu z Kartą Praw Podstawowych Unii Europejskiej z dnia 26 października 2012 r.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(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w szczególności: art. 8, 10, 20-23, 26, 30-31, 37, 41-42) w zakresie odnoszącym się do sposobu realizacji i zakresu projektu.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07D94E2" w14:textId="08C1F250" w:rsidR="000F3470" w:rsidRDefault="000F3470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 xml:space="preserve">Zgodność projektu z Kartą Praw Podstawowych Unii Europejskiej z dnia 26 października 2012 r. </w:t>
            </w:r>
            <w:r w:rsidR="00E81D99" w:rsidRPr="00E81D99">
              <w:rPr>
                <w:rFonts w:cstheme="minorHAnsi"/>
                <w:b w:val="0"/>
                <w:bCs/>
                <w:iCs/>
                <w:szCs w:val="24"/>
              </w:rPr>
              <w:t xml:space="preserve">na etapie oceny wniosku 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należy rozumieć jako brak sprzeczności pomiędzy zapisami wniosku o dofinansowanie a wymogami tego dokumentu lub stwierdzenie, że te wymagania są neutralne wobec zakresu i zawartości projektu.</w:t>
            </w:r>
          </w:p>
          <w:p w14:paraId="1224C2EC" w14:textId="1EE5EB56" w:rsidR="006218B2" w:rsidRPr="00683C7E" w:rsidRDefault="006218B2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4D6573">
              <w:rPr>
                <w:rFonts w:cstheme="minorHAnsi"/>
                <w:b w:val="0"/>
                <w:bCs/>
                <w:iCs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142" w:type="dxa"/>
          </w:tcPr>
          <w:p w14:paraId="27569720" w14:textId="2D570CE9" w:rsidR="000F3470" w:rsidRPr="00683C7E" w:rsidRDefault="00812FC1" w:rsidP="00CA6960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F3470" w:rsidRPr="00683C7E">
              <w:rPr>
                <w:rFonts w:cstheme="minorHAnsi"/>
                <w:b w:val="0"/>
                <w:bCs/>
                <w:iCs/>
                <w:szCs w:val="24"/>
              </w:rPr>
              <w:t xml:space="preserve">(niespełnienie kryterium oznacza odrzucenie wniosku) </w:t>
            </w:r>
          </w:p>
        </w:tc>
      </w:tr>
      <w:tr w:rsidR="000F3470" w:rsidRPr="009F6CD0" w14:paraId="071272E3" w14:textId="77777777" w:rsidTr="00FB4385">
        <w:tblPrEx>
          <w:jc w:val="left"/>
        </w:tblPrEx>
        <w:tc>
          <w:tcPr>
            <w:tcW w:w="637" w:type="dxa"/>
          </w:tcPr>
          <w:p w14:paraId="00C73B2A" w14:textId="14D6D5A2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06" w:type="dxa"/>
          </w:tcPr>
          <w:p w14:paraId="2E456284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>Zgodność projektu z Konwencją o Prawach Osób Niepełnosprawnych</w:t>
            </w:r>
          </w:p>
          <w:p w14:paraId="7635644A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09" w:type="dxa"/>
          </w:tcPr>
          <w:p w14:paraId="36E11D86" w14:textId="6251A86C" w:rsidR="000F3470" w:rsidRPr="00683C7E" w:rsidRDefault="000F3470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lastRenderedPageBreak/>
              <w:t>W ramach kryterium weryfikowana jest zgodność projektu z Konwencją o Prawach Osób Niepełnosprawnych z dnia 13 grudnia 2006 r. (w szczególności: art. 5, 9, 19, 21, 27) w zakresie odnoszącym się do sposobu realizacji i zakresu projektu.</w:t>
            </w:r>
          </w:p>
          <w:p w14:paraId="79556743" w14:textId="0525A7BA" w:rsidR="001033EC" w:rsidRPr="006218B2" w:rsidRDefault="000F3470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lastRenderedPageBreak/>
              <w:t xml:space="preserve">Zgodność projektu z Konwencją o Prawach Osób Niepełnosprawnych, </w:t>
            </w:r>
            <w:r w:rsidR="005524E3" w:rsidRPr="005524E3">
              <w:rPr>
                <w:rFonts w:cstheme="minorHAnsi"/>
                <w:b w:val="0"/>
                <w:bCs/>
                <w:iCs/>
                <w:szCs w:val="24"/>
              </w:rPr>
              <w:t xml:space="preserve">na etapie oceny wniosku 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należy rozumieć jako brak sprzeczności pomiędzy zapisami wniosku o dofinansowanie a wymogami tego dokumentu lub stwierdzenie, że te wymagania są neutralne wobec zakresu i zawartości projektu.</w:t>
            </w:r>
          </w:p>
        </w:tc>
        <w:tc>
          <w:tcPr>
            <w:tcW w:w="2142" w:type="dxa"/>
          </w:tcPr>
          <w:p w14:paraId="5C676ECC" w14:textId="6028705C" w:rsidR="000F3470" w:rsidRPr="00683C7E" w:rsidRDefault="00FE133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F3470" w:rsidRPr="00683C7E">
              <w:rPr>
                <w:rFonts w:cstheme="minorHAnsi"/>
                <w:b w:val="0"/>
                <w:bCs/>
                <w:iCs/>
                <w:szCs w:val="24"/>
              </w:rPr>
              <w:t xml:space="preserve">(niespełnienie kryterium oznacza </w:t>
            </w:r>
            <w:r w:rsidR="000F3470" w:rsidRPr="00683C7E">
              <w:rPr>
                <w:rFonts w:cstheme="minorHAnsi"/>
                <w:b w:val="0"/>
                <w:bCs/>
                <w:iCs/>
                <w:szCs w:val="24"/>
              </w:rPr>
              <w:lastRenderedPageBreak/>
              <w:t>odrzucenie wniosku)</w:t>
            </w:r>
          </w:p>
        </w:tc>
      </w:tr>
      <w:tr w:rsidR="000F3470" w:rsidRPr="009F6CD0" w14:paraId="03813B66" w14:textId="77777777" w:rsidTr="00CA6960">
        <w:trPr>
          <w:jc w:val="center"/>
        </w:trPr>
        <w:tc>
          <w:tcPr>
            <w:tcW w:w="637" w:type="dxa"/>
          </w:tcPr>
          <w:p w14:paraId="097E5EF1" w14:textId="10CE649F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06" w:type="dxa"/>
          </w:tcPr>
          <w:p w14:paraId="500CFF58" w14:textId="31FF61D1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zasadą </w:t>
            </w:r>
            <w:r w:rsidRPr="00683C7E">
              <w:rPr>
                <w:rFonts w:cstheme="minorHAnsi"/>
                <w:b w:val="0"/>
                <w:bCs/>
                <w:spacing w:val="-2"/>
                <w:szCs w:val="24"/>
              </w:rPr>
              <w:t xml:space="preserve">zrównoważonego rozwoju, w tym zasadą ‘nie czyń poważnej szkody ’ </w:t>
            </w:r>
          </w:p>
        </w:tc>
        <w:tc>
          <w:tcPr>
            <w:tcW w:w="8309" w:type="dxa"/>
          </w:tcPr>
          <w:p w14:paraId="0C2C4BD5" w14:textId="71307E7D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jest czy projekt spełnia zasadę zrównoważonego rozwoju, o której mowa w art. 9 ust. 4 rozporządzenia nr 2021/1060</w:t>
            </w:r>
            <w:r w:rsidRPr="00683C7E">
              <w:rPr>
                <w:rStyle w:val="Odwoanieprzypisudolnego"/>
                <w:rFonts w:cstheme="minorHAnsi"/>
                <w:b w:val="0"/>
                <w:bCs/>
                <w:color w:val="000000" w:themeColor="text1"/>
                <w:szCs w:val="24"/>
              </w:rPr>
              <w:footnoteReference w:id="3"/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Wnioskodawca wykazał, że projekt jest zgodny z celami zrównoważonego rozwoju Organizacji Narodów Zjednoczonych (ONZ), porozumienia paryskiego oraz zasadą „nie czyń poważnych szkód” (dalej: DNSH</w:t>
            </w:r>
            <w:r w:rsidRPr="00683C7E">
              <w:rPr>
                <w:rStyle w:val="Odwoanieprzypisudolnego"/>
                <w:rFonts w:cstheme="minorHAnsi"/>
                <w:b w:val="0"/>
                <w:bCs/>
                <w:color w:val="000000" w:themeColor="text1"/>
                <w:szCs w:val="24"/>
              </w:rPr>
              <w:footnoteReference w:id="4"/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). </w:t>
            </w:r>
          </w:p>
          <w:p w14:paraId="1A65CFD8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4EE3646A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1DACB65D" w14:textId="40D54B9B" w:rsidR="000F3470" w:rsidRPr="00683C7E" w:rsidRDefault="000F3470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2142" w:type="dxa"/>
          </w:tcPr>
          <w:p w14:paraId="05DCD26C" w14:textId="44600A38" w:rsidR="000F3470" w:rsidRPr="00683C7E" w:rsidRDefault="00E248E6" w:rsidP="00CA6960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991197">
              <w:rPr>
                <w:rFonts w:cstheme="minorHAnsi"/>
                <w:b w:val="0"/>
                <w:bCs/>
                <w:szCs w:val="24"/>
              </w:rPr>
              <w:lastRenderedPageBreak/>
              <w:t>TAK</w:t>
            </w:r>
            <w:r w:rsidRPr="00991197">
              <w:rPr>
                <w:rFonts w:cstheme="minorHAnsi"/>
                <w:b w:val="0"/>
                <w:bCs/>
                <w:iCs/>
                <w:szCs w:val="24"/>
              </w:rPr>
              <w:t>/NIE</w:t>
            </w:r>
            <w:r w:rsidR="00991197">
              <w:rPr>
                <w:rFonts w:cstheme="minorHAnsi"/>
                <w:b w:val="0"/>
                <w:bCs/>
                <w:i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iCs/>
                <w:szCs w:val="24"/>
              </w:rPr>
              <w:br/>
            </w:r>
            <w:r w:rsidR="000F3470" w:rsidRPr="00CA6960">
              <w:rPr>
                <w:rFonts w:cstheme="minorHAnsi"/>
                <w:b w:val="0"/>
                <w:bCs/>
                <w:iCs/>
                <w:szCs w:val="24"/>
              </w:rPr>
              <w:t xml:space="preserve">(niespełnienie kryterium oznacza odrzucenie wniosku) </w:t>
            </w:r>
          </w:p>
        </w:tc>
      </w:tr>
    </w:tbl>
    <w:p w14:paraId="38E72FB2" w14:textId="77777777" w:rsidR="00683C7E" w:rsidRDefault="00683C7E" w:rsidP="0019167D">
      <w:pPr>
        <w:spacing w:after="160" w:line="30" w:lineRule="atLeast"/>
        <w:rPr>
          <w:rFonts w:asciiTheme="majorHAnsi" w:eastAsiaTheme="majorEastAsia" w:hAnsiTheme="majorHAnsi" w:cstheme="majorBidi"/>
          <w:bCs/>
          <w:color w:val="2E74B5" w:themeColor="accent1" w:themeShade="BF"/>
          <w:sz w:val="32"/>
          <w:szCs w:val="32"/>
        </w:rPr>
      </w:pPr>
      <w:r>
        <w:rPr>
          <w:rFonts w:asciiTheme="majorHAnsi" w:hAnsiTheme="majorHAnsi"/>
          <w:bCs/>
          <w:color w:val="2E74B5" w:themeColor="accent1" w:themeShade="BF"/>
          <w:sz w:val="32"/>
          <w:szCs w:val="32"/>
        </w:rPr>
        <w:br w:type="page"/>
      </w:r>
    </w:p>
    <w:p w14:paraId="1AF073ED" w14:textId="12D60E16" w:rsidR="005879D9" w:rsidRPr="00775F12" w:rsidRDefault="0097303C" w:rsidP="0019167D">
      <w:pPr>
        <w:pStyle w:val="Nagwek1"/>
        <w:spacing w:line="30" w:lineRule="atLeast"/>
        <w:rPr>
          <w:sz w:val="28"/>
          <w:szCs w:val="36"/>
        </w:rPr>
      </w:pPr>
      <w:r w:rsidRPr="00775F12">
        <w:rPr>
          <w:sz w:val="28"/>
          <w:szCs w:val="36"/>
        </w:rPr>
        <w:lastRenderedPageBreak/>
        <w:t xml:space="preserve">Kryteria </w:t>
      </w:r>
      <w:r w:rsidR="00A63E7B" w:rsidRPr="00775F12">
        <w:rPr>
          <w:sz w:val="28"/>
          <w:szCs w:val="36"/>
        </w:rPr>
        <w:t>m</w:t>
      </w:r>
      <w:r w:rsidRPr="00775F12">
        <w:rPr>
          <w:sz w:val="28"/>
          <w:szCs w:val="36"/>
        </w:rPr>
        <w:t>erytoryczne</w:t>
      </w:r>
    </w:p>
    <w:tbl>
      <w:tblPr>
        <w:tblStyle w:val="Tabela-Siatka"/>
        <w:tblW w:w="14284" w:type="dxa"/>
        <w:jc w:val="center"/>
        <w:tblLook w:val="04A0" w:firstRow="1" w:lastRow="0" w:firstColumn="1" w:lastColumn="0" w:noHBand="0" w:noVBand="1"/>
      </w:tblPr>
      <w:tblGrid>
        <w:gridCol w:w="712"/>
        <w:gridCol w:w="2969"/>
        <w:gridCol w:w="8363"/>
        <w:gridCol w:w="2240"/>
      </w:tblGrid>
      <w:tr w:rsidR="00C073AE" w:rsidRPr="009F6CD0" w14:paraId="139D6975" w14:textId="47707F8C" w:rsidTr="000A6FA4">
        <w:trPr>
          <w:tblHeader/>
          <w:jc w:val="center"/>
        </w:trPr>
        <w:tc>
          <w:tcPr>
            <w:tcW w:w="712" w:type="dxa"/>
          </w:tcPr>
          <w:p w14:paraId="64DA1B21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Lp.</w:t>
            </w:r>
          </w:p>
        </w:tc>
        <w:tc>
          <w:tcPr>
            <w:tcW w:w="2969" w:type="dxa"/>
          </w:tcPr>
          <w:p w14:paraId="1E4FA039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Nazwa kryterium</w:t>
            </w:r>
          </w:p>
        </w:tc>
        <w:tc>
          <w:tcPr>
            <w:tcW w:w="8363" w:type="dxa"/>
          </w:tcPr>
          <w:p w14:paraId="6FC27F60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Opis kryterium</w:t>
            </w:r>
          </w:p>
        </w:tc>
        <w:tc>
          <w:tcPr>
            <w:tcW w:w="2240" w:type="dxa"/>
          </w:tcPr>
          <w:p w14:paraId="41D9F108" w14:textId="1AF18111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Sposób oceny</w:t>
            </w:r>
          </w:p>
        </w:tc>
      </w:tr>
      <w:tr w:rsidR="005C53B1" w:rsidRPr="009F6CD0" w14:paraId="79412C70" w14:textId="77777777" w:rsidTr="000A6FA4">
        <w:trPr>
          <w:jc w:val="center"/>
        </w:trPr>
        <w:tc>
          <w:tcPr>
            <w:tcW w:w="712" w:type="dxa"/>
          </w:tcPr>
          <w:p w14:paraId="4E7BA042" w14:textId="5E2C6F95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69" w:type="dxa"/>
          </w:tcPr>
          <w:p w14:paraId="77BFEB13" w14:textId="24F7E38B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 projektu z Opisem</w:t>
            </w:r>
            <w:r w:rsidR="00706B9F" w:rsidRPr="00683C7E">
              <w:rPr>
                <w:rFonts w:cstheme="minorHAnsi"/>
                <w:b w:val="0"/>
                <w:bCs/>
                <w:szCs w:val="24"/>
              </w:rPr>
              <w:t xml:space="preserve"> Założeń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Projektu Informatycznego </w:t>
            </w:r>
            <w:r w:rsidR="00785183" w:rsidRPr="00683C7E">
              <w:rPr>
                <w:rFonts w:cstheme="minorHAnsi"/>
                <w:b w:val="0"/>
                <w:bCs/>
                <w:szCs w:val="24"/>
              </w:rPr>
              <w:t>pozytywnie zaopiniowanym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przez KRMC</w:t>
            </w:r>
          </w:p>
        </w:tc>
        <w:tc>
          <w:tcPr>
            <w:tcW w:w="8363" w:type="dxa"/>
          </w:tcPr>
          <w:p w14:paraId="75732CF7" w14:textId="70189A2B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zakres projektu jest zgodny z </w:t>
            </w:r>
            <w:r w:rsidR="00231124">
              <w:rPr>
                <w:rFonts w:cstheme="minorHAnsi"/>
                <w:b w:val="0"/>
                <w:bCs/>
                <w:szCs w:val="24"/>
              </w:rPr>
              <w:t>O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pisem </w:t>
            </w:r>
            <w:r w:rsidR="000C2D74">
              <w:rPr>
                <w:rFonts w:cstheme="minorHAnsi"/>
                <w:b w:val="0"/>
                <w:bCs/>
                <w:szCs w:val="24"/>
              </w:rPr>
              <w:t>Z</w:t>
            </w:r>
            <w:r w:rsidR="00785183" w:rsidRPr="00683C7E">
              <w:rPr>
                <w:rFonts w:cstheme="minorHAnsi"/>
                <w:b w:val="0"/>
                <w:bCs/>
                <w:szCs w:val="24"/>
              </w:rPr>
              <w:t xml:space="preserve">ałożeń </w:t>
            </w:r>
            <w:r w:rsidR="000C2D74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rojektu </w:t>
            </w:r>
            <w:r w:rsidR="00000DD9">
              <w:rPr>
                <w:rFonts w:cstheme="minorHAnsi"/>
                <w:b w:val="0"/>
                <w:bCs/>
                <w:szCs w:val="24"/>
              </w:rPr>
              <w:t>I</w:t>
            </w:r>
            <w:r w:rsidRPr="00683C7E">
              <w:rPr>
                <w:rFonts w:cstheme="minorHAnsi"/>
                <w:b w:val="0"/>
                <w:bCs/>
                <w:szCs w:val="24"/>
              </w:rPr>
              <w:t>nformatycznego przedstawionym do oceny na poziomie KRMC w następujących aspektach, tj.:</w:t>
            </w:r>
          </w:p>
          <w:p w14:paraId="2DF8BA90" w14:textId="7DD0F0AB" w:rsidR="00231124" w:rsidRPr="00231124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12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31124">
              <w:rPr>
                <w:rFonts w:cstheme="minorHAnsi"/>
                <w:b w:val="0"/>
                <w:bCs/>
                <w:szCs w:val="24"/>
              </w:rPr>
              <w:t xml:space="preserve">nie dokonano zmian w </w:t>
            </w:r>
            <w:r w:rsidR="005407EC">
              <w:rPr>
                <w:rFonts w:cstheme="minorHAnsi"/>
                <w:b w:val="0"/>
                <w:bCs/>
                <w:szCs w:val="24"/>
              </w:rPr>
              <w:t xml:space="preserve">założeniach </w:t>
            </w:r>
            <w:r w:rsidRPr="00231124">
              <w:rPr>
                <w:rFonts w:cstheme="minorHAnsi"/>
                <w:b w:val="0"/>
                <w:bCs/>
                <w:szCs w:val="24"/>
              </w:rPr>
              <w:t>koncepcji realizacji projektu zatwierdzonego przez KRMC;</w:t>
            </w:r>
          </w:p>
          <w:p w14:paraId="230617EB" w14:textId="62A459D6" w:rsidR="00231124" w:rsidRPr="00231124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31124">
              <w:rPr>
                <w:rFonts w:cstheme="minorHAnsi"/>
                <w:b w:val="0"/>
                <w:bCs/>
                <w:szCs w:val="24"/>
              </w:rPr>
              <w:t xml:space="preserve">wartość projektu wskazana we wniosku o dofinansowanie z FERC jest w przybliżeniu </w:t>
            </w:r>
            <w:r w:rsidR="00F80E8E">
              <w:rPr>
                <w:rFonts w:cstheme="minorHAnsi"/>
                <w:b w:val="0"/>
                <w:bCs/>
                <w:szCs w:val="24"/>
              </w:rPr>
              <w:t>(r</w:t>
            </w:r>
            <w:r w:rsidR="00F80E8E" w:rsidRPr="00683C7E">
              <w:rPr>
                <w:b w:val="0"/>
                <w:bCs/>
                <w:szCs w:val="24"/>
              </w:rPr>
              <w:t>ozbieżność może wynosić do 15%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) </w:t>
            </w:r>
            <w:r w:rsidRPr="00231124">
              <w:rPr>
                <w:rFonts w:cstheme="minorHAnsi"/>
                <w:b w:val="0"/>
                <w:bCs/>
                <w:szCs w:val="24"/>
              </w:rPr>
              <w:t>zgodna z tą zaakceptowaną przez KRMC</w:t>
            </w:r>
            <w:r w:rsidR="003F0B8A" w:rsidRPr="00231124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CD5D3FA" w14:textId="365B6C17" w:rsidR="00C95496" w:rsidRPr="002B7431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B7431">
              <w:rPr>
                <w:rFonts w:cstheme="minorHAnsi"/>
                <w:b w:val="0"/>
                <w:bCs/>
                <w:szCs w:val="24"/>
              </w:rPr>
              <w:t xml:space="preserve">zmiany dotyczące sposobu wdrażania projektu w stosunku do określonych w </w:t>
            </w:r>
            <w:r w:rsidR="000C2D74">
              <w:rPr>
                <w:rFonts w:cstheme="minorHAnsi"/>
                <w:b w:val="0"/>
                <w:bCs/>
                <w:szCs w:val="24"/>
              </w:rPr>
              <w:t>O</w:t>
            </w:r>
            <w:r w:rsidRPr="002B7431">
              <w:rPr>
                <w:rFonts w:cstheme="minorHAnsi"/>
                <w:b w:val="0"/>
                <w:bCs/>
                <w:szCs w:val="24"/>
              </w:rPr>
              <w:t>pisie</w:t>
            </w:r>
            <w:r w:rsidR="005407EC">
              <w:rPr>
                <w:rFonts w:cstheme="minorHAnsi"/>
                <w:b w:val="0"/>
                <w:bCs/>
                <w:szCs w:val="24"/>
              </w:rPr>
              <w:t xml:space="preserve"> Założeń </w:t>
            </w:r>
            <w:r w:rsidR="000C2D74">
              <w:rPr>
                <w:rFonts w:cstheme="minorHAnsi"/>
                <w:b w:val="0"/>
                <w:bCs/>
                <w:szCs w:val="24"/>
              </w:rPr>
              <w:t>P</w:t>
            </w:r>
            <w:r w:rsidRPr="002B7431">
              <w:rPr>
                <w:rFonts w:cstheme="minorHAnsi"/>
                <w:b w:val="0"/>
                <w:bCs/>
                <w:szCs w:val="24"/>
              </w:rPr>
              <w:t xml:space="preserve">rojektu </w:t>
            </w:r>
            <w:r w:rsidR="000C2D74">
              <w:rPr>
                <w:rFonts w:cstheme="minorHAnsi"/>
                <w:b w:val="0"/>
                <w:bCs/>
                <w:szCs w:val="24"/>
              </w:rPr>
              <w:t>I</w:t>
            </w:r>
            <w:r w:rsidRPr="002B7431">
              <w:rPr>
                <w:rFonts w:cstheme="minorHAnsi"/>
                <w:b w:val="0"/>
                <w:bCs/>
                <w:szCs w:val="24"/>
              </w:rPr>
              <w:t xml:space="preserve">nformatycznego są dopuszczalne pod warunkiem utrzymania zaplanowanych efektów projektu w niezmienionej formie (dotyczy </w:t>
            </w:r>
            <w:r w:rsidR="00961E63">
              <w:rPr>
                <w:rFonts w:cstheme="minorHAnsi"/>
                <w:b w:val="0"/>
                <w:bCs/>
                <w:szCs w:val="24"/>
              </w:rPr>
              <w:t xml:space="preserve">w 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 xml:space="preserve">szczególności celów 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i zakresu 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>projektu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 oraz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 xml:space="preserve">  jakości jego produktów</w:t>
            </w:r>
            <w:r w:rsidRPr="002B7431">
              <w:rPr>
                <w:rFonts w:cstheme="minorHAnsi"/>
                <w:b w:val="0"/>
                <w:bCs/>
                <w:szCs w:val="24"/>
              </w:rPr>
              <w:t>).</w:t>
            </w:r>
            <w:r w:rsidR="00C95496" w:rsidRPr="002B7431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W zakresie </w:t>
            </w:r>
            <w:r w:rsidR="00F80E8E" w:rsidRPr="00F80E8E">
              <w:rPr>
                <w:rFonts w:cstheme="minorHAnsi"/>
                <w:b w:val="0"/>
                <w:bCs/>
                <w:szCs w:val="24"/>
              </w:rPr>
              <w:t>poziomu osiągnięcia zaplanowanych wskaźników</w:t>
            </w:r>
            <w:r w:rsidR="00F80E8E" w:rsidRPr="00683C7E">
              <w:rPr>
                <w:b w:val="0"/>
                <w:bCs/>
                <w:szCs w:val="24"/>
              </w:rPr>
              <w:t xml:space="preserve"> </w:t>
            </w:r>
            <w:r w:rsidR="00F80E8E">
              <w:rPr>
                <w:b w:val="0"/>
                <w:bCs/>
                <w:szCs w:val="24"/>
              </w:rPr>
              <w:t>r</w:t>
            </w:r>
            <w:r w:rsidR="00F80E8E" w:rsidRPr="00683C7E">
              <w:rPr>
                <w:b w:val="0"/>
                <w:bCs/>
                <w:szCs w:val="24"/>
              </w:rPr>
              <w:t>ozbieżność może wynosić do 15%</w:t>
            </w:r>
            <w:r w:rsidR="00F80E8E">
              <w:rPr>
                <w:b w:val="0"/>
                <w:bCs/>
                <w:szCs w:val="24"/>
              </w:rPr>
              <w:t>.</w:t>
            </w:r>
          </w:p>
          <w:p w14:paraId="0ECB0526" w14:textId="6C4E7F20" w:rsidR="00C95496" w:rsidRPr="00683C7E" w:rsidRDefault="005C53B1" w:rsidP="0019167D">
            <w:p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Zmiany te mogą dotyczyć:</w:t>
            </w:r>
          </w:p>
          <w:p w14:paraId="5AE74DD6" w14:textId="1A6FE77D" w:rsidR="00C95496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zmian w harmonogramie projektu wynikających z przebiegu procedur wyboru projektów do dofinansowania; </w:t>
            </w:r>
          </w:p>
          <w:p w14:paraId="420F26FD" w14:textId="52105970" w:rsidR="00C95496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podmiotów uczestniczących w projekcie (</w:t>
            </w:r>
            <w:r w:rsidR="00C07E7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artnerów), jak i struktury zespołu projektowego, podziału zadań, wskazania ról w projekcie, itp.</w:t>
            </w:r>
            <w:r w:rsidR="00C95496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11DD424" w14:textId="54E1184C" w:rsidR="00C95496" w:rsidRPr="00683C7E" w:rsidRDefault="000A6FA4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5C53B1" w:rsidRPr="00683C7E">
              <w:rPr>
                <w:rFonts w:cstheme="minorHAnsi"/>
                <w:b w:val="0"/>
                <w:bCs/>
                <w:szCs w:val="24"/>
              </w:rPr>
              <w:t xml:space="preserve">zmian w budżecie polegających na doprecyzowaniu kategorii wydatków i ich uszczegółowieniu poprzez dekompozycję zagregowanych pozycji kosztowych </w:t>
            </w:r>
            <w:r w:rsidR="005C53B1" w:rsidRPr="00683C7E">
              <w:rPr>
                <w:rFonts w:cstheme="minorHAnsi"/>
                <w:b w:val="0"/>
                <w:bCs/>
                <w:szCs w:val="24"/>
              </w:rPr>
              <w:lastRenderedPageBreak/>
              <w:t>oraz modyfikacji niewpływających na zaplanowane efekty projektu np. wynikające ze zmian szacunków kosztów, racjonalizacji kosztów, itp.;</w:t>
            </w:r>
          </w:p>
          <w:p w14:paraId="0BD014BB" w14:textId="5843EBE9" w:rsidR="00CA2EAC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modyfikacji wynikających z błędów formalnych, np. zmiana w procencie dofinansowania UE;</w:t>
            </w:r>
          </w:p>
          <w:p w14:paraId="02E2CDBD" w14:textId="40BE3BC3" w:rsidR="005C53B1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</w:t>
            </w:r>
            <w:r w:rsidR="00C95496" w:rsidRPr="00683C7E">
              <w:rPr>
                <w:rFonts w:cstheme="minorHAnsi"/>
                <w:b w:val="0"/>
                <w:bCs/>
                <w:szCs w:val="24"/>
              </w:rPr>
              <w:t xml:space="preserve"> naboru</w:t>
            </w:r>
            <w:r w:rsidR="007D418A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8AA35B6" w14:textId="671EF88D" w:rsidR="007D418A" w:rsidRPr="00683C7E" w:rsidRDefault="007D418A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wynikających z zaleceń KRMC</w:t>
            </w:r>
            <w:r w:rsidR="004F58EA">
              <w:rPr>
                <w:rFonts w:cstheme="minorHAnsi"/>
                <w:b w:val="0"/>
                <w:bCs/>
                <w:szCs w:val="24"/>
              </w:rPr>
              <w:t>,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w przypadku gdy jego pozytywna opinia jest warunkowa.</w:t>
            </w:r>
          </w:p>
        </w:tc>
        <w:tc>
          <w:tcPr>
            <w:tcW w:w="2240" w:type="dxa"/>
          </w:tcPr>
          <w:p w14:paraId="54DB39B1" w14:textId="2464CCC9" w:rsidR="005C53B1" w:rsidRPr="00683C7E" w:rsidRDefault="00CE506B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5C53B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ED77FA" w:rsidRPr="009F6CD0" w14:paraId="16B4F8CB" w14:textId="77777777" w:rsidTr="000A6FA4">
        <w:trPr>
          <w:jc w:val="center"/>
        </w:trPr>
        <w:tc>
          <w:tcPr>
            <w:tcW w:w="712" w:type="dxa"/>
          </w:tcPr>
          <w:p w14:paraId="0C962106" w14:textId="76DB7CB5" w:rsidR="00ED77FA" w:rsidRPr="00683C7E" w:rsidRDefault="00ED77F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69" w:type="dxa"/>
          </w:tcPr>
          <w:p w14:paraId="767D9B26" w14:textId="798A659C" w:rsidR="00ED77FA" w:rsidRPr="00683C7E" w:rsidRDefault="00ED77F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Zgodność z zasadami udzielania pomocy publicznej (lub pomocy de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minimis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8363" w:type="dxa"/>
          </w:tcPr>
          <w:p w14:paraId="4D690A9B" w14:textId="33DCD90F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ramach kryterium wnioskodawca powinien wykazać, że udzielenie wsparcia na realizację projektu nie będzie spełniało przesłanek pomocy publicznej, o których mowa w art. 107 ust. 1 Traktatu o funkcjonowaniu Unii Europejskiej</w:t>
            </w:r>
            <w:r w:rsidR="000A5D6E"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– na wszystkich poziomach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. </w:t>
            </w:r>
          </w:p>
          <w:p w14:paraId="51C8C821" w14:textId="2CE6BE7E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  <w:u w:val="single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W sytuacji, gdy część działalności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W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nioskodawcy lub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artnera stanowi działalność gospodarczą w rozumieniu unijnym, dla stwierdzenia, że wsparcie przyznane na projekt mimo prowadzenia ww. działalności nie będzie stanowiło pomocy publicznej niezbędne jest wykazanie, iż działalność ta – co do swojego zakresu i charakteru – spełnia znamiona działalności pomocniczej, o które mowa w pkt. 207 Zawiadomienia Komisji w sprawie pojęcia pomocy państwa w rozumieniu art. 107 ust. 1 Traktatu o funkcjonowaniu Unii Europejskiej, zgodnie ze wskazaniami dokumentu: </w:t>
            </w:r>
            <w:r w:rsidRPr="00FD0A95">
              <w:rPr>
                <w:rFonts w:eastAsia="Calibri Light" w:cstheme="minorHAnsi"/>
                <w:b w:val="0"/>
                <w:bCs/>
                <w:szCs w:val="24"/>
              </w:rPr>
              <w:t>„</w:t>
            </w:r>
            <w:r w:rsidR="0003136A" w:rsidRPr="00FD0A95">
              <w:rPr>
                <w:rFonts w:eastAsia="Calibri Light" w:cstheme="minorHAnsi"/>
                <w:b w:val="0"/>
                <w:bCs/>
                <w:szCs w:val="24"/>
              </w:rPr>
              <w:t xml:space="preserve">Metodyka szacowania wysokości dofinansowania w związku z prowadzeniem przez beneficjenta lub partnera projektu w działaniu 2.1 Programu Fundusze Europejskie na Rozwój Cyfrowy 2021 – 2027 – działalności gospodarczej </w:t>
            </w:r>
            <w:r w:rsidR="0003136A" w:rsidRPr="00FD0A95">
              <w:rPr>
                <w:rFonts w:eastAsia="Calibri Light" w:cstheme="minorHAnsi"/>
                <w:b w:val="0"/>
                <w:bCs/>
                <w:szCs w:val="24"/>
              </w:rPr>
              <w:lastRenderedPageBreak/>
              <w:t>w rozumieniu unijnym</w:t>
            </w:r>
            <w:r w:rsidRPr="00FD0A95">
              <w:rPr>
                <w:rFonts w:eastAsia="Calibri Light" w:cstheme="minorHAnsi"/>
                <w:b w:val="0"/>
                <w:bCs/>
                <w:szCs w:val="24"/>
              </w:rPr>
              <w:t>”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(dalej: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yka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) stanowiącego załącznik do regulaminu naboru.</w:t>
            </w:r>
          </w:p>
          <w:p w14:paraId="1EB28271" w14:textId="2031EEE5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przypadku, gdy o wsparcie ubiegać się będą podmioty, których część działalności ma charakter gospodarczy w rozumieniu unijnym i nie stanowi ona jednocześnie ww. działalności pomocniczej - w celu wykazania, że wsparcie im udzielone, mimo prowadzenia ww. działalności gospodarczej nie będzie stanowiło pomocy publicznej niezbędne jest wykazanie spełnienia odpowiednich dla nich warunków wsparcia wskazanych w ww.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yce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. </w:t>
            </w:r>
          </w:p>
          <w:p w14:paraId="4142E478" w14:textId="045AE9B3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sytuacji, gdy wsparcie będzie spełniało przesłanki pomocy publicznej, a ww. działalność gospodarcza nie spełnia znamion działalności pomocniczej i jednocześnie niemożliwe jest zastosowanie ww.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yki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w zakresie obniżenia dofinansowania w związku z prowadzeniem działalności gospodarczej niebędącej działalnością pomocniczą, bądź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W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nioskodawca lub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 nie chcą poddać się jej reżimowi, wsparcie w ramach niniejszego działania może zostać udzielone jako pomoc indywidualna podlegająca obowiązkowi notyfikacji na podstawie art. 107 ust. 3 lit. c) Traktatu o funkcjonowaniu Unii Europejskiej.</w:t>
            </w:r>
          </w:p>
          <w:p w14:paraId="3E43AB02" w14:textId="2EC43219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W przypadku zidentyfikowania wystąpienia pomocy publicznej i niewskazania jednej z ww. podstaw udzielenia wsparcia, </w:t>
            </w:r>
            <w:r w:rsidR="002825AC" w:rsidRPr="00683C7E">
              <w:rPr>
                <w:rFonts w:eastAsia="Calibri Light" w:cstheme="minorHAnsi"/>
                <w:b w:val="0"/>
                <w:bCs/>
                <w:szCs w:val="24"/>
              </w:rPr>
              <w:t>kryterium zostanie negatywnie ocenione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.</w:t>
            </w:r>
          </w:p>
          <w:p w14:paraId="4BB5F4F1" w14:textId="75637090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przypadku, gdy Wnioskodawca dokonując obniżenia dofinansowania popełnił błędy rachunkowe lub inne oczywiste omyłki, IO</w:t>
            </w:r>
            <w:r w:rsidR="00F33EA6" w:rsidRPr="00683C7E">
              <w:rPr>
                <w:rFonts w:eastAsia="Calibri Light" w:cstheme="minorHAnsi"/>
                <w:b w:val="0"/>
                <w:bCs/>
                <w:szCs w:val="24"/>
              </w:rPr>
              <w:t>N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może na etapie oceny projektu 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lastRenderedPageBreak/>
              <w:t>wezwać Wnioskodawcę do poprawy lub uzupełnienia wniosku o dofinansowanie w tym zakresie.</w:t>
            </w:r>
          </w:p>
        </w:tc>
        <w:tc>
          <w:tcPr>
            <w:tcW w:w="2240" w:type="dxa"/>
          </w:tcPr>
          <w:p w14:paraId="1E82B05F" w14:textId="08607B61" w:rsidR="00ED77FA" w:rsidRPr="009F6CD0" w:rsidRDefault="00311BC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 w:val="20"/>
                <w:szCs w:val="20"/>
              </w:rPr>
            </w:pPr>
            <w:r w:rsidRPr="00FD0A95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ED77FA" w:rsidRPr="00FD0A95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2B1EFC" w:rsidRPr="009F6CD0" w14:paraId="2CEC5771" w14:textId="77777777" w:rsidTr="000A6FA4">
        <w:trPr>
          <w:jc w:val="center"/>
        </w:trPr>
        <w:tc>
          <w:tcPr>
            <w:tcW w:w="712" w:type="dxa"/>
          </w:tcPr>
          <w:p w14:paraId="0C4C7E8F" w14:textId="3350E6CB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3</w:t>
            </w:r>
          </w:p>
        </w:tc>
        <w:tc>
          <w:tcPr>
            <w:tcW w:w="2969" w:type="dxa"/>
          </w:tcPr>
          <w:p w14:paraId="6D9FE121" w14:textId="37C2BA28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Prawidłowość wyboru </w:t>
            </w:r>
            <w:r w:rsidR="003E3E6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 (jeśli dotyczy)</w:t>
            </w:r>
          </w:p>
        </w:tc>
        <w:tc>
          <w:tcPr>
            <w:tcW w:w="8363" w:type="dxa"/>
          </w:tcPr>
          <w:p w14:paraId="51E37548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badana jest prawidłowość wyboru Partnerów projektu (jeśli dotyczy).</w:t>
            </w:r>
          </w:p>
          <w:p w14:paraId="1E17322F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t.j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. Dz. U. z 2022 r. poz. 1079).</w:t>
            </w:r>
          </w:p>
          <w:p w14:paraId="7AED058B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przypadku partnerstwa z art. 39 ww. ustawy:</w:t>
            </w:r>
          </w:p>
          <w:p w14:paraId="71FAA8D8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382C5058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17130CC6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Wnioskodawca wykazał, że Partner / Partnerzy realizują zadania, których z równie dobrym skutkiem </w:t>
            </w: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dla osiągnięcia celów projektu nie mógłby zrealizować wykonawca wyłoniony zgodnie z prawem zamówień publicznych.</w:t>
            </w:r>
          </w:p>
          <w:p w14:paraId="50DDC260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261C0275" w14:textId="3B7F5456" w:rsidR="002B1EFC" w:rsidRPr="00683C7E" w:rsidRDefault="002B1EFC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Do wniosku o dofinansowanie dołączono podpisane porozumienie lub umowę o partnerstwie, w której określono co najmniej:</w:t>
            </w:r>
          </w:p>
          <w:p w14:paraId="1B970DA9" w14:textId="77777777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przedmiot porozumienia/umowy,</w:t>
            </w:r>
          </w:p>
          <w:p w14:paraId="0CF3C6FE" w14:textId="77777777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prawa i obowiązki stron,</w:t>
            </w:r>
          </w:p>
          <w:p w14:paraId="7F25B365" w14:textId="446C588A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zakres i formę udziału poszczególnych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artnerów w projekcie,</w:t>
            </w:r>
          </w:p>
          <w:p w14:paraId="64602193" w14:textId="4BE6C27C" w:rsidR="002B1EFC" w:rsidRPr="00683C7E" w:rsidRDefault="00C07E76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="002B1EFC"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artnera wiodącego uprawnionego do reprezentowania pozostałych </w:t>
            </w:r>
            <w:r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="002B1EFC" w:rsidRPr="00683C7E">
              <w:rPr>
                <w:rFonts w:eastAsia="Calibri Light" w:cstheme="minorHAnsi"/>
                <w:b w:val="0"/>
                <w:bCs/>
                <w:szCs w:val="24"/>
              </w:rPr>
              <w:t>artnerów projektu,</w:t>
            </w:r>
          </w:p>
          <w:p w14:paraId="56F4F638" w14:textId="557B256F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sposób przekazywania dofinansowania na pokrycie kosztów ponoszonych przez poszczególnych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artnerów projektu, umożliwiający określenie kwoty dofinansowania udzielonego każdemu z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artnerów,</w:t>
            </w:r>
          </w:p>
          <w:p w14:paraId="298C9D22" w14:textId="21CD0F38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2240" w:type="dxa"/>
          </w:tcPr>
          <w:p w14:paraId="1274FBCB" w14:textId="129B9C1F" w:rsidR="002B1EFC" w:rsidRPr="009F6CD0" w:rsidRDefault="00311BC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 w:val="20"/>
                <w:szCs w:val="20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CA79D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796A" w:rsidRPr="009F6CD0" w14:paraId="166B1C9C" w14:textId="77777777" w:rsidTr="000A6FA4">
        <w:trPr>
          <w:jc w:val="center"/>
        </w:trPr>
        <w:tc>
          <w:tcPr>
            <w:tcW w:w="712" w:type="dxa"/>
          </w:tcPr>
          <w:p w14:paraId="6B0F1DC2" w14:textId="354AA79E" w:rsidR="00C5796A" w:rsidRPr="00683C7E" w:rsidRDefault="00CA79D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69" w:type="dxa"/>
          </w:tcPr>
          <w:p w14:paraId="3DF58EA4" w14:textId="6C68A750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Przygotowanie do realizacji projektu pod względem </w:t>
            </w: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 xml:space="preserve">zgodności z otoczeniem prawnym </w:t>
            </w:r>
          </w:p>
        </w:tc>
        <w:tc>
          <w:tcPr>
            <w:tcW w:w="8363" w:type="dxa"/>
          </w:tcPr>
          <w:p w14:paraId="6EAA69DE" w14:textId="7057FF4B" w:rsidR="00567185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Projekt jest przygotowany do realizacji pod względem zgodności z otoczeniem prawnym.</w:t>
            </w:r>
          </w:p>
          <w:p w14:paraId="5F6F3DB3" w14:textId="1AAC62CF" w:rsidR="00567185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Wnioskodawca wykazał gotowość do realizacji projektu w istniejącym otoczeniu prawnym, tj. przedstawił odpowiednie analizy możliwości realizacji projektu i usług objętych projektem, na podstawie obowiązujących przepisów prawa.</w:t>
            </w:r>
          </w:p>
          <w:p w14:paraId="2026ED5F" w14:textId="77DBDE63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 braku możliwości realizacji projektu i poszczególnych usług objętych projektem w obecnym stanie prawnym,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nioskodawca wskazał wszystkie akty prawne niezbędne do zmiany oraz wykazał gotowość prawną, rozumianą w następujący sposób:</w:t>
            </w:r>
          </w:p>
          <w:p w14:paraId="106D0FA9" w14:textId="48EF7E91" w:rsidR="00C5796A" w:rsidRPr="00683C7E" w:rsidRDefault="00C5796A" w:rsidP="0019167D">
            <w:pPr>
              <w:numPr>
                <w:ilvl w:val="0"/>
                <w:numId w:val="57"/>
              </w:numPr>
              <w:tabs>
                <w:tab w:val="left" w:pos="216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jeśli dla realizacji projektu potrzebna jest zmiana ustawowa: projekt założeń projektu ustawy lub projekt ustawy (jeżeli dla ustawy nie przygotowano projektu założeń projektu ustawy), zostanie zatwierdzony przez Radę Ministrów przed zakończeniem oceny merytorycznej wniosku o dofinansowanie projektu (stan prac legislacyjnych będzie badany w trakcie oceny merytorycznej),</w:t>
            </w:r>
          </w:p>
          <w:p w14:paraId="42FE7812" w14:textId="26D74B3B" w:rsidR="00C5796A" w:rsidRPr="00683C7E" w:rsidRDefault="00C5796A" w:rsidP="0019167D">
            <w:pPr>
              <w:numPr>
                <w:ilvl w:val="0"/>
                <w:numId w:val="57"/>
              </w:numPr>
              <w:tabs>
                <w:tab w:val="left" w:pos="20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jeśli dla realizacji projektu niezbędna jest zmiana na poziomie rozporządzenia Rady Ministrów: uzgodnienia wewnątrzresortowe dla projektu rozporządzenia zostaną zakończone przed zakończeniem oceny merytorycznej wniosku o dofinansowanie projektu (stan prac legislacyjnych będzie badany w trakcie oceny merytorycznej).</w:t>
            </w:r>
          </w:p>
          <w:p w14:paraId="375134CA" w14:textId="2C6DE602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jest zobowiązany przedstawić harmonogram zadań prowadzących do zakończenia procesu legislacyjnego dla ww. aktów prawnych, uwzględniający przeprowadzenie konsultacji społecznych na internetowej platformie konsultacji publicznych (jeśli dotyczy – ze względu na aktualny etap procesu legislacyjnego).</w:t>
            </w:r>
          </w:p>
          <w:p w14:paraId="4162F297" w14:textId="0F1DB0D3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Kluczowe aspekty oceny:</w:t>
            </w:r>
          </w:p>
          <w:p w14:paraId="3A40A23A" w14:textId="011536D1" w:rsidR="00C5796A" w:rsidRPr="00683C7E" w:rsidRDefault="00C5796A" w:rsidP="0019167D">
            <w:pPr>
              <w:numPr>
                <w:ilvl w:val="0"/>
                <w:numId w:val="70"/>
              </w:numPr>
              <w:tabs>
                <w:tab w:val="left" w:pos="276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Wnioskodawca przedstawił analizy potwierdzające, że projekt jest przygotowany do realizacji pod względem zgodności z otoczeniem prawnym,</w:t>
            </w:r>
          </w:p>
          <w:p w14:paraId="106E0A77" w14:textId="6F624D33" w:rsidR="00C5796A" w:rsidRPr="00683C7E" w:rsidRDefault="00C5796A" w:rsidP="0019167D">
            <w:pPr>
              <w:numPr>
                <w:ilvl w:val="0"/>
                <w:numId w:val="70"/>
              </w:numPr>
              <w:tabs>
                <w:tab w:val="left" w:pos="276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Określono niezbędną ścieżkę legislacyjną dla aktów prawnych w trakcie procedowania i pozwala ona na skuteczne wdrożenie projektu i terminowe uruchomienie jego produktów. </w:t>
            </w:r>
          </w:p>
        </w:tc>
        <w:tc>
          <w:tcPr>
            <w:tcW w:w="2240" w:type="dxa"/>
          </w:tcPr>
          <w:p w14:paraId="68942562" w14:textId="76C109D4" w:rsidR="00C5796A" w:rsidRPr="00683C7E" w:rsidRDefault="00CC2678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CA79D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(niespełnienie kryterium oznacza odrzucenie wniosku)</w:t>
            </w:r>
          </w:p>
        </w:tc>
      </w:tr>
      <w:tr w:rsidR="007E7B0E" w:rsidRPr="009F6CD0" w14:paraId="142075B6" w14:textId="77777777" w:rsidTr="000A6FA4">
        <w:trPr>
          <w:jc w:val="center"/>
        </w:trPr>
        <w:tc>
          <w:tcPr>
            <w:tcW w:w="712" w:type="dxa"/>
          </w:tcPr>
          <w:p w14:paraId="797C664F" w14:textId="079D6824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5</w:t>
            </w:r>
          </w:p>
        </w:tc>
        <w:tc>
          <w:tcPr>
            <w:tcW w:w="2969" w:type="dxa"/>
          </w:tcPr>
          <w:p w14:paraId="346DD8EA" w14:textId="5A21CB88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8363" w:type="dxa"/>
          </w:tcPr>
          <w:p w14:paraId="53C3B12C" w14:textId="25E4B131" w:rsidR="007E7B0E" w:rsidRPr="00683C7E" w:rsidRDefault="007E7B0E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ramach kryterium weryfikowane będzie czy:</w:t>
            </w:r>
          </w:p>
          <w:p w14:paraId="20E83B3E" w14:textId="516E604B" w:rsidR="007E7B0E" w:rsidRPr="00683C7E" w:rsidRDefault="007E7B0E" w:rsidP="0019167D">
            <w:pPr>
              <w:numPr>
                <w:ilvl w:val="0"/>
                <w:numId w:val="71"/>
              </w:numPr>
              <w:tabs>
                <w:tab w:val="left" w:pos="264"/>
              </w:tabs>
              <w:spacing w:line="30" w:lineRule="atLeast"/>
              <w:ind w:hanging="293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Z przedstawionych informacji wynika, czy i jakie projekty były realizowane w obszarze, którego dotyczy projekt i wykazano, że składany oceniany projekt w istotny sposób je rozwija, bez powtórzeń zakresu.</w:t>
            </w:r>
          </w:p>
          <w:p w14:paraId="2D89E02E" w14:textId="77777777" w:rsidR="00F31956" w:rsidRPr="00683C7E" w:rsidRDefault="007E7B0E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Jeżeli projekt jest kontynuacją inwestycji z okresu 2014-2020 –potwierdzono zakończenie poprzedniego etapu inwestycji</w:t>
            </w:r>
            <w:r w:rsidR="00F31956" w:rsidRPr="00683C7E">
              <w:rPr>
                <w:rFonts w:eastAsia="Calibri Light" w:cstheme="minorHAnsi"/>
                <w:b w:val="0"/>
                <w:bCs/>
                <w:szCs w:val="24"/>
              </w:rPr>
              <w:t>.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*</w:t>
            </w:r>
          </w:p>
          <w:p w14:paraId="051DEF03" w14:textId="6DB58CEF" w:rsidR="0070230C" w:rsidRDefault="007E7B0E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</w:t>
            </w:r>
            <w:r w:rsidR="00F31956" w:rsidRPr="00683C7E">
              <w:rPr>
                <w:rFonts w:eastAsia="Calibri Light" w:cstheme="minorHAnsi"/>
                <w:b w:val="0"/>
                <w:bCs/>
                <w:szCs w:val="24"/>
              </w:rPr>
              <w:t>W projektach z zakresu e-zdrowia opisano w jaki sposób zagwarantowano interoperacyjność planowanych rozwiązań z wcześniej wdrażanymi  przedsięwzięciami, w tym P1, P2 i P4.</w:t>
            </w:r>
          </w:p>
          <w:p w14:paraId="68EC9978" w14:textId="6E4F4A63" w:rsidR="00D76BF7" w:rsidRPr="00683C7E" w:rsidRDefault="00D76BF7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D76BF7">
              <w:rPr>
                <w:rFonts w:eastAsia="Calibri Light" w:cstheme="minorHAnsi"/>
                <w:b w:val="0"/>
                <w:bCs/>
                <w:szCs w:val="24"/>
              </w:rPr>
              <w:t>Projekt z obszaru e-zdrowia został objęty systemem koordynacji przez Komitet Sterujący ds. spraw koordynacji wsparcia w sektorze zdrowia.</w:t>
            </w:r>
          </w:p>
          <w:p w14:paraId="4471682D" w14:textId="161D84D6" w:rsidR="00741620" w:rsidRPr="00683C7E" w:rsidRDefault="00741620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Działania przewidziane w ramach projektu będą komplementarne z projektami realizowanymi w ramach Krajowego Planu Odbudowy i Zwiększenia Odporności.</w:t>
            </w:r>
          </w:p>
          <w:p w14:paraId="0E2705F1" w14:textId="1AF2BDC5" w:rsidR="007E7B0E" w:rsidRPr="00683C7E" w:rsidRDefault="007E7B0E" w:rsidP="0019167D">
            <w:pPr>
              <w:tabs>
                <w:tab w:val="left" w:pos="252"/>
              </w:tabs>
              <w:spacing w:line="30" w:lineRule="atLeast"/>
              <w:ind w:left="2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Weryfikacja na etapie oceny wniosku o dofinasowanie będzie odbywać się na podstawie oświadczenia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złożonego przez Wnioskodawcę.</w:t>
            </w:r>
          </w:p>
          <w:p w14:paraId="6D66E509" w14:textId="03552911" w:rsidR="001F3BCC" w:rsidRPr="00683C7E" w:rsidRDefault="001F3BCC" w:rsidP="0019167D">
            <w:pPr>
              <w:tabs>
                <w:tab w:val="left" w:pos="252"/>
              </w:tabs>
              <w:spacing w:line="30" w:lineRule="atLeast"/>
              <w:ind w:left="2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</w:p>
          <w:p w14:paraId="7527585B" w14:textId="616B94FB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(*) nie dotyczy projektów fazowanych</w:t>
            </w:r>
          </w:p>
        </w:tc>
        <w:tc>
          <w:tcPr>
            <w:tcW w:w="2240" w:type="dxa"/>
          </w:tcPr>
          <w:p w14:paraId="0175829D" w14:textId="1897EEFC" w:rsidR="007E7B0E" w:rsidRPr="00683C7E" w:rsidRDefault="00CC2678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07D89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905E9A" w:rsidRPr="009F6CD0" w14:paraId="3D15CD46" w14:textId="77777777" w:rsidTr="000A6FA4">
        <w:trPr>
          <w:jc w:val="center"/>
        </w:trPr>
        <w:tc>
          <w:tcPr>
            <w:tcW w:w="712" w:type="dxa"/>
          </w:tcPr>
          <w:p w14:paraId="3867D02B" w14:textId="34361EDF" w:rsidR="00905E9A" w:rsidRDefault="00905E9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6</w:t>
            </w:r>
          </w:p>
        </w:tc>
        <w:tc>
          <w:tcPr>
            <w:tcW w:w="2969" w:type="dxa"/>
          </w:tcPr>
          <w:p w14:paraId="01A9C895" w14:textId="1F2615C0" w:rsidR="00905E9A" w:rsidRPr="00905E9A" w:rsidRDefault="00905E9A" w:rsidP="0019167D">
            <w:pPr>
              <w:spacing w:line="30" w:lineRule="atLeast"/>
              <w:rPr>
                <w:rFonts w:cstheme="minorHAnsi"/>
                <w:b w:val="0"/>
                <w:szCs w:val="24"/>
              </w:rPr>
            </w:pPr>
            <w:r w:rsidRPr="00FD0A95">
              <w:rPr>
                <w:rFonts w:cstheme="minorHAnsi"/>
                <w:b w:val="0"/>
                <w:szCs w:val="24"/>
              </w:rPr>
              <w:t>Projekt jest zgodny z założeniami Architektury Informacyjnej Państwa</w:t>
            </w:r>
            <w:r w:rsidR="00831EB3">
              <w:rPr>
                <w:rFonts w:cstheme="minorHAnsi"/>
                <w:b w:val="0"/>
                <w:szCs w:val="24"/>
              </w:rPr>
              <w:t xml:space="preserve"> </w:t>
            </w:r>
            <w:r w:rsidR="00831EB3" w:rsidRPr="00831EB3">
              <w:rPr>
                <w:rFonts w:cstheme="minorHAnsi"/>
                <w:b w:val="0"/>
                <w:szCs w:val="24"/>
              </w:rPr>
              <w:t>oraz Deklaracji tallińskiej</w:t>
            </w:r>
          </w:p>
        </w:tc>
        <w:tc>
          <w:tcPr>
            <w:tcW w:w="8363" w:type="dxa"/>
          </w:tcPr>
          <w:p w14:paraId="6980B020" w14:textId="2EF6E130" w:rsidR="00905E9A" w:rsidRPr="00905E9A" w:rsidRDefault="00905E9A" w:rsidP="0019167D">
            <w:pPr>
              <w:spacing w:line="30" w:lineRule="atLeast"/>
              <w:rPr>
                <w:rFonts w:cstheme="minorHAnsi"/>
                <w:b w:val="0"/>
                <w:szCs w:val="24"/>
              </w:rPr>
            </w:pPr>
            <w:r w:rsidRPr="00FD0A95">
              <w:rPr>
                <w:rFonts w:eastAsia="Calibri Light" w:cstheme="minorHAnsi"/>
                <w:b w:val="0"/>
                <w:szCs w:val="24"/>
              </w:rPr>
              <w:t xml:space="preserve">W ramach kryterium weryfikowane jest czy Wnioskodawca wykazał, że rozwiązania wdrażane w projektach będą realizowały założenia Architektury Informacyjnej Państwa, zwłaszcza pryncypia zawarte w dokumencie z dn. 25 listopada 2020 r. i Deklaracji tallińskiej, w tym domyślności cyfrowej, jednorazowości, powszechności, dostępności, otwartości, przejrzystości, domyślnej </w:t>
            </w:r>
            <w:proofErr w:type="spellStart"/>
            <w:r w:rsidRPr="00FD0A95">
              <w:rPr>
                <w:rFonts w:eastAsia="Calibri Light" w:cstheme="minorHAnsi"/>
                <w:b w:val="0"/>
                <w:szCs w:val="24"/>
              </w:rPr>
              <w:t>transgraniczności</w:t>
            </w:r>
            <w:proofErr w:type="spellEnd"/>
            <w:r w:rsidRPr="00FD0A95">
              <w:rPr>
                <w:rFonts w:eastAsia="Calibri Light" w:cstheme="minorHAnsi"/>
                <w:b w:val="0"/>
                <w:szCs w:val="24"/>
              </w:rPr>
              <w:t xml:space="preserve"> i interoperacyjności oraz niezawodności i bezpieczeństwa.</w:t>
            </w:r>
          </w:p>
        </w:tc>
        <w:tc>
          <w:tcPr>
            <w:tcW w:w="2240" w:type="dxa"/>
          </w:tcPr>
          <w:p w14:paraId="08F1BE14" w14:textId="697BC7F1" w:rsidR="00905E9A" w:rsidRPr="003274A0" w:rsidRDefault="005948CA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99119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3274A0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445992" w:rsidRPr="009F6CD0" w14:paraId="2F9AA49E" w14:textId="77777777" w:rsidTr="000A6FA4">
        <w:trPr>
          <w:jc w:val="center"/>
        </w:trPr>
        <w:tc>
          <w:tcPr>
            <w:tcW w:w="712" w:type="dxa"/>
          </w:tcPr>
          <w:p w14:paraId="7F036918" w14:textId="12710B22" w:rsidR="00445992" w:rsidRPr="00445992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69" w:type="dxa"/>
          </w:tcPr>
          <w:p w14:paraId="39AC0DAB" w14:textId="77777777" w:rsidR="00445992" w:rsidRPr="00683C7E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Zgodność projektu z zasadami: równości szans i niedyskryminacji, w tym dostępność dla osób z niepełnosprawnościami; równości kobiet i mężczyzn </w:t>
            </w:r>
          </w:p>
          <w:p w14:paraId="40E3CD35" w14:textId="77777777" w:rsidR="00445992" w:rsidRPr="00445992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63" w:type="dxa"/>
          </w:tcPr>
          <w:p w14:paraId="59A63E86" w14:textId="15C4C61C" w:rsidR="00445992" w:rsidRPr="003274A0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W ramach kryterium weryfikowane jest czy działania związane z realizacją projektu, a także wszystkie produkty związane z</w:t>
            </w:r>
            <w:r w:rsidR="003E3E66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274A0">
              <w:rPr>
                <w:rFonts w:cstheme="minorHAnsi"/>
                <w:b w:val="0"/>
                <w:bCs/>
                <w:szCs w:val="24"/>
              </w:rPr>
              <w:t>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59B97A23" w14:textId="77777777" w:rsidR="00445992" w:rsidRPr="003274A0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Wnioskodawca odniósł się do każdej z zasad: zasady równości szans i niedyskryminacji oraz zasady równości kobiet i mężczyzn. </w:t>
            </w:r>
            <w:r w:rsidRPr="003274A0">
              <w:rPr>
                <w:rFonts w:cstheme="minorHAnsi"/>
                <w:b w:val="0"/>
                <w:bCs/>
                <w:szCs w:val="24"/>
              </w:rPr>
              <w:br/>
              <w:t>Oddzielnie sprawdzane jest wypełnienie wszystkich poniższych warunków:</w:t>
            </w:r>
          </w:p>
          <w:p w14:paraId="0A53401A" w14:textId="0BEE4238" w:rsidR="00445992" w:rsidRPr="00683C7E" w:rsidRDefault="00C07E76" w:rsidP="0019167D">
            <w:pPr>
              <w:pStyle w:val="Akapitzlist"/>
              <w:numPr>
                <w:ilvl w:val="0"/>
                <w:numId w:val="84"/>
              </w:num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W</w:t>
            </w:r>
            <w:r w:rsidR="00445992" w:rsidRPr="003274A0">
              <w:rPr>
                <w:rFonts w:cstheme="minorHAnsi"/>
                <w:b w:val="0"/>
                <w:bCs/>
                <w:szCs w:val="24"/>
              </w:rPr>
              <w:t>nioskodawca wykazał, że projekt będzie miał pozytywny wpływ na zasadę równości szans i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445992" w:rsidRPr="003274A0">
              <w:rPr>
                <w:rFonts w:cstheme="minorHAnsi"/>
                <w:b w:val="0"/>
                <w:bCs/>
                <w:szCs w:val="24"/>
              </w:rPr>
              <w:t>niedyskryminacji, w tym dostępności dla osób z niepełnoprawnościami.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52E0AF3A" w14:textId="4E6F14F7" w:rsidR="00683C7E" w:rsidRPr="003274A0" w:rsidRDefault="00445992" w:rsidP="0019167D">
            <w:pPr>
              <w:spacing w:line="30" w:lineRule="atLeast"/>
              <w:ind w:left="682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3274A0">
              <w:rPr>
                <w:rFonts w:cstheme="minorHAnsi"/>
                <w:b w:val="0"/>
                <w:bCs/>
                <w:szCs w:val="24"/>
              </w:rPr>
              <w:t>nioskodawcy ze stosowania standardów dostępności dla realizacji pozostałej części projektu, dla której standardy dostępności mają zastosowanie.</w:t>
            </w:r>
          </w:p>
          <w:p w14:paraId="183C70BB" w14:textId="77777777" w:rsidR="00683C7E" w:rsidRPr="003274A0" w:rsidRDefault="00683C7E" w:rsidP="0019167D">
            <w:pPr>
              <w:pStyle w:val="Akapitzlist"/>
              <w:numPr>
                <w:ilvl w:val="0"/>
                <w:numId w:val="84"/>
              </w:num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Wnioskodawca wykazał, że wdrażanie projektu będzie zgodne z przepisami krajowymi i europejskimi, w tym dyrektywami (UE) 2019/882 w sprawie wymogów dostępności produktów i usług i (UE) 2016/2102 w sprawie dostępności stron internetowych i mobilnych aplikacji organów sektora publicznego. Dostępność będzie realizowana przez stosowanie zasad </w:t>
            </w:r>
            <w:r w:rsidRPr="003274A0">
              <w:rPr>
                <w:rFonts w:cstheme="minorHAnsi"/>
                <w:b w:val="0"/>
                <w:bCs/>
                <w:szCs w:val="24"/>
              </w:rPr>
              <w:lastRenderedPageBreak/>
              <w:t>uniwersalnego projektowania i standardów w zakresie m.in. dostępności cyfrowej produktów.</w:t>
            </w:r>
          </w:p>
          <w:p w14:paraId="25571139" w14:textId="16843188" w:rsidR="00683C7E" w:rsidRDefault="00683C7E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 przypadku systemów informatycznych objętych zakresem projektu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3274A0">
              <w:rPr>
                <w:rFonts w:cstheme="minorHAnsi"/>
                <w:b w:val="0"/>
                <w:bCs/>
                <w:szCs w:val="24"/>
              </w:rPr>
              <w:t>nioskodawca jest zobowiązany wykazać, że w ramach projektu zaplanowano skuteczny sposób sprawdzenia zadeklarowanego poziomu dostępności</w:t>
            </w:r>
            <w:r w:rsidR="00B779E1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ADD0AF5" w14:textId="686CF42A" w:rsidR="00445992" w:rsidRPr="003274A0" w:rsidRDefault="00445992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Projekt jest zgodny z zasadą równości kobiet i mężczyzn. Przez zgodność z tą zasadą należy rozumieć, z</w:t>
            </w:r>
            <w:r w:rsidR="003E3E66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274A0">
              <w:rPr>
                <w:rFonts w:cstheme="minorHAnsi"/>
                <w:b w:val="0"/>
                <w:bCs/>
                <w:szCs w:val="24"/>
              </w:rPr>
              <w:t>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7E443E18" w14:textId="2C49E877" w:rsidR="00445992" w:rsidRPr="00683C7E" w:rsidRDefault="00445992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</w:p>
        </w:tc>
        <w:tc>
          <w:tcPr>
            <w:tcW w:w="2240" w:type="dxa"/>
          </w:tcPr>
          <w:p w14:paraId="1B0F28BD" w14:textId="4EE3135E" w:rsidR="00445992" w:rsidRPr="00445992" w:rsidRDefault="008B7D4C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Pr="003274A0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796A" w:rsidRPr="009F6CD0" w14:paraId="66018CD8" w14:textId="739AEE22" w:rsidTr="000A6FA4">
        <w:trPr>
          <w:jc w:val="center"/>
        </w:trPr>
        <w:tc>
          <w:tcPr>
            <w:tcW w:w="712" w:type="dxa"/>
          </w:tcPr>
          <w:p w14:paraId="09E994B1" w14:textId="36DFCD38" w:rsidR="00C5796A" w:rsidRPr="00683C7E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8</w:t>
            </w:r>
          </w:p>
        </w:tc>
        <w:tc>
          <w:tcPr>
            <w:tcW w:w="2969" w:type="dxa"/>
          </w:tcPr>
          <w:p w14:paraId="60FA0E69" w14:textId="135521BC" w:rsidR="00C5796A" w:rsidRPr="007A778C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Zgodność zakresu projektu z jego celem i celem programu FERC</w:t>
            </w:r>
          </w:p>
        </w:tc>
        <w:tc>
          <w:tcPr>
            <w:tcW w:w="8363" w:type="dxa"/>
          </w:tcPr>
          <w:p w14:paraId="78CD44BA" w14:textId="42D0AEA4" w:rsidR="00C5796A" w:rsidRPr="007A778C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>,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 czy Wnioskodawca wykazał, że projekt realizuje jasno określone, społecznie istotne cele, wyrażone mierzalnymi wskaźnikami, poprawnie wybrał typ projektu zgodny z celami FERC oraz zgodny z zakresem projektu, tj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>.</w:t>
            </w:r>
            <w:r w:rsidRPr="007A778C">
              <w:rPr>
                <w:rFonts w:cstheme="minorHAnsi"/>
                <w:b w:val="0"/>
                <w:bCs/>
                <w:szCs w:val="24"/>
              </w:rPr>
              <w:t>:</w:t>
            </w:r>
          </w:p>
          <w:p w14:paraId="5FFC71E8" w14:textId="5AC8A67D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Projekt realizuje społecznie istotne cele odnoszące się do poprawy warunków funkcjonowania przedsiębiorców lub poprawy jakości życia obywateli lub usprawnienia funkcjonowania państwa.</w:t>
            </w:r>
          </w:p>
          <w:p w14:paraId="6503E7DB" w14:textId="7DF9956E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 xml:space="preserve">Cele </w:t>
            </w:r>
            <w:r w:rsidR="0070230C" w:rsidRPr="007A778C">
              <w:rPr>
                <w:rFonts w:cstheme="minorHAnsi"/>
                <w:b w:val="0"/>
                <w:bCs/>
                <w:szCs w:val="24"/>
              </w:rPr>
              <w:t xml:space="preserve">i zakres </w:t>
            </w:r>
            <w:r w:rsidRPr="007A778C">
              <w:rPr>
                <w:rFonts w:cstheme="minorHAnsi"/>
                <w:b w:val="0"/>
                <w:bCs/>
                <w:szCs w:val="24"/>
              </w:rPr>
              <w:t>projektu wpisują się w działanie 2.1. Wysoka jakość i dostępność e-usług publicznych;</w:t>
            </w:r>
          </w:p>
          <w:p w14:paraId="6996E8A8" w14:textId="77777777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Zakres projektu jest zgodny z celem projektu;</w:t>
            </w:r>
          </w:p>
          <w:p w14:paraId="3485945E" w14:textId="6B1ED067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Projekt realizuje obligatoryjne wskaźniki produktu i rezultatu bezpośredniego.</w:t>
            </w:r>
          </w:p>
          <w:p w14:paraId="67475BAA" w14:textId="182DDD02" w:rsidR="00396758" w:rsidRPr="007A778C" w:rsidRDefault="0017560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 xml:space="preserve">W przypadku pozostałych wskaźników,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Wnioskodawca wybrał 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 xml:space="preserve">wszystkie adekwatne do celu i zakresu projektu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>wskaźniki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 z listy 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 xml:space="preserve">wskaźników 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określonej dla działania 2.1,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uzasadnił ich dobór oraz ich wartości 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bazowe i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>docelowe.</w:t>
            </w:r>
          </w:p>
          <w:p w14:paraId="3BB30EED" w14:textId="32844442" w:rsidR="00C5796A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Wnioskodawca wskazał  sposób pomiaru wskaźników.</w:t>
            </w:r>
          </w:p>
          <w:p w14:paraId="7407B040" w14:textId="00FAC73A" w:rsidR="00C5796A" w:rsidRPr="007A778C" w:rsidRDefault="00A96CC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40" w:type="dxa"/>
          </w:tcPr>
          <w:p w14:paraId="19AE875D" w14:textId="38F3F4FC" w:rsidR="00C5796A" w:rsidRPr="00683C7E" w:rsidRDefault="0073109E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C5796A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5CBC9194" w14:textId="77777777" w:rsidTr="000A6FA4">
        <w:trPr>
          <w:jc w:val="center"/>
        </w:trPr>
        <w:tc>
          <w:tcPr>
            <w:tcW w:w="712" w:type="dxa"/>
          </w:tcPr>
          <w:p w14:paraId="25A181E2" w14:textId="173B6A1A" w:rsidR="00073683" w:rsidRPr="004B1543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</w:p>
        </w:tc>
        <w:tc>
          <w:tcPr>
            <w:tcW w:w="2969" w:type="dxa"/>
          </w:tcPr>
          <w:p w14:paraId="40007F36" w14:textId="5D162E27" w:rsidR="00073683" w:rsidRPr="004B1543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Optymalizacja procesów oraz celowość funkcjonalności</w:t>
            </w:r>
            <w:r w:rsidRPr="004B154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5"/>
            </w:r>
          </w:p>
        </w:tc>
        <w:tc>
          <w:tcPr>
            <w:tcW w:w="8363" w:type="dxa"/>
          </w:tcPr>
          <w:p w14:paraId="01953007" w14:textId="2FD4CE79" w:rsidR="00073683" w:rsidRPr="004B1543" w:rsidRDefault="00073683" w:rsidP="0019167D">
            <w:pPr>
              <w:pStyle w:val="Akapitzlist"/>
              <w:spacing w:line="30" w:lineRule="atLeast"/>
              <w:ind w:left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Celem kryterium jest zapewnienie realizacji systemów usprawniających funkcjonowanie urzędu i zapewniających interoperacyjność.</w:t>
            </w:r>
          </w:p>
          <w:p w14:paraId="53603F87" w14:textId="77777777" w:rsidR="00073683" w:rsidRPr="004B1543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będzie czy: </w:t>
            </w:r>
          </w:p>
          <w:p w14:paraId="451B0BDF" w14:textId="18229C3C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Zdefiniowane funkcje systemu są klarowne i pełne - precyzyjnie określono jaką potrzebę zaspokaja system, jego funkcjonalność i sposób działania oraz grupę </w:t>
            </w:r>
            <w:r w:rsidR="00A254EF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docelową </w:t>
            </w: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, </w:t>
            </w:r>
          </w:p>
          <w:p w14:paraId="419C0D62" w14:textId="02D077CD" w:rsidR="00073683" w:rsidRPr="004B1543" w:rsidRDefault="00383311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Planowany zakres funkcjonalny systemu jest adekwatny do zidentyfikowanych potrzeb wskazanych grup </w:t>
            </w:r>
            <w:r w:rsidR="00A254EF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docelowych </w:t>
            </w:r>
            <w:r w:rsidR="00073683"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,</w:t>
            </w:r>
          </w:p>
          <w:p w14:paraId="191DB9E3" w14:textId="6FBD05FF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Systemy informatyczne zaplanowano w sposób zapewniający interoperacyjność z innymi systemami administracji państwowej, wdrożonymi lub planowanymi do wdrożenia,</w:t>
            </w:r>
          </w:p>
          <w:p w14:paraId="2470F46F" w14:textId="17AD8F65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Wnioskodawca przedstawił analizę procesów biznesowych dotyczących realizacji zadań z obszaru </w:t>
            </w:r>
            <w:proofErr w:type="spellStart"/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back-office</w:t>
            </w:r>
            <w:proofErr w:type="spellEnd"/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 z uwzględnieniem stanu aktualnego i docelowego oraz </w:t>
            </w:r>
            <w:r w:rsidR="00383311"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wykazał </w:t>
            </w: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że procesy biznesowe objęte rozwiązaniem będą zoptymalizowane,</w:t>
            </w:r>
          </w:p>
          <w:p w14:paraId="1C5E1E4B" w14:textId="77777777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Wprowadzenie systemu przyczyni się do porządkowania rejestrów publicznych i przyczyni się do ponownego wykorzystania przetwarzanych danych,</w:t>
            </w:r>
          </w:p>
          <w:p w14:paraId="6E1D18BA" w14:textId="409664DA" w:rsidR="00073683" w:rsidRPr="004B1543" w:rsidRDefault="007434D4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</w:p>
        </w:tc>
        <w:tc>
          <w:tcPr>
            <w:tcW w:w="2240" w:type="dxa"/>
          </w:tcPr>
          <w:p w14:paraId="6D4A76CD" w14:textId="5C1F9FCB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4B154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</w:t>
            </w:r>
            <w:r w:rsidR="00073683" w:rsidRPr="004B154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kryterium oznacza odrzucenie wniosku)</w:t>
            </w:r>
          </w:p>
        </w:tc>
      </w:tr>
      <w:tr w:rsidR="00073683" w:rsidRPr="009F6CD0" w14:paraId="657A1B56" w14:textId="2B88782C" w:rsidTr="000A6FA4">
        <w:trPr>
          <w:jc w:val="center"/>
        </w:trPr>
        <w:tc>
          <w:tcPr>
            <w:tcW w:w="712" w:type="dxa"/>
          </w:tcPr>
          <w:p w14:paraId="46F1F7C2" w14:textId="1290AA53" w:rsidR="00073683" w:rsidRPr="004B1543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10</w:t>
            </w:r>
          </w:p>
        </w:tc>
        <w:tc>
          <w:tcPr>
            <w:tcW w:w="2969" w:type="dxa"/>
          </w:tcPr>
          <w:p w14:paraId="4BBAB46D" w14:textId="63E7F7A5" w:rsidR="00073683" w:rsidRPr="004B1543" w:rsidRDefault="005A1B4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Wysoka dojrzałość i klarowny zakres e-usług</w:t>
            </w:r>
            <w:r w:rsidRPr="004B154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6"/>
            </w:r>
          </w:p>
        </w:tc>
        <w:tc>
          <w:tcPr>
            <w:tcW w:w="8363" w:type="dxa"/>
          </w:tcPr>
          <w:p w14:paraId="45091C8B" w14:textId="77777777" w:rsidR="00073683" w:rsidRPr="004B1543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Celem kryterium jest zapewnienie realizacji e-usług o wysokim poziomie dojrzałości, o szerokim zasięgu i zagwarantowanej interoperacyjności. </w:t>
            </w:r>
          </w:p>
          <w:p w14:paraId="0318C7E4" w14:textId="01B42C21" w:rsidR="00073683" w:rsidRPr="004B1543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 p</w:t>
            </w:r>
            <w:r w:rsidRPr="004B1543">
              <w:rPr>
                <w:rFonts w:cstheme="minorHAnsi"/>
                <w:b w:val="0"/>
                <w:bCs/>
                <w:szCs w:val="24"/>
              </w:rPr>
              <w:t xml:space="preserve">rojekt spełnia jednocześnie wszystkie niżej wymienione aspekty: </w:t>
            </w:r>
          </w:p>
          <w:p w14:paraId="182FAEB6" w14:textId="11B46390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Wszystkie e-usługi A2B/A2C wdrażane w ramach projektu osiągają minimum 4 poziom e-dojrzałości</w:t>
            </w:r>
            <w:r w:rsidR="009A78DD" w:rsidRPr="004B1543">
              <w:rPr>
                <w:rFonts w:cstheme="minorHAnsi"/>
                <w:b w:val="0"/>
                <w:bCs/>
                <w:szCs w:val="24"/>
              </w:rPr>
              <w:t>*</w:t>
            </w:r>
            <w:r w:rsidRPr="004B1543">
              <w:rPr>
                <w:rFonts w:cstheme="minorHAnsi"/>
                <w:b w:val="0"/>
                <w:bCs/>
                <w:szCs w:val="24"/>
              </w:rPr>
              <w:t xml:space="preserve">. </w:t>
            </w:r>
          </w:p>
          <w:p w14:paraId="784E46BE" w14:textId="23938FBF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lastRenderedPageBreak/>
              <w:t xml:space="preserve">Efekty realizacji projektu będą dostępne na terenie całego kraju. E-usługa umożliwia obywatelowi/przedsiębiorcy załatwienie sprawy niezależnie od miejsca zamieszkania lub miejsca prowadzenia działalności gospodarczej. </w:t>
            </w:r>
          </w:p>
          <w:p w14:paraId="19C0F383" w14:textId="173FFFED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Czy wskazano system teleinformatyczny, za pośrednictwem którego będzie świadczona usługa i systemy informatyczne administracji, z którymi system będzie się komunikował w celu świadczenia usługi. </w:t>
            </w:r>
          </w:p>
          <w:p w14:paraId="25E7F643" w14:textId="77777777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Jeżeli w ramach projektu będą gromadzone informacje sektora publicznego, to będą one udostępniane przy użyciu publicznego API</w:t>
            </w:r>
            <w:r w:rsidR="00254FD2" w:rsidRPr="004B1543">
              <w:rPr>
                <w:rFonts w:cstheme="minorHAnsi"/>
                <w:b w:val="0"/>
                <w:bCs/>
                <w:szCs w:val="24"/>
              </w:rPr>
              <w:t xml:space="preserve"> (Interfejs Programowania Aplikacji)</w:t>
            </w:r>
            <w:r w:rsidRPr="004B1543">
              <w:rPr>
                <w:rFonts w:cstheme="minorHAnsi"/>
                <w:b w:val="0"/>
                <w:bCs/>
                <w:szCs w:val="24"/>
              </w:rPr>
              <w:t>, umożliwiającego wymianę danych w sposób zautomatyzowany lub wykazano dlaczego udostępnianie API jest niezasadne.</w:t>
            </w:r>
          </w:p>
          <w:p w14:paraId="5390E09D" w14:textId="77777777" w:rsidR="00741620" w:rsidRPr="004B1543" w:rsidRDefault="00E02E07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Rozwiązania w zakresie e-zdrowia są zgodne z Zaleceniem (UE) 2019/243 oraz Wytycznymi Sieci e-Zdrowia.</w:t>
            </w:r>
          </w:p>
          <w:p w14:paraId="1C85C830" w14:textId="77777777" w:rsidR="009F0C72" w:rsidRPr="004B1543" w:rsidRDefault="009F0C72" w:rsidP="0019167D">
            <w:p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* 4 poziom dojrzałości rozumiana jest jako: </w:t>
            </w:r>
          </w:p>
          <w:p w14:paraId="47FA97ED" w14:textId="77777777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>publicznie dostępna strona internetowa umożliwia załatwienie całej sprawy (realizację usługi publicznej) w formie elektronicznej, łącznie z uzyskaniem przez usługobiorcę dokumentów i doręczeniami;</w:t>
            </w:r>
          </w:p>
          <w:p w14:paraId="108A824B" w14:textId="77777777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 xml:space="preserve"> w procedurze brak dodatkowych czynności, które usługobiorca musiałby wykonać w formie nieelektronicznej (papierowej);</w:t>
            </w:r>
          </w:p>
          <w:p w14:paraId="54A8A977" w14:textId="1AB76332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>w przypadku, gdy w procedurze istnieje konieczność dokonania płatności będzie to możliwe w formie elektronicznej.</w:t>
            </w:r>
          </w:p>
        </w:tc>
        <w:tc>
          <w:tcPr>
            <w:tcW w:w="2240" w:type="dxa"/>
          </w:tcPr>
          <w:p w14:paraId="2D76F8F7" w14:textId="44421D91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4B154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  <w:r w:rsidR="00623867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073683" w:rsidRPr="009F6CD0" w14:paraId="0C4DA039" w14:textId="4839F26C" w:rsidTr="000A6FA4">
        <w:trPr>
          <w:jc w:val="center"/>
        </w:trPr>
        <w:tc>
          <w:tcPr>
            <w:tcW w:w="712" w:type="dxa"/>
          </w:tcPr>
          <w:p w14:paraId="23B19B34" w14:textId="2288E903" w:rsidR="00073683" w:rsidRPr="00683C7E" w:rsidRDefault="00E5622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69" w:type="dxa"/>
          </w:tcPr>
          <w:p w14:paraId="6F9BE5B7" w14:textId="045221A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Efektywność kosztowa projektu</w:t>
            </w:r>
          </w:p>
        </w:tc>
        <w:tc>
          <w:tcPr>
            <w:tcW w:w="8363" w:type="dxa"/>
          </w:tcPr>
          <w:p w14:paraId="181BA990" w14:textId="6486BE1B" w:rsidR="00073683" w:rsidRPr="00683C7E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będzie czy </w:t>
            </w:r>
            <w:r w:rsidRPr="00683C7E">
              <w:rPr>
                <w:rFonts w:cstheme="minorHAnsi"/>
                <w:b w:val="0"/>
                <w:bCs/>
                <w:szCs w:val="24"/>
              </w:rPr>
              <w:t>łączny koszt i poszczególne wykazane składniki kosztowe są adekwatne z punktu widzenia celu i skali projektu.</w:t>
            </w:r>
          </w:p>
          <w:p w14:paraId="4EC00184" w14:textId="772D18C1" w:rsidR="00073683" w:rsidRPr="00683C7E" w:rsidRDefault="00073683" w:rsidP="0019167D">
            <w:pPr>
              <w:autoSpaceDE w:val="0"/>
              <w:autoSpaceDN w:val="0"/>
              <w:adjustRightInd w:val="0"/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Aspekty podlegające ocenie:</w:t>
            </w:r>
          </w:p>
          <w:p w14:paraId="035475B3" w14:textId="5B8E65C4" w:rsidR="00073683" w:rsidRPr="00683C7E" w:rsidRDefault="00073683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Przeprowadzono poprawną analizę ekonomiczną, analizę finansową i analizę trwałości.</w:t>
            </w:r>
            <w:r w:rsidR="007434D4" w:rsidRPr="00683C7E">
              <w:rPr>
                <w:rFonts w:cstheme="minorHAnsi"/>
                <w:b w:val="0"/>
                <w:bCs/>
                <w:szCs w:val="24"/>
              </w:rPr>
              <w:t xml:space="preserve"> Analiza powinna </w:t>
            </w:r>
            <w:r w:rsidRPr="00683C7E">
              <w:rPr>
                <w:rFonts w:cstheme="minorHAnsi"/>
                <w:b w:val="0"/>
                <w:bCs/>
                <w:szCs w:val="24"/>
              </w:rPr>
              <w:t>opierać się na oszacowaniu jakościowych i ilościowych skutków realizacji projektu.</w:t>
            </w:r>
          </w:p>
          <w:p w14:paraId="5A33FBD0" w14:textId="6AD6F837" w:rsidR="00073683" w:rsidRPr="00683C7E" w:rsidRDefault="00073683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Przeprowadzono uproszczoną, wiarygodną analizę kosztów i korzyści:</w:t>
            </w:r>
          </w:p>
          <w:p w14:paraId="07808E14" w14:textId="232C9D73" w:rsidR="00254FD2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przeprowadził syntetyczną, tj. wysokopoziomową analizę,</w:t>
            </w:r>
            <w:r w:rsidR="00254FD2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wyszczególniając wyraźnie główne składniki kosztowe (w tym również koszty związane</w:t>
            </w:r>
            <w:r w:rsidR="00254FD2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z eksploatacją) i wykazał </w:t>
            </w:r>
            <w:r w:rsidR="00694BAA" w:rsidRPr="00683C7E">
              <w:rPr>
                <w:rFonts w:cstheme="minorHAnsi"/>
                <w:b w:val="0"/>
                <w:bCs/>
                <w:szCs w:val="24"/>
              </w:rPr>
              <w:t xml:space="preserve">wymiernie oszacowane </w:t>
            </w:r>
            <w:r w:rsidRPr="00683C7E">
              <w:rPr>
                <w:rFonts w:cstheme="minorHAnsi"/>
                <w:b w:val="0"/>
                <w:bCs/>
                <w:szCs w:val="24"/>
              </w:rPr>
              <w:t>korzyści jakie wiążą się z realizacją e-usługi</w:t>
            </w:r>
            <w:r w:rsidR="003F3A2F" w:rsidRPr="00683C7E">
              <w:rPr>
                <w:rFonts w:cstheme="minorHAnsi"/>
                <w:b w:val="0"/>
                <w:bCs/>
                <w:szCs w:val="24"/>
              </w:rPr>
              <w:t>/systemu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w postaci takiej jak zaplanowano;</w:t>
            </w:r>
          </w:p>
          <w:p w14:paraId="05ED35D5" w14:textId="77777777" w:rsidR="00254FD2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Wykazane koszty są rynkowe i optymalne/racjonalne z punktu widzenia osiągnięcia celu;</w:t>
            </w:r>
          </w:p>
          <w:p w14:paraId="010A9405" w14:textId="77777777" w:rsidR="00F747CC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Wykazane korzyści są realne i oszacowane w wiarygodny sposób</w:t>
            </w:r>
            <w:r w:rsidR="00F747CC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4360F46" w14:textId="459C0AE5" w:rsidR="00073683" w:rsidRPr="00683C7E" w:rsidRDefault="00F747CC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30" w:lineRule="atLeast"/>
              <w:ind w:left="57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Właściwie oszacowano rozwiązanie techniczne, oraz uzasadniono wybór w oparciu o analizę opcji.</w:t>
            </w:r>
          </w:p>
          <w:p w14:paraId="78F49EA9" w14:textId="6C367E27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przypadku, gdy w trakcie oceny spełnienia tego kryterium wydatki, które w ocenie eksperta oceniającego wniosek nie wpisują się w 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>K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atalog wydatków kwalifikowalnych 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>II priorytetu programu Fundusze Europejskie na Rozwój Cyfrowy 2021-2027</w:t>
            </w:r>
            <w:r w:rsidR="00771116" w:rsidRPr="00683C7E">
              <w:rPr>
                <w:rFonts w:cstheme="minorHAnsi"/>
                <w:b w:val="0"/>
                <w:bCs/>
                <w:szCs w:val="24"/>
              </w:rPr>
              <w:t xml:space="preserve"> oraz w Wytyczne dotyczące kwalifikowalności wydatków na lata 2021-2027,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nie przekroczą 5% wydatków pierwotnie wskazanych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nioskodawcę jako kwalifikowalne, projekt uzyska pozytywną ocenę, przy czym umowa o dofinansowanie będzie mogła być podpisana pod warunkiem dostosowania się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nioskodawcy do rekomendacji instytucji organizującej nabór, dotyczącej usunięcia określonych wydatków z wydatków kwalifikowanych. </w:t>
            </w:r>
          </w:p>
          <w:p w14:paraId="5B77AD02" w14:textId="39298696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przypadku, gdy w trakcie oceny tego kryterium wydatki uznane za niekwalifikowalne (tj. wydatki niecelowe, zawyżone, pozbawione uzasadnienia lub </w:t>
            </w: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 xml:space="preserve">z nieadekwatnym uzasadnieniem) nie przekroczą 20% wydatków pierwotnie wskazanych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nioskodawcę jako kwalifikowalne, projekt może uzyskać pozytywną ocenę, przy czym umowa o dofinansowanie będzie mogła być podpisana pod warunkiem dostosowania się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nioskodawcy do rekomendacji instytucji organizującej konkurs dotyczącej usunięcia określonych wydatków z wydatków kwalifikowanych.</w:t>
            </w:r>
          </w:p>
          <w:p w14:paraId="489AF1C9" w14:textId="091D0422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przypadku, gdy wydatki uznane w trakcie oceny tego kryterium za niekwalifikowalne (tj. wydatki niecelowe, zawyżone, pozbawione uzasadnienia lub z nieadekwatnym uzasadnieniem) przekroczą 20% wydatków pierwotnie wskazanych jako kwalifikowalne, projekt uzyska negatywną ocenę.</w:t>
            </w:r>
          </w:p>
          <w:p w14:paraId="7B3A8FE5" w14:textId="39344573" w:rsidR="00073683" w:rsidRPr="00683C7E" w:rsidRDefault="00073683" w:rsidP="0019167D">
            <w:pPr>
              <w:spacing w:after="113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552BB411" w14:textId="25590FFD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Wnioskodawca nie przedstawił uzasadnienia wydatków lub przedstawione uzasadnienie jest niewystarczające, ION może na etapie oceny projektu wezwać do uzupełnienia uzasadnienia wydatków.</w:t>
            </w:r>
          </w:p>
          <w:p w14:paraId="4AC896CA" w14:textId="2897F8D0" w:rsidR="00C14A48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sytuacji, gdy Wnioskodawca popełnił błędy rachunkowe lub inne oczywiste omyłki w analizie finansowej i analizie kosztów i korzyści, ION może na etapie oceny projektu wezwać do ich poprawienia. </w:t>
            </w:r>
          </w:p>
        </w:tc>
        <w:tc>
          <w:tcPr>
            <w:tcW w:w="2240" w:type="dxa"/>
          </w:tcPr>
          <w:p w14:paraId="7215F924" w14:textId="24645255" w:rsidR="00073683" w:rsidRPr="00683C7E" w:rsidRDefault="0073109E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</w:t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kryterium oznacza odrzucenie wniosku)</w:t>
            </w:r>
          </w:p>
        </w:tc>
      </w:tr>
      <w:tr w:rsidR="00073683" w:rsidRPr="009F6CD0" w14:paraId="65631441" w14:textId="5003C719" w:rsidTr="000A6FA4">
        <w:trPr>
          <w:jc w:val="center"/>
        </w:trPr>
        <w:tc>
          <w:tcPr>
            <w:tcW w:w="712" w:type="dxa"/>
          </w:tcPr>
          <w:p w14:paraId="18222DAA" w14:textId="64C73420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69" w:type="dxa"/>
          </w:tcPr>
          <w:p w14:paraId="723E8209" w14:textId="4266C461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Uzyskanie praw do korzystania z oprogramowania w sposób zabezpieczający interesy Wnioskodawcy</w:t>
            </w:r>
          </w:p>
        </w:tc>
        <w:tc>
          <w:tcPr>
            <w:tcW w:w="8363" w:type="dxa"/>
          </w:tcPr>
          <w:p w14:paraId="74BB44D5" w14:textId="4CAC8DB6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 Wnioskodawca przedstawił planowany sposób nabycia praw do wykorzystywanego lub wytwarzanego oprogramowania. W szczególności należy uzasadnić zakup licencji zewnętrznych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 xml:space="preserve"> oraz </w:t>
            </w:r>
            <w:r w:rsidR="00691798" w:rsidRPr="00683C7E">
              <w:rPr>
                <w:rFonts w:cstheme="minorHAnsi"/>
                <w:b w:val="0"/>
                <w:bCs/>
                <w:szCs w:val="24"/>
              </w:rPr>
              <w:t>wy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>korzystani</w:t>
            </w:r>
            <w:r w:rsidR="00691798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 xml:space="preserve"> funkcjonalności chmury obliczeniowej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. Należy </w:t>
            </w: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 xml:space="preserve">wykazać, że są one niezbędne oraz, że niemożliwe lub nieuzasadnione ekonomicznie jest zastąpienie tych licencji oprogramowaniem typu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4F4CA43A" w14:textId="12C564F3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Należy również określić, czy nastąpi publikacja kodu źródłowego i w jaki sposób. W przypadku wytwarzania oprogramowania innego niż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należy wskazać czy zostaną przekazane prawa autorskie do kodu lub czy uzasadniono wybór innego rozwiązania. Jeżeli w ramach realizacji projektów powstaną biblioteki, to również podlegać powinny one przekazaniu wraz z prawami autorskimi do całości wykonanego kodu, algorytmów i procesów biznesowych w nich zawartych. W przypadku zakupu licencji zewnętrznych</w:t>
            </w:r>
            <w:r w:rsidR="001E153B" w:rsidRPr="00683C7E">
              <w:rPr>
                <w:rFonts w:cstheme="minorHAnsi"/>
                <w:b w:val="0"/>
                <w:bCs/>
                <w:szCs w:val="24"/>
              </w:rPr>
              <w:t xml:space="preserve"> oraz usługi chmury obliczeniowej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, należy wykazać, że nie istnieje ryzyko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vendor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lockingu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tj. uzależnienia się od dostawców w głównych - w szczególności kosztowych - aspektach planowanych rozwiązań.</w:t>
            </w:r>
          </w:p>
          <w:p w14:paraId="3778479B" w14:textId="4791AF31" w:rsidR="00B42030" w:rsidRPr="00683C7E" w:rsidRDefault="00B42030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2D65B4CC" w14:textId="09B9C99D" w:rsidR="00073683" w:rsidRPr="00683C7E" w:rsidRDefault="00073683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przedstawiona przez Wnioskodawcę informacja jest niekompletna, ION może na etapie oceny projektu wezwać do jej poprawienia lub uzupełnienia</w:t>
            </w:r>
            <w:r w:rsidR="00C6558B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w szczególności: </w:t>
            </w:r>
          </w:p>
          <w:p w14:paraId="31D5CDED" w14:textId="39BE6BFC" w:rsidR="00073683" w:rsidRPr="00683C7E" w:rsidRDefault="00073683" w:rsidP="0019167D">
            <w:pPr>
              <w:numPr>
                <w:ilvl w:val="0"/>
                <w:numId w:val="77"/>
              </w:numPr>
              <w:spacing w:after="107" w:line="30" w:lineRule="atLeast"/>
              <w:ind w:left="643" w:right="5" w:hanging="11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opisania posiadanych narzędzi informatycznych;</w:t>
            </w:r>
          </w:p>
          <w:p w14:paraId="7249D270" w14:textId="594174BE" w:rsidR="00073683" w:rsidRPr="00683C7E" w:rsidRDefault="00073683" w:rsidP="0019167D">
            <w:pPr>
              <w:numPr>
                <w:ilvl w:val="0"/>
                <w:numId w:val="77"/>
              </w:numPr>
              <w:spacing w:after="3" w:line="30" w:lineRule="atLeast"/>
              <w:ind w:left="643" w:right="5" w:hanging="11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wskazania zakresu funkcji systemów planowanych do wdrożenia w projekcie z wykorzystaniem rozwiązań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30F84B6" w14:textId="10E78B99" w:rsidR="00073683" w:rsidRPr="00683C7E" w:rsidRDefault="00073683" w:rsidP="0019167D">
            <w:pPr>
              <w:numPr>
                <w:ilvl w:val="0"/>
                <w:numId w:val="77"/>
              </w:numPr>
              <w:spacing w:after="3" w:line="30" w:lineRule="atLeast"/>
              <w:ind w:left="643" w:right="5" w:hanging="142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określenia wymogów licencjonowania zewnętrznego oraz wymogów dotyczących oprogramowania standardowego</w:t>
            </w:r>
            <w:r w:rsidR="00C6558B"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240" w:type="dxa"/>
          </w:tcPr>
          <w:p w14:paraId="3BF9EF03" w14:textId="0DE168BB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1190D537" w14:textId="77777777" w:rsidTr="000A6FA4">
        <w:trPr>
          <w:jc w:val="center"/>
        </w:trPr>
        <w:tc>
          <w:tcPr>
            <w:tcW w:w="712" w:type="dxa"/>
          </w:tcPr>
          <w:p w14:paraId="34A675E1" w14:textId="492799F3" w:rsidR="00073683" w:rsidRPr="00DE57A2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69" w:type="dxa"/>
          </w:tcPr>
          <w:p w14:paraId="7105174C" w14:textId="0F49CF74" w:rsidR="00073683" w:rsidRPr="00DE57A2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Zapewnienie jakości oraz bezpieczeństwa 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informacji (teleinformatycznego </w:t>
            </w:r>
            <w:r w:rsidR="00042B1C">
              <w:rPr>
                <w:rFonts w:cstheme="minorHAnsi"/>
                <w:b w:val="0"/>
                <w:bCs/>
                <w:szCs w:val="24"/>
              </w:rPr>
              <w:t xml:space="preserve">w tym 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DE57A2">
              <w:rPr>
                <w:rFonts w:cstheme="minorHAnsi"/>
                <w:b w:val="0"/>
                <w:bCs/>
                <w:szCs w:val="24"/>
              </w:rPr>
              <w:t>oprogramowania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8363" w:type="dxa"/>
          </w:tcPr>
          <w:p w14:paraId="003E98A5" w14:textId="3F2880D4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Celem kryterium jest zapewnienie kontroli oprogramowania pod względem bezpieczeństwa i jakości kodów źródłowych.</w:t>
            </w:r>
          </w:p>
          <w:p w14:paraId="06112250" w14:textId="0FE31CC3" w:rsidR="00073683" w:rsidRPr="00DE57A2" w:rsidRDefault="00073683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DE57A2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czy:</w:t>
            </w:r>
          </w:p>
          <w:p w14:paraId="74A7D15D" w14:textId="389880C6" w:rsidR="00073683" w:rsidRPr="00DE57A2" w:rsidRDefault="00073683" w:rsidP="0019167D">
            <w:pPr>
              <w:numPr>
                <w:ilvl w:val="0"/>
                <w:numId w:val="76"/>
              </w:numPr>
              <w:spacing w:after="146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analizę bezpieczeństwa kodu wytwarzanego oprogramowania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517E0CF" w14:textId="26FE874F" w:rsidR="00073683" w:rsidRPr="00DE57A2" w:rsidRDefault="001E153B" w:rsidP="0019167D">
            <w:pPr>
              <w:numPr>
                <w:ilvl w:val="0"/>
                <w:numId w:val="76"/>
              </w:numPr>
              <w:spacing w:after="35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Przeprowadzona 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>anali</w:t>
            </w:r>
            <w:r w:rsidRPr="00DE57A2">
              <w:rPr>
                <w:rFonts w:cstheme="minorHAnsi"/>
                <w:b w:val="0"/>
                <w:bCs/>
                <w:szCs w:val="24"/>
              </w:rPr>
              <w:t>za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 xml:space="preserve"> rozwiązania zawiera wymagania dotyczące 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systemu 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 xml:space="preserve">bezpieczeństwa 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informacji  w zakresie organizacyjnym i technicznym odpowiednio do specyfiki i zakresu projektu 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0184122" w14:textId="5E7DCDA4" w:rsidR="00073683" w:rsidRPr="00DE57A2" w:rsidRDefault="00073683" w:rsidP="0019167D">
            <w:pPr>
              <w:numPr>
                <w:ilvl w:val="0"/>
                <w:numId w:val="76"/>
              </w:numPr>
              <w:spacing w:after="34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testy penetracyjne kodu i</w:t>
            </w:r>
            <w:r w:rsidR="004F455B"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DE57A2">
              <w:rPr>
                <w:rFonts w:cstheme="minorHAnsi"/>
                <w:b w:val="0"/>
                <w:bCs/>
                <w:szCs w:val="24"/>
              </w:rPr>
              <w:t>środowiska</w:t>
            </w:r>
            <w:r w:rsidR="00E915C9" w:rsidRPr="00DE57A2">
              <w:rPr>
                <w:rFonts w:cstheme="minorHAnsi"/>
                <w:b w:val="0"/>
                <w:bCs/>
                <w:szCs w:val="24"/>
              </w:rPr>
              <w:t>,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 odpowiednie do rozwiązania i przebiegu projektu</w:t>
            </w:r>
            <w:r w:rsidRPr="00DE57A2">
              <w:rPr>
                <w:rFonts w:cstheme="minorHAnsi"/>
                <w:b w:val="0"/>
                <w:bCs/>
                <w:szCs w:val="24"/>
              </w:rPr>
              <w:t>, w którym będzie funkcjonować oprogramowanie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D87B0B0" w14:textId="745169BC" w:rsidR="00073683" w:rsidRPr="00DE57A2" w:rsidRDefault="00073683" w:rsidP="0019167D">
            <w:pPr>
              <w:numPr>
                <w:ilvl w:val="0"/>
                <w:numId w:val="76"/>
              </w:numPr>
              <w:spacing w:after="34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prowadzenie testów automatycznych (tam gdzie to możliwe), a ich zakres będzie opisany w dokumentacji analitycznej oprogramowania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17D0C78" w14:textId="197D1D52" w:rsidR="00073683" w:rsidRPr="00DE57A2" w:rsidRDefault="00073683" w:rsidP="0019167D">
            <w:pPr>
              <w:numPr>
                <w:ilvl w:val="0"/>
                <w:numId w:val="76"/>
              </w:numPr>
              <w:spacing w:after="3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Modularność systemu zapewnia ograniczenie złożoności i pozwoli na łatwiejsze modyfikacje systemu w przyszłości. </w:t>
            </w:r>
          </w:p>
          <w:p w14:paraId="4E319252" w14:textId="6DD23C76" w:rsidR="00B565DD" w:rsidRPr="00DE57A2" w:rsidRDefault="00B565DD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51E34EB2" w14:textId="347C7D92" w:rsidR="001E153B" w:rsidRPr="00DE57A2" w:rsidRDefault="001E153B" w:rsidP="0019167D">
            <w:pPr>
              <w:spacing w:after="113"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W sytuacji, gdy Wnioskodawca nie przedstawił analiz zawierających wymagania bezpieczeństwa informacji, (ION może na etapie oceny projektu wezwać do uzupełnienia dokumentacji aplikacyjnej w tym zakresie</w:t>
            </w:r>
            <w:r w:rsidR="00AE5E30" w:rsidRPr="00DE57A2">
              <w:rPr>
                <w:rFonts w:cstheme="minorHAnsi"/>
                <w:b w:val="0"/>
                <w:bCs/>
                <w:szCs w:val="24"/>
              </w:rPr>
              <w:t>)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65545A31" w14:textId="01B32D73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lastRenderedPageBreak/>
              <w:t xml:space="preserve">W sytuacji, gdy Wnioskodawca nie wskazał podmiotu odpowiedzialnego za przeprowadzenie testów bezpieczeństwa, ION może na etapie oceny projektu wezwać do uzupełnienia dokumentacji aplikacyjnej w tym zakresie.  </w:t>
            </w:r>
          </w:p>
          <w:p w14:paraId="7014FAB7" w14:textId="379C92B3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W sytuacji, gdy Wnioskodawca nie  wskazał metodyki i zakresu zaplanowanych testów, ION może na etapie oceny projektu wezwać do uzupełnienia dokumentacji aplikacyjnej w tym zakresie; </w:t>
            </w:r>
          </w:p>
          <w:p w14:paraId="6B5BA14A" w14:textId="1DA85641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W sytuacji, gdy Wnioskodawca nie opisał zakresu testów i środowiska testowego, ION może na etapie oceny projektu wezwać do uzupełnienia dokumentacji aplikacyjnej w tym zakresie .</w:t>
            </w:r>
          </w:p>
        </w:tc>
        <w:tc>
          <w:tcPr>
            <w:tcW w:w="2240" w:type="dxa"/>
          </w:tcPr>
          <w:p w14:paraId="35477644" w14:textId="5808BD99" w:rsidR="00073683" w:rsidRPr="00683C7E" w:rsidRDefault="0073109E" w:rsidP="0019167D">
            <w:pPr>
              <w:spacing w:after="17"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DE57A2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A4ACF67" w14:textId="0FC16D4C" w:rsidTr="000A6FA4">
        <w:trPr>
          <w:jc w:val="center"/>
        </w:trPr>
        <w:tc>
          <w:tcPr>
            <w:tcW w:w="712" w:type="dxa"/>
          </w:tcPr>
          <w:p w14:paraId="3F494885" w14:textId="5E01CF88" w:rsidR="00073683" w:rsidRPr="000B676B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69" w:type="dxa"/>
          </w:tcPr>
          <w:p w14:paraId="796FF22D" w14:textId="180099AA" w:rsidR="00073683" w:rsidRPr="000B676B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Zapewnienie wysokiej użyteczności funkcjonalnej </w:t>
            </w:r>
            <w:r w:rsidR="00C164AB">
              <w:rPr>
                <w:rFonts w:cstheme="minorHAnsi"/>
                <w:b w:val="0"/>
                <w:bCs/>
                <w:szCs w:val="24"/>
              </w:rPr>
              <w:br/>
            </w:r>
            <w:r w:rsidRPr="000B676B">
              <w:rPr>
                <w:rFonts w:cstheme="minorHAnsi"/>
                <w:b w:val="0"/>
                <w:bCs/>
                <w:szCs w:val="24"/>
              </w:rPr>
              <w:t>e-usługi</w:t>
            </w:r>
            <w:r w:rsidR="00F9738A" w:rsidRPr="000B676B">
              <w:rPr>
                <w:rFonts w:cstheme="minorHAnsi"/>
                <w:b w:val="0"/>
                <w:bCs/>
                <w:szCs w:val="24"/>
              </w:rPr>
              <w:t>/systemu</w:t>
            </w:r>
          </w:p>
        </w:tc>
        <w:tc>
          <w:tcPr>
            <w:tcW w:w="8363" w:type="dxa"/>
          </w:tcPr>
          <w:p w14:paraId="7E54EF33" w14:textId="06837F08" w:rsidR="002B5892" w:rsidRPr="000B676B" w:rsidRDefault="00073683" w:rsidP="0019167D">
            <w:p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czy:</w:t>
            </w:r>
          </w:p>
          <w:p w14:paraId="41527974" w14:textId="5DD5DCE8" w:rsidR="00073683" w:rsidRPr="000B676B" w:rsidRDefault="00073683" w:rsidP="0019167D">
            <w:pPr>
              <w:numPr>
                <w:ilvl w:val="0"/>
                <w:numId w:val="34"/>
              </w:numPr>
              <w:spacing w:after="146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Właściwie zbadano i zdefiniowano potrzeby grupy docelowej rozwiązania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088961B" w14:textId="3532C89D" w:rsidR="00CE2CD6" w:rsidRPr="000B676B" w:rsidRDefault="00CE2CD6" w:rsidP="0019167D">
            <w:pPr>
              <w:numPr>
                <w:ilvl w:val="0"/>
                <w:numId w:val="34"/>
              </w:numPr>
              <w:spacing w:after="146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przedstawił wynik analizy/badania funkcjonalności </w:t>
            </w:r>
            <w:r w:rsidR="00B12925">
              <w:rPr>
                <w:rFonts w:cstheme="minorHAnsi"/>
                <w:b w:val="0"/>
                <w:bCs/>
                <w:szCs w:val="24"/>
              </w:rPr>
              <w:br/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e-usługi/systemu, </w:t>
            </w:r>
            <w:r w:rsidRPr="000B676B">
              <w:rPr>
                <w:rFonts w:cstheme="minorHAnsi"/>
                <w:b w:val="0"/>
                <w:szCs w:val="24"/>
              </w:rPr>
              <w:t>a także - sposobu zapewnienia korzystania z usługi/systemu, również w okresie trwałości. Analiza ta powinna potwierdzać realność i uzasadnienie dla wartości wskaźnika rezultatu i jego utrzymania.</w:t>
            </w:r>
          </w:p>
          <w:p w14:paraId="140A1C87" w14:textId="27ED673B" w:rsidR="00073683" w:rsidRPr="000B676B" w:rsidRDefault="008056A0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Planowane jest zaangażowanie użytkowników końcowych do współpracy na wszystkich istotnych fazach projektowania systemu, tj. od fazy definiowania problemu do fazy opracowania jego rozwiązania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2F52229" w14:textId="151BF414" w:rsidR="00073683" w:rsidRPr="000B676B" w:rsidRDefault="00073683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opisał w jaki sposób, i na którym etapie przewidziane jest testowanie funkcjonalne e-usługi/systemu z docelowym użytkownikiem oraz określił kryteria akceptacji 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>dla kluczowych funkcjonalności e-usługi/systemu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712C64CB" w14:textId="3AF19B8F" w:rsidR="00073683" w:rsidRPr="000B676B" w:rsidRDefault="00073683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lastRenderedPageBreak/>
              <w:t xml:space="preserve">Wnioskodawca opisał w jaki sposób, i na 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 xml:space="preserve">którym </w:t>
            </w:r>
            <w:r w:rsidRPr="000B676B">
              <w:rPr>
                <w:rFonts w:cstheme="minorHAnsi"/>
                <w:b w:val="0"/>
                <w:bCs/>
                <w:szCs w:val="24"/>
              </w:rPr>
              <w:t>etapie będzie badane zadowolenie użytkownik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>ów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z e-usługi/systemu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CEBA81D" w14:textId="7DAD1B96" w:rsidR="00073683" w:rsidRPr="000B676B" w:rsidRDefault="00073683" w:rsidP="0019167D">
            <w:pPr>
              <w:numPr>
                <w:ilvl w:val="0"/>
                <w:numId w:val="34"/>
              </w:numPr>
              <w:spacing w:after="3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przedstawił opis współpracy z przedstawicielami grup </w:t>
            </w:r>
            <w:r w:rsidR="001542F7">
              <w:rPr>
                <w:rFonts w:cstheme="minorHAnsi"/>
                <w:b w:val="0"/>
                <w:bCs/>
                <w:szCs w:val="24"/>
              </w:rPr>
              <w:t xml:space="preserve">docelowych 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w zakresie opracowania „przyjaznego” interfejsu użytkownika i przeprowadzenia testów UX;</w:t>
            </w:r>
          </w:p>
          <w:p w14:paraId="1E651E7F" w14:textId="4DA26D4B" w:rsidR="006131FD" w:rsidRPr="000B676B" w:rsidRDefault="006131FD" w:rsidP="0019167D">
            <w:pPr>
              <w:numPr>
                <w:ilvl w:val="0"/>
                <w:numId w:val="34"/>
              </w:numPr>
              <w:spacing w:after="0" w:line="30" w:lineRule="atLeast"/>
              <w:ind w:right="6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A35722">
              <w:rPr>
                <w:rFonts w:cstheme="minorHAnsi"/>
                <w:b w:val="0"/>
                <w:bCs/>
                <w:szCs w:val="24"/>
              </w:rPr>
              <w:t>*</w:t>
            </w:r>
            <w:r w:rsidR="00A35722" w:rsidRPr="00FD0A95">
              <w:rPr>
                <w:rFonts w:cstheme="minorHAnsi"/>
                <w:b w:val="0"/>
                <w:bCs/>
                <w:szCs w:val="24"/>
              </w:rPr>
              <w:t xml:space="preserve"> Zbadano</w:t>
            </w:r>
            <w:r w:rsidR="00073683" w:rsidRPr="000B676B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7674D2" w:rsidRPr="000B676B">
              <w:rPr>
                <w:rFonts w:cstheme="minorHAnsi"/>
                <w:b w:val="0"/>
                <w:bCs/>
                <w:szCs w:val="24"/>
              </w:rPr>
              <w:t xml:space="preserve">czy istnieją </w:t>
            </w:r>
            <w:r w:rsidR="00073683" w:rsidRPr="000B676B">
              <w:rPr>
                <w:rFonts w:cstheme="minorHAnsi"/>
                <w:b w:val="0"/>
                <w:bCs/>
                <w:szCs w:val="24"/>
              </w:rPr>
              <w:t>e-usługi (produkcyjnie lub w stadium realizacji) o podobnym zakresie funkcjonalnym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.</w:t>
            </w:r>
            <w:r w:rsidR="001643A2" w:rsidRPr="000B676B">
              <w:rPr>
                <w:rFonts w:cstheme="minorHAnsi"/>
                <w:b w:val="0"/>
                <w:bCs/>
                <w:szCs w:val="24"/>
              </w:rPr>
              <w:t xml:space="preserve"> Jeśli istnieją to Wnioskodawca powinien przedstawić uzasadnienie potwierdzające odmienność e-usługi. </w:t>
            </w:r>
          </w:p>
          <w:p w14:paraId="56AA9CB6" w14:textId="7BDA71C7" w:rsidR="00073683" w:rsidRPr="000B676B" w:rsidRDefault="00073683" w:rsidP="0019167D">
            <w:pPr>
              <w:spacing w:after="0" w:line="30" w:lineRule="atLeast"/>
              <w:ind w:right="5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*aspekt </w:t>
            </w:r>
            <w:r w:rsidR="00655E15" w:rsidRPr="000B676B">
              <w:rPr>
                <w:rFonts w:cstheme="minorHAnsi"/>
                <w:b w:val="0"/>
                <w:bCs/>
                <w:szCs w:val="24"/>
              </w:rPr>
              <w:t>g</w:t>
            </w:r>
            <w:r w:rsidRPr="000B676B">
              <w:rPr>
                <w:rFonts w:cstheme="minorHAnsi"/>
                <w:b w:val="0"/>
                <w:bCs/>
                <w:szCs w:val="24"/>
              </w:rPr>
              <w:t>) oceniany tylko w przypadku projektów z zakresu e-usług</w:t>
            </w:r>
          </w:p>
        </w:tc>
        <w:tc>
          <w:tcPr>
            <w:tcW w:w="2240" w:type="dxa"/>
          </w:tcPr>
          <w:p w14:paraId="0A8AB8DB" w14:textId="5C39AED6" w:rsidR="00073683" w:rsidRPr="00683C7E" w:rsidRDefault="0073109E" w:rsidP="000F786B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B3C2F" w:rsidRPr="000B676B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073683" w:rsidRPr="009F6CD0" w14:paraId="50ABC246" w14:textId="06E25E89" w:rsidTr="000A6FA4">
        <w:trPr>
          <w:jc w:val="center"/>
        </w:trPr>
        <w:tc>
          <w:tcPr>
            <w:tcW w:w="712" w:type="dxa"/>
          </w:tcPr>
          <w:p w14:paraId="18E3706B" w14:textId="750846D8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5</w:t>
            </w:r>
          </w:p>
        </w:tc>
        <w:tc>
          <w:tcPr>
            <w:tcW w:w="2969" w:type="dxa"/>
          </w:tcPr>
          <w:p w14:paraId="685C7436" w14:textId="17CC4F06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Metodyka prowadzenia i dokumentowania projektu</w:t>
            </w:r>
          </w:p>
        </w:tc>
        <w:tc>
          <w:tcPr>
            <w:tcW w:w="8363" w:type="dxa"/>
          </w:tcPr>
          <w:p w14:paraId="68EB6C9A" w14:textId="6D28C81D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Wnioskodawca powinien wskazać jaką zastosuje metodykę zarządzania. </w:t>
            </w:r>
          </w:p>
          <w:p w14:paraId="2AB2401D" w14:textId="77777777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Kryterium zostanie uznane ze spełnione jeżeli Wnioskodawca:</w:t>
            </w:r>
          </w:p>
          <w:p w14:paraId="13526F28" w14:textId="7439DA22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Zadeklaruje realizację projektu zgodnie wybraną metodyką realizacji projektu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5C7F041B" w14:textId="656A6D39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Opisze strukturę zespołu projektowego zgodnie z wybraną przez siebie metodyką projektową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F5F79CE" w14:textId="63E959A8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Wnioskodawca powinien wykazać, że w ramach wybranej metodyki prowadzony jest regularny monitoring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zmian oraz postępu w realizacji projektu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1208B6B" w14:textId="5992C853" w:rsidR="0030581B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Zaplanowano przebieg realizacji projektu w taki sposób, aby zapewnić przekazywanie przez wykonawcę znacznej części funkcjonalności w trakcie realizacji, etapami, w formie pozwalającej na ich testowanie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nioskodawcę i przyszłych użytkowników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0685037" w14:textId="77777777" w:rsidR="0030581B" w:rsidRPr="00683C7E" w:rsidRDefault="0030581B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1E5C494D" w14:textId="270F055E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W sytuacji, gdy Wnioskodawca nie wskazał wszystkich informacji wymaganych w zakresie kryterium, ION może na etapie oceny projektu wezwać do uzupełnienia dokumentacji aplikacyjnej w tym zakresie, w szczególności do:</w:t>
            </w:r>
          </w:p>
          <w:p w14:paraId="5574DCBF" w14:textId="2DD8F7B2" w:rsidR="00073683" w:rsidRPr="00683C7E" w:rsidRDefault="00073683" w:rsidP="0019167D">
            <w:pPr>
              <w:numPr>
                <w:ilvl w:val="0"/>
                <w:numId w:val="46"/>
              </w:numPr>
              <w:spacing w:after="161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doprecyzowania/ zmiany liczebności zespołu projektowego;</w:t>
            </w:r>
          </w:p>
          <w:p w14:paraId="27684FCB" w14:textId="77A335E3" w:rsidR="00073683" w:rsidRPr="00683C7E" w:rsidRDefault="00073683" w:rsidP="0019167D">
            <w:pPr>
              <w:numPr>
                <w:ilvl w:val="0"/>
                <w:numId w:val="46"/>
              </w:numPr>
              <w:spacing w:after="160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opisu posiadanych zasobów kadrowych;</w:t>
            </w:r>
          </w:p>
          <w:p w14:paraId="0388C8F9" w14:textId="4B573795" w:rsidR="00073683" w:rsidRPr="00683C7E" w:rsidRDefault="00073683" w:rsidP="0019167D">
            <w:pPr>
              <w:numPr>
                <w:ilvl w:val="0"/>
                <w:numId w:val="46"/>
              </w:numPr>
              <w:spacing w:after="175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opisu sposobu prowadzenia dokumentacji technicznej;</w:t>
            </w:r>
          </w:p>
          <w:p w14:paraId="3DE3366D" w14:textId="50EBDCF7" w:rsidR="00073683" w:rsidRPr="00683C7E" w:rsidRDefault="00073683" w:rsidP="0019167D">
            <w:pPr>
              <w:numPr>
                <w:ilvl w:val="0"/>
                <w:numId w:val="46"/>
              </w:numPr>
              <w:spacing w:after="175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określenia poszczególnych funkcji w zespole projektowym.</w:t>
            </w:r>
          </w:p>
        </w:tc>
        <w:tc>
          <w:tcPr>
            <w:tcW w:w="2240" w:type="dxa"/>
          </w:tcPr>
          <w:p w14:paraId="3551715B" w14:textId="2BF52BEC" w:rsidR="00073683" w:rsidRPr="00683C7E" w:rsidRDefault="0073109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683C7E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0F786B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F786B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26A1BD28" w14:textId="107683C2" w:rsidTr="000A6FA4">
        <w:trPr>
          <w:jc w:val="center"/>
        </w:trPr>
        <w:tc>
          <w:tcPr>
            <w:tcW w:w="712" w:type="dxa"/>
          </w:tcPr>
          <w:p w14:paraId="6848C6A0" w14:textId="6F1BFBB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6</w:t>
            </w:r>
          </w:p>
        </w:tc>
        <w:tc>
          <w:tcPr>
            <w:tcW w:w="2969" w:type="dxa"/>
          </w:tcPr>
          <w:p w14:paraId="4AF8E81A" w14:textId="376F3D4F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Zapewnienie możliwości skutecznej kontroli realizacji projektu</w:t>
            </w:r>
          </w:p>
        </w:tc>
        <w:tc>
          <w:tcPr>
            <w:tcW w:w="8363" w:type="dxa"/>
          </w:tcPr>
          <w:p w14:paraId="197AAB83" w14:textId="6CDBF0AA" w:rsidR="00073683" w:rsidRPr="00683C7E" w:rsidRDefault="00073683" w:rsidP="0019167D">
            <w:pPr>
              <w:spacing w:line="30" w:lineRule="atLeast"/>
              <w:ind w:right="68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 Wnioskodawca zaplanował stosowne do zakresu projektu kamienie milowe powiązane z etapami realizacji projektu umożliwiające skuteczną kontrolę postępów jego realizacji. Kamienie milowe powinny być</w:t>
            </w:r>
            <w:r w:rsidRPr="00683C7E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powiązane z</w:t>
            </w:r>
            <w:r w:rsidR="00FD0A95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Style w:val="ui-provider"/>
                <w:rFonts w:cstheme="minorHAnsi"/>
                <w:b w:val="0"/>
                <w:bCs/>
                <w:szCs w:val="24"/>
              </w:rPr>
              <w:t>wytwarzaniem i wdrażaniem kluczowych Produktów projektu.</w:t>
            </w:r>
            <w:r w:rsidR="00FD0A95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Zidentyfikowano wszystkie istotne ryzyka w projekcie oraz opisano środki zaradcze.</w:t>
            </w:r>
          </w:p>
          <w:p w14:paraId="54232A06" w14:textId="057DB511" w:rsidR="00073683" w:rsidRPr="00683C7E" w:rsidRDefault="00073683" w:rsidP="0019167D">
            <w:pPr>
              <w:spacing w:line="30" w:lineRule="atLeast"/>
              <w:ind w:right="68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Na każde 6 miesięcy realizacji projektu musi przypadać co najmniej jeden kamień milowy.</w:t>
            </w:r>
          </w:p>
          <w:p w14:paraId="3A4C5123" w14:textId="59EE0D9F" w:rsidR="007B0EAD" w:rsidRPr="00683C7E" w:rsidRDefault="007B0EAD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0367CBD3" w14:textId="5A028709" w:rsidR="00073683" w:rsidRPr="00683C7E" w:rsidRDefault="00073683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Wnioskodawca nie przedstawił informacji dotyczących związku kamieni milowych z etapami i produktami projektu, ION może na etapie oceny projektu wezwać Wnioskodawcę do uzupełnienia lub poprawienia Wniosku o dofinansowanie w tym zakresie.</w:t>
            </w:r>
          </w:p>
          <w:p w14:paraId="49ED1093" w14:textId="2E035723" w:rsidR="00425C78" w:rsidRPr="00683C7E" w:rsidRDefault="00425C78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 xml:space="preserve">W przypadku jeśli Wnioskodawca nie zidentyfikował wszystkich istotnych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 xml:space="preserve"> ION może na etapie oceny projektu wezwać Wnioskodawcę do uzupełnienia lub poprawienia Wniosku o dofinansowanie w tym zakresie.</w:t>
            </w:r>
          </w:p>
        </w:tc>
        <w:tc>
          <w:tcPr>
            <w:tcW w:w="2240" w:type="dxa"/>
          </w:tcPr>
          <w:p w14:paraId="2DA958D5" w14:textId="3C3700C6" w:rsidR="00073683" w:rsidRPr="00683C7E" w:rsidRDefault="009F2D6A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D4BB80F" w14:textId="54C1B56D" w:rsidTr="000A6FA4">
        <w:trPr>
          <w:jc w:val="center"/>
        </w:trPr>
        <w:tc>
          <w:tcPr>
            <w:tcW w:w="712" w:type="dxa"/>
          </w:tcPr>
          <w:p w14:paraId="25E274A2" w14:textId="1F951E23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69" w:type="dxa"/>
          </w:tcPr>
          <w:p w14:paraId="7BA1412A" w14:textId="3D4793D0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Ekonomicznie i adekwatnie do potrzeb zaplanowana infrastruktura techniczna</w:t>
            </w:r>
          </w:p>
        </w:tc>
        <w:tc>
          <w:tcPr>
            <w:tcW w:w="8363" w:type="dxa"/>
          </w:tcPr>
          <w:p w14:paraId="03B64CCB" w14:textId="25258792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Celem kryterium jest ocena czy infrastruktura techniczna jest możliwie ekonomiczna i nie generuje niepotrzebnych kosztów, przy pełnym zachowaniu potrzeb bezpieczeństwa oraz skalowalności.</w:t>
            </w:r>
          </w:p>
          <w:p w14:paraId="03ACC6D7" w14:textId="2BCEA523" w:rsidR="00073683" w:rsidRPr="00683C7E" w:rsidRDefault="00073683" w:rsidP="0019167D">
            <w:pPr>
              <w:spacing w:after="141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czy:</w:t>
            </w:r>
          </w:p>
          <w:p w14:paraId="2FF7E393" w14:textId="65074420" w:rsidR="00302FE1" w:rsidRDefault="006C7198" w:rsidP="0032088B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Wykazano</w:t>
            </w:r>
            <w:r w:rsidR="00073683" w:rsidRPr="00683C7E">
              <w:rPr>
                <w:rFonts w:cstheme="minorHAnsi"/>
                <w:b w:val="0"/>
                <w:bCs/>
                <w:szCs w:val="24"/>
              </w:rPr>
              <w:t>, że nie istnieje ryzyko uzależnienia się od dostawców w głównych - w szczególności kosztowo - aspektach planowanych rozwiązań</w:t>
            </w:r>
            <w:r w:rsidR="00D76BF7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9EAA04D" w14:textId="110C6222" w:rsidR="00D76BF7" w:rsidRDefault="00916B24" w:rsidP="00D76BF7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Przeprowadzono analizę w zakresie infrastruktury informatycznej. W przypadku  konieczności inwestycji w  infrastrukturę Wnioskodawca przedstawił uzasadnieni</w:t>
            </w:r>
            <w:r w:rsidR="00936137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konieczności nabycia nowej infrastruktury informatycznej</w:t>
            </w:r>
            <w:r w:rsidR="00936137" w:rsidRPr="00683C7E">
              <w:rPr>
                <w:rFonts w:cstheme="minorHAnsi"/>
                <w:b w:val="0"/>
                <w:bCs/>
                <w:szCs w:val="24"/>
              </w:rPr>
              <w:t xml:space="preserve"> w kontekście celów projektu oraz potwierdził brak </w:t>
            </w:r>
            <w:r w:rsidR="00936137" w:rsidRPr="00683C7E">
              <w:t>wystarczających zasobów w administracji publicznej niezbędnych do tworzenia lub funkcjonowania e-usług/</w:t>
            </w:r>
            <w:r w:rsidR="009E3AAC" w:rsidRPr="00683C7E">
              <w:t xml:space="preserve"> systemu</w:t>
            </w:r>
            <w:r w:rsidR="00936137" w:rsidRPr="00683C7E">
              <w:t>.</w:t>
            </w:r>
          </w:p>
          <w:p w14:paraId="3BD62377" w14:textId="231D66A7" w:rsidR="00162C8F" w:rsidRDefault="00765B58" w:rsidP="00D76BF7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1A4772">
              <w:rPr>
                <w:rFonts w:cstheme="minorHAnsi"/>
                <w:b w:val="0"/>
                <w:bCs/>
                <w:szCs w:val="24"/>
              </w:rPr>
              <w:t xml:space="preserve">W przypadku planowania w projekcie budowy centrum przetwarzania danych dokonano analizy potrzeb, z której wynikać będzie, że posiadane zasoby infrastrukturalne są niewystarczające. W projektach tych zastosowanie będą </w:t>
            </w:r>
            <w:r w:rsidRPr="001A4772">
              <w:rPr>
                <w:rFonts w:cstheme="minorHAnsi"/>
                <w:b w:val="0"/>
                <w:bCs/>
                <w:szCs w:val="24"/>
              </w:rPr>
              <w:lastRenderedPageBreak/>
              <w:t xml:space="preserve">miały przepisy krajowe i unijne dotyczące </w:t>
            </w:r>
            <w:proofErr w:type="spellStart"/>
            <w:r w:rsidRPr="001A4772">
              <w:rPr>
                <w:rFonts w:cstheme="minorHAnsi"/>
                <w:b w:val="0"/>
                <w:bCs/>
                <w:szCs w:val="24"/>
              </w:rPr>
              <w:t>ekoprojektów</w:t>
            </w:r>
            <w:proofErr w:type="spellEnd"/>
            <w:r w:rsidRPr="001A4772">
              <w:rPr>
                <w:rFonts w:cstheme="minorHAnsi"/>
                <w:b w:val="0"/>
                <w:bCs/>
                <w:szCs w:val="24"/>
              </w:rPr>
              <w:t xml:space="preserve"> dla serwerów oraz produktów do przechowywania danych</w:t>
            </w:r>
            <w:r w:rsidRPr="00765B58">
              <w:rPr>
                <w:rFonts w:cstheme="minorHAnsi"/>
                <w:b w:val="0"/>
                <w:bCs/>
                <w:szCs w:val="24"/>
                <w:vertAlign w:val="superscript"/>
              </w:rPr>
              <w:footnoteReference w:id="7"/>
            </w:r>
            <w:r w:rsidRPr="001A4772">
              <w:rPr>
                <w:rFonts w:cstheme="minorHAnsi"/>
                <w:b w:val="0"/>
                <w:bCs/>
                <w:szCs w:val="24"/>
              </w:rPr>
              <w:t>.</w:t>
            </w:r>
            <w:r w:rsidR="00D76BF7">
              <w:rPr>
                <w:rFonts w:cstheme="minorHAnsi"/>
                <w:b w:val="0"/>
                <w:bCs/>
                <w:szCs w:val="24"/>
              </w:rPr>
              <w:t>*</w:t>
            </w:r>
          </w:p>
          <w:p w14:paraId="744DF20C" w14:textId="33B1EE97" w:rsidR="00D76BF7" w:rsidRPr="00683C7E" w:rsidRDefault="00D76BF7" w:rsidP="0032088B">
            <w:pPr>
              <w:spacing w:after="34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* aspekt c) podlega ocenie tylko jeśli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w projekcie</w:t>
            </w:r>
            <w:r>
              <w:rPr>
                <w:rFonts w:cstheme="minorHAnsi"/>
                <w:b w:val="0"/>
                <w:bCs/>
                <w:szCs w:val="24"/>
              </w:rPr>
              <w:t xml:space="preserve"> przewidziana jest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budow</w:t>
            </w:r>
            <w:r>
              <w:rPr>
                <w:rFonts w:cstheme="minorHAnsi"/>
                <w:b w:val="0"/>
                <w:bCs/>
                <w:szCs w:val="24"/>
              </w:rPr>
              <w:t>a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centrum przetwarzania danych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="000F786B">
              <w:rPr>
                <w:rFonts w:cstheme="minorHAnsi"/>
                <w:b w:val="0"/>
                <w:bCs/>
                <w:szCs w:val="24"/>
              </w:rPr>
              <w:br/>
            </w:r>
            <w:r w:rsidRPr="004B1543">
              <w:rPr>
                <w:rFonts w:cstheme="minorHAnsi"/>
                <w:b w:val="0"/>
                <w:bCs/>
                <w:szCs w:val="24"/>
              </w:rPr>
              <w:t>(</w:t>
            </w:r>
            <w:r w:rsidR="000F786B">
              <w:rPr>
                <w:rFonts w:cstheme="minorHAnsi"/>
                <w:b w:val="0"/>
                <w:bCs/>
                <w:szCs w:val="24"/>
              </w:rPr>
              <w:t xml:space="preserve">w </w:t>
            </w:r>
            <w:r w:rsidRPr="004B1543">
              <w:rPr>
                <w:rFonts w:cstheme="minorHAnsi"/>
                <w:b w:val="0"/>
                <w:bCs/>
                <w:szCs w:val="24"/>
              </w:rPr>
              <w:t>pr</w:t>
            </w:r>
            <w:r>
              <w:rPr>
                <w:rFonts w:cstheme="minorHAnsi"/>
                <w:b w:val="0"/>
                <w:bCs/>
                <w:szCs w:val="24"/>
              </w:rPr>
              <w:t>zypadku negatywnej oceny w aspekcie b) oraz c) (jeśli dotyczy) kryterium zostanie uznane za niepełnione</w:t>
            </w:r>
            <w:r w:rsidRPr="004B1543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2240" w:type="dxa"/>
          </w:tcPr>
          <w:p w14:paraId="2659EC78" w14:textId="17D020E7" w:rsidR="00EF28D3" w:rsidRPr="009F6CD0" w:rsidRDefault="00D76BF7" w:rsidP="0019167D">
            <w:pPr>
              <w:spacing w:line="30" w:lineRule="atLeast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32088B">
              <w:rPr>
                <w:rFonts w:cstheme="minorHAnsi"/>
                <w:b w:val="0"/>
                <w:bCs/>
                <w:szCs w:val="24"/>
              </w:rPr>
              <w:lastRenderedPageBreak/>
              <w:t xml:space="preserve">TAK/NIE </w:t>
            </w:r>
            <w:r w:rsidRPr="0032088B">
              <w:rPr>
                <w:rFonts w:cstheme="minorHAnsi"/>
                <w:b w:val="0"/>
                <w:bCs/>
                <w:szCs w:val="24"/>
              </w:rPr>
              <w:br/>
            </w:r>
            <w:r w:rsidRPr="0032088B">
              <w:rPr>
                <w:rFonts w:cstheme="minorHAnsi"/>
                <w:b w:val="0"/>
                <w:bCs/>
                <w:szCs w:val="24"/>
              </w:rPr>
              <w:br/>
              <w:t>(niespełnienie kryterium oznacza odrzucenie wniosku)</w:t>
            </w:r>
          </w:p>
        </w:tc>
      </w:tr>
      <w:tr w:rsidR="00073683" w:rsidRPr="009F6CD0" w14:paraId="202837A4" w14:textId="1749D30B" w:rsidTr="000A6FA4">
        <w:trPr>
          <w:trHeight w:val="930"/>
          <w:jc w:val="center"/>
        </w:trPr>
        <w:tc>
          <w:tcPr>
            <w:tcW w:w="712" w:type="dxa"/>
          </w:tcPr>
          <w:p w14:paraId="4A66C474" w14:textId="61DE44D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8</w:t>
            </w:r>
          </w:p>
        </w:tc>
        <w:tc>
          <w:tcPr>
            <w:tcW w:w="2969" w:type="dxa"/>
          </w:tcPr>
          <w:p w14:paraId="638B75AC" w14:textId="4E2ABB26" w:rsidR="00073683" w:rsidRPr="00683C7E" w:rsidRDefault="00073683" w:rsidP="0019167D">
            <w:pPr>
              <w:spacing w:line="30" w:lineRule="atLeast"/>
              <w:rPr>
                <w:rStyle w:val="normaltextrun"/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Zaplanowanie działań i zasobów zapewniających skuteczne wdrożenie i bezpieczne utrzymanie systemu (infrastruktura</w:t>
            </w:r>
            <w:r w:rsidR="005B09F9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,</w:t>
            </w:r>
            <w:r w:rsidR="00676C9E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oprogramowanie</w:t>
            </w:r>
            <w:r w:rsidR="005B09F9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, zasoby kadrowe</w:t>
            </w: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8363" w:type="dxa"/>
          </w:tcPr>
          <w:p w14:paraId="3E75F27E" w14:textId="75C9EC56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czy:</w:t>
            </w:r>
          </w:p>
          <w:p w14:paraId="5E2BFF7B" w14:textId="5B7BC757" w:rsidR="00B21F1D" w:rsidRPr="00FD0A95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wskazał w jaki sposób jest planowane utrzymanie systemu przy zachowaniu wymaganego poziomu efektywności oraz bezpieczeństwa informacji w perspektywie 5 lat po zakończeniu projektu</w:t>
            </w:r>
            <w:r w:rsidR="009333C7">
              <w:rPr>
                <w:rFonts w:cstheme="minorHAnsi"/>
                <w:b w:val="0"/>
                <w:bCs/>
                <w:szCs w:val="24"/>
              </w:rPr>
              <w:t xml:space="preserve"> tj.: </w:t>
            </w:r>
            <w:r w:rsidR="00B21F1D" w:rsidRPr="00FD0A95">
              <w:rPr>
                <w:rFonts w:cstheme="minorHAnsi"/>
                <w:b w:val="0"/>
                <w:bCs/>
                <w:szCs w:val="24"/>
              </w:rPr>
              <w:t>Wnioskodawca przedstawił i zaplanował strukturę zarządzania i realizacji</w:t>
            </w:r>
          </w:p>
          <w:p w14:paraId="7A7183B1" w14:textId="61CCB41D" w:rsidR="00073683" w:rsidRPr="00FD0A95" w:rsidRDefault="00B21F1D" w:rsidP="0019167D">
            <w:pPr>
              <w:pStyle w:val="Akapitzlist"/>
              <w:spacing w:line="30" w:lineRule="atLeast"/>
              <w:ind w:left="355" w:right="5"/>
              <w:rPr>
                <w:rFonts w:cstheme="minorHAnsi"/>
                <w:b w:val="0"/>
                <w:bCs/>
                <w:szCs w:val="24"/>
              </w:rPr>
            </w:pPr>
            <w:r w:rsidRPr="00B21F1D">
              <w:rPr>
                <w:rFonts w:cstheme="minorHAnsi"/>
                <w:b w:val="0"/>
                <w:bCs/>
                <w:szCs w:val="24"/>
              </w:rPr>
              <w:t>projektu po swojej stronie oraz czy zaplanowane zasoby zapewniają ciągłość realizacji celów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FD0A95">
              <w:rPr>
                <w:rFonts w:cstheme="minorHAnsi"/>
                <w:b w:val="0"/>
                <w:bCs/>
                <w:szCs w:val="24"/>
              </w:rPr>
              <w:t>projektu w okresie jego trwałości.</w:t>
            </w:r>
          </w:p>
          <w:p w14:paraId="7F194B98" w14:textId="7474B951" w:rsidR="00BA63C9" w:rsidRPr="00683C7E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Poprawnie przeprowadzono analizę wykonalności</w:t>
            </w:r>
            <w:r w:rsidR="00B21F1D">
              <w:rPr>
                <w:rFonts w:cstheme="minorHAnsi"/>
                <w:b w:val="0"/>
                <w:bCs/>
                <w:szCs w:val="24"/>
              </w:rPr>
              <w:t xml:space="preserve"> tj.:</w:t>
            </w:r>
            <w:r w:rsidR="004A1B6F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Wnioskodawca przeanalizował i wykazał wykonalność projektu w kontekście</w:t>
            </w:r>
            <w:r w:rsidR="00B21F1D" w:rsidRPr="00FD0A95">
              <w:rPr>
                <w:rFonts w:cstheme="minorHAnsi"/>
                <w:b w:val="0"/>
                <w:szCs w:val="24"/>
              </w:rPr>
              <w:br/>
              <w:t>zaplanowanych zasobów</w:t>
            </w:r>
            <w:r w:rsidR="000F786B">
              <w:rPr>
                <w:rFonts w:cstheme="minorHAnsi"/>
                <w:b w:val="0"/>
                <w:szCs w:val="24"/>
              </w:rPr>
              <w:t>.</w:t>
            </w:r>
          </w:p>
          <w:p w14:paraId="1194C799" w14:textId="2C2F28D4" w:rsidR="00BA63C9" w:rsidRPr="00683C7E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Planowane utrzymanie zapewni możliwość dostosowywania systemu do zmieniającego się otoczenia</w:t>
            </w:r>
            <w:r w:rsidR="009333C7">
              <w:rPr>
                <w:rFonts w:cstheme="minorHAnsi"/>
                <w:b w:val="0"/>
                <w:bCs/>
                <w:szCs w:val="24"/>
              </w:rPr>
              <w:t xml:space="preserve"> tj.:</w:t>
            </w:r>
            <w:r w:rsidR="00B21F1D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Wnioskodawca opisa</w:t>
            </w:r>
            <w:r w:rsidR="009333C7">
              <w:rPr>
                <w:rFonts w:cstheme="minorHAnsi"/>
                <w:b w:val="0"/>
                <w:szCs w:val="24"/>
              </w:rPr>
              <w:t>ł</w:t>
            </w:r>
            <w:r w:rsidR="00B21F1D" w:rsidRPr="00FD0A95">
              <w:rPr>
                <w:rFonts w:cstheme="minorHAnsi"/>
                <w:b w:val="0"/>
                <w:szCs w:val="24"/>
              </w:rPr>
              <w:t xml:space="preserve"> sposób, w jaki zapewnione zostanie finansowanie i zasoby na</w:t>
            </w:r>
            <w:r w:rsidR="00B21F1D" w:rsidRPr="00FD0A95">
              <w:rPr>
                <w:rFonts w:cstheme="minorHAnsi"/>
                <w:b w:val="0"/>
                <w:szCs w:val="24"/>
              </w:rPr>
              <w:br/>
            </w:r>
            <w:r w:rsidR="00B21F1D" w:rsidRPr="00FD0A95">
              <w:rPr>
                <w:rFonts w:cstheme="minorHAnsi"/>
                <w:b w:val="0"/>
                <w:szCs w:val="24"/>
              </w:rPr>
              <w:lastRenderedPageBreak/>
              <w:t xml:space="preserve">dostosowanie systemu do zmieniającego się otoczenia prawnego </w:t>
            </w:r>
            <w:r w:rsidR="000F786B" w:rsidRPr="00FD0A95">
              <w:rPr>
                <w:rFonts w:cstheme="minorHAnsi"/>
                <w:b w:val="0"/>
                <w:szCs w:val="24"/>
              </w:rPr>
              <w:t>i</w:t>
            </w:r>
            <w:r w:rsidR="000F786B">
              <w:rPr>
                <w:rFonts w:cstheme="minorHAnsi"/>
                <w:b w:val="0"/>
                <w:szCs w:val="24"/>
              </w:rPr>
              <w:t> </w:t>
            </w:r>
            <w:r w:rsidR="00B21F1D" w:rsidRPr="00FD0A95">
              <w:rPr>
                <w:rFonts w:cstheme="minorHAnsi"/>
                <w:b w:val="0"/>
                <w:szCs w:val="24"/>
              </w:rPr>
              <w:t>organizacyjnego w okresie</w:t>
            </w:r>
            <w:r w:rsidR="00B21F1D">
              <w:rPr>
                <w:rFonts w:cstheme="minorHAnsi"/>
                <w:b w:val="0"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realizacji i okresie trwałości projektu</w:t>
            </w:r>
            <w:r w:rsidR="000F786B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782E3806" w14:textId="787923CB" w:rsidR="00BE729D" w:rsidRPr="00683C7E" w:rsidRDefault="00073683" w:rsidP="0032088B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</w:pPr>
            <w:r w:rsidRPr="00683C7E">
              <w:rPr>
                <w:rFonts w:cstheme="minorHAnsi"/>
                <w:b w:val="0"/>
                <w:bCs/>
                <w:szCs w:val="24"/>
              </w:rPr>
              <w:t>Etap utrzymania ma zapewnione zasoby</w:t>
            </w:r>
            <w:r w:rsidR="005B09F9" w:rsidRPr="00683C7E">
              <w:rPr>
                <w:rFonts w:cstheme="minorHAnsi"/>
                <w:b w:val="0"/>
                <w:bCs/>
                <w:szCs w:val="24"/>
              </w:rPr>
              <w:t xml:space="preserve"> finansowe i organizacyjne (kadrowe)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na poziomie pozwalającym na stabilne użytkowanie</w:t>
            </w:r>
            <w:r w:rsidR="004A1B6F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9333C7">
              <w:rPr>
                <w:rFonts w:cstheme="minorHAnsi"/>
                <w:b w:val="0"/>
                <w:bCs/>
                <w:szCs w:val="24"/>
              </w:rPr>
              <w:t>tj.:</w:t>
            </w:r>
            <w:r w:rsidR="00933554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933554" w:rsidRPr="00FD0A95">
              <w:rPr>
                <w:rFonts w:cstheme="minorHAnsi"/>
                <w:b w:val="0"/>
                <w:szCs w:val="24"/>
              </w:rPr>
              <w:t>Wnioskodawca zapewnił odpowiednie zasoby ludzkie i finansowe na</w:t>
            </w:r>
            <w:r w:rsidR="00933554" w:rsidRPr="00FD0A95">
              <w:rPr>
                <w:rFonts w:cstheme="minorHAnsi"/>
                <w:b w:val="0"/>
                <w:szCs w:val="24"/>
              </w:rPr>
              <w:br/>
              <w:t>poziomie pozwalającym na stabilne użytkowanie w okresie trwałości projektu</w:t>
            </w:r>
            <w:r w:rsidR="009333C7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240" w:type="dxa"/>
          </w:tcPr>
          <w:p w14:paraId="06321395" w14:textId="31F4BFA4" w:rsidR="00073683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088B">
              <w:rPr>
                <w:rFonts w:cstheme="minorHAnsi"/>
                <w:bCs/>
              </w:rPr>
              <w:lastRenderedPageBreak/>
              <w:t xml:space="preserve">TAK/NIE </w:t>
            </w:r>
            <w:r w:rsidRPr="0032088B">
              <w:rPr>
                <w:rFonts w:cstheme="minorHAnsi"/>
                <w:bCs/>
              </w:rPr>
              <w:br/>
            </w:r>
            <w:r w:rsidRPr="0032088B">
              <w:rPr>
                <w:rFonts w:cstheme="minorHAnsi"/>
                <w:bCs/>
              </w:rPr>
              <w:br/>
              <w:t>(niespełnienie kryterium oznacza odrzucenie wniosku)</w:t>
            </w:r>
          </w:p>
        </w:tc>
      </w:tr>
      <w:tr w:rsidR="000F786B" w:rsidRPr="009F6CD0" w14:paraId="3ECF7D9A" w14:textId="77777777" w:rsidTr="000A6FA4">
        <w:trPr>
          <w:trHeight w:val="930"/>
          <w:jc w:val="center"/>
        </w:trPr>
        <w:tc>
          <w:tcPr>
            <w:tcW w:w="712" w:type="dxa"/>
          </w:tcPr>
          <w:p w14:paraId="33C50A4B" w14:textId="6431C4A1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19</w:t>
            </w:r>
          </w:p>
        </w:tc>
        <w:tc>
          <w:tcPr>
            <w:tcW w:w="2969" w:type="dxa"/>
          </w:tcPr>
          <w:p w14:paraId="29289D37" w14:textId="27DC0C8B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Wykorzystanie publicznej lub rządowej architektury chmurowej</w:t>
            </w:r>
          </w:p>
        </w:tc>
        <w:tc>
          <w:tcPr>
            <w:tcW w:w="8363" w:type="dxa"/>
          </w:tcPr>
          <w:p w14:paraId="7BFD05D4" w14:textId="3A3D75A1" w:rsidR="006471AE" w:rsidRPr="006471AE" w:rsidRDefault="006471AE" w:rsidP="006471AE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W ramach kryterium weryfikowane będzie czy przewidziano wykorzystanie publicznej lub rządowej architektury chmurowej jako głównego rozwiązania infrastrukturalnego lub uzasadniono konieczność innego wyboru (od 0 do 2 pkt)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03DBCA7" w14:textId="25571288" w:rsidR="006471AE" w:rsidRDefault="006471AE" w:rsidP="006471AE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0 pkt - Brak informacji w tym zakresie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4D59DDD" w14:textId="3BB1AA40" w:rsidR="006471AE" w:rsidRPr="006471A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1 pkt – zastosowanie jako głównego innego rozwiązania infrastrukturalnego niż publiczna lub rządowa architektura chmurowa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162402C7" w14:textId="228EA8D4" w:rsidR="000F786B" w:rsidRPr="00683C7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2 pkt - wykorzystanie publicznej lub rządowej architektury chmurowej jako głównego rozwiązania infrastrukturalnego.</w:t>
            </w:r>
          </w:p>
        </w:tc>
        <w:tc>
          <w:tcPr>
            <w:tcW w:w="2240" w:type="dxa"/>
          </w:tcPr>
          <w:p w14:paraId="7E8B3DD1" w14:textId="519464B3" w:rsidR="000F786B" w:rsidRPr="006471AE" w:rsidRDefault="006471A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t>Ocena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0</w:t>
            </w:r>
            <w:r>
              <w:rPr>
                <w:rFonts w:cstheme="minorHAnsi"/>
                <w:b w:val="0"/>
                <w:bCs/>
                <w:szCs w:val="24"/>
              </w:rPr>
              <w:t>, 1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szCs w:val="24"/>
              </w:rPr>
              <w:t>lub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szCs w:val="24"/>
              </w:rPr>
              <w:t>2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y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(0 punktów nie oznacza niespełnienie kryterium)</w:t>
            </w:r>
          </w:p>
        </w:tc>
      </w:tr>
      <w:tr w:rsidR="000F786B" w:rsidRPr="009F6CD0" w14:paraId="2609677B" w14:textId="77777777" w:rsidTr="000A6FA4">
        <w:trPr>
          <w:trHeight w:val="930"/>
          <w:jc w:val="center"/>
        </w:trPr>
        <w:tc>
          <w:tcPr>
            <w:tcW w:w="712" w:type="dxa"/>
          </w:tcPr>
          <w:p w14:paraId="4879CE78" w14:textId="1A009777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20</w:t>
            </w:r>
          </w:p>
        </w:tc>
        <w:tc>
          <w:tcPr>
            <w:tcW w:w="2969" w:type="dxa"/>
          </w:tcPr>
          <w:p w14:paraId="03F2A392" w14:textId="39CA0EE3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Integracja </w:t>
            </w: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br/>
              <w:t>e-usług/systemów obszarowych</w:t>
            </w:r>
          </w:p>
        </w:tc>
        <w:tc>
          <w:tcPr>
            <w:tcW w:w="8363" w:type="dxa"/>
          </w:tcPr>
          <w:p w14:paraId="4F27B90C" w14:textId="77777777" w:rsidR="006471AE" w:rsidRPr="006471AE" w:rsidRDefault="006471AE" w:rsidP="006471AE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W ramach kryterium weryfikowane jest czy projekt umożliwia integrację istniejących już e-usług/systemów obszarowych, w kompleksowe procesy.</w:t>
            </w:r>
          </w:p>
          <w:p w14:paraId="41F2E35E" w14:textId="560FFC2C" w:rsidR="006471AE" w:rsidRPr="006471AE" w:rsidRDefault="006471AE" w:rsidP="006471AE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0 pkt – projekt nie umożliwia integracji istniejących już e-usług/systemów obszarowych w kompleksowe procesy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E79C094" w14:textId="1E09571B" w:rsidR="000F786B" w:rsidRPr="00683C7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lastRenderedPageBreak/>
              <w:t>5 pkt – projekt umożliwia integrację istniejących już e-usług/systemów obszarowych w kompleksowe procesy.</w:t>
            </w:r>
          </w:p>
        </w:tc>
        <w:tc>
          <w:tcPr>
            <w:tcW w:w="2240" w:type="dxa"/>
          </w:tcPr>
          <w:p w14:paraId="6FDDAB81" w14:textId="06B7C10E" w:rsidR="000F786B" w:rsidRPr="006471AE" w:rsidRDefault="006471A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lastRenderedPageBreak/>
              <w:t>Ocena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0</w:t>
            </w:r>
            <w:r>
              <w:rPr>
                <w:rFonts w:cstheme="minorHAnsi"/>
                <w:b w:val="0"/>
                <w:bCs/>
                <w:szCs w:val="24"/>
              </w:rPr>
              <w:t xml:space="preserve"> lub 5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punktów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(0 punktów nie </w:t>
            </w:r>
            <w:r w:rsidRPr="008953D5">
              <w:rPr>
                <w:rFonts w:cstheme="minorHAnsi"/>
                <w:b w:val="0"/>
                <w:bCs/>
                <w:szCs w:val="24"/>
              </w:rPr>
              <w:lastRenderedPageBreak/>
              <w:t>oznacza niespełnienie kryterium)</w:t>
            </w:r>
          </w:p>
        </w:tc>
      </w:tr>
      <w:tr w:rsidR="000F786B" w:rsidRPr="009F6CD0" w14:paraId="4042AEC7" w14:textId="77777777" w:rsidTr="000A6FA4">
        <w:trPr>
          <w:trHeight w:val="930"/>
          <w:jc w:val="center"/>
        </w:trPr>
        <w:tc>
          <w:tcPr>
            <w:tcW w:w="712" w:type="dxa"/>
          </w:tcPr>
          <w:p w14:paraId="3D6BD3D5" w14:textId="02B10DCA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21</w:t>
            </w:r>
          </w:p>
        </w:tc>
        <w:tc>
          <w:tcPr>
            <w:tcW w:w="2969" w:type="dxa"/>
          </w:tcPr>
          <w:p w14:paraId="6CAA56DC" w14:textId="0E16BBC9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>Usługi realizowane w ramach</w:t>
            </w:r>
            <w:r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>projektu będą powszechnie</w:t>
            </w: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br/>
              <w:t>wykorzystywane</w:t>
            </w:r>
          </w:p>
        </w:tc>
        <w:tc>
          <w:tcPr>
            <w:tcW w:w="8363" w:type="dxa"/>
          </w:tcPr>
          <w:p w14:paraId="32BF0C28" w14:textId="27BA5D38" w:rsidR="000F786B" w:rsidRDefault="000F786B" w:rsidP="000F786B">
            <w:pPr>
              <w:spacing w:after="141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W ramach kryterium weryfikowane jest </w:t>
            </w:r>
            <w:r w:rsidRPr="003B6F1E">
              <w:rPr>
                <w:rStyle w:val="ui-provider"/>
                <w:b w:val="0"/>
                <w:bCs/>
              </w:rPr>
              <w:t xml:space="preserve">czy wnioskodawca </w:t>
            </w:r>
            <w:r w:rsidRPr="0004226D">
              <w:rPr>
                <w:rStyle w:val="ui-provider"/>
                <w:b w:val="0"/>
                <w:bCs/>
              </w:rPr>
              <w:t>p</w:t>
            </w:r>
            <w:r w:rsidRPr="003B6F1E">
              <w:rPr>
                <w:rStyle w:val="ui-provider"/>
                <w:b w:val="0"/>
                <w:bCs/>
              </w:rPr>
              <w:t xml:space="preserve">rzedstawił </w:t>
            </w:r>
            <w:r>
              <w:rPr>
                <w:rStyle w:val="ui-provider"/>
                <w:b w:val="0"/>
                <w:bCs/>
              </w:rPr>
              <w:t>rzet</w:t>
            </w:r>
            <w:r w:rsidRPr="003B6F1E">
              <w:rPr>
                <w:rStyle w:val="ui-provider"/>
                <w:b w:val="0"/>
                <w:bCs/>
              </w:rPr>
              <w:t>eln</w:t>
            </w:r>
            <w:r>
              <w:rPr>
                <w:rStyle w:val="ui-provider"/>
                <w:b w:val="0"/>
                <w:bCs/>
              </w:rPr>
              <w:t>ą analizę i</w:t>
            </w:r>
            <w:r w:rsidRPr="003B6F1E">
              <w:rPr>
                <w:rStyle w:val="ui-provider"/>
                <w:b w:val="0"/>
                <w:bCs/>
              </w:rPr>
              <w:t xml:space="preserve"> wykazał,</w:t>
            </w:r>
            <w:r>
              <w:rPr>
                <w:rStyle w:val="ui-provider"/>
              </w:rPr>
              <w:t xml:space="preserve"> </w:t>
            </w:r>
            <w:r w:rsidRPr="003B6F1E">
              <w:rPr>
                <w:rStyle w:val="ui-provider"/>
                <w:b w:val="0"/>
                <w:bCs/>
              </w:rPr>
              <w:t xml:space="preserve">że co najmniej jedna z usług A2B, A2C objętych projektem </w:t>
            </w:r>
            <w:r w:rsidRPr="00FF1E87">
              <w:rPr>
                <w:rFonts w:cstheme="minorHAnsi"/>
                <w:b w:val="0"/>
                <w:bCs/>
                <w:szCs w:val="24"/>
              </w:rPr>
              <w:t xml:space="preserve">na co najmniej </w:t>
            </w:r>
            <w:r>
              <w:rPr>
                <w:rFonts w:cstheme="minorHAnsi"/>
                <w:b w:val="0"/>
                <w:bCs/>
                <w:szCs w:val="24"/>
              </w:rPr>
              <w:t>czwartym</w:t>
            </w:r>
            <w:r w:rsidRPr="00FF1E87">
              <w:rPr>
                <w:rFonts w:cstheme="minorHAnsi"/>
                <w:b w:val="0"/>
                <w:bCs/>
                <w:szCs w:val="24"/>
              </w:rPr>
              <w:t xml:space="preserve"> poziomie e-dojrzałości</w:t>
            </w:r>
            <w:r w:rsidRPr="00C23072">
              <w:rPr>
                <w:rStyle w:val="ui-provider"/>
                <w:b w:val="0"/>
                <w:bCs/>
              </w:rPr>
              <w:t xml:space="preserve"> </w:t>
            </w:r>
            <w:r w:rsidRPr="003B6F1E">
              <w:rPr>
                <w:rStyle w:val="ui-provider"/>
                <w:b w:val="0"/>
                <w:bCs/>
              </w:rPr>
              <w:t>będzie powszechnie wykorzystywana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tzn. że jest skierowana do licznej lub często korzystającej grupy </w:t>
            </w:r>
            <w:r>
              <w:rPr>
                <w:rFonts w:cstheme="minorHAnsi"/>
                <w:b w:val="0"/>
                <w:bCs/>
                <w:szCs w:val="24"/>
              </w:rPr>
              <w:t>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oraz</w:t>
            </w:r>
            <w:r>
              <w:rPr>
                <w:rFonts w:cstheme="minorHAnsi"/>
                <w:b w:val="0"/>
                <w:bCs/>
                <w:szCs w:val="24"/>
              </w:rPr>
              <w:t xml:space="preserve">, </w:t>
            </w:r>
            <w:r w:rsidRPr="003B6F1E">
              <w:rPr>
                <w:rFonts w:cstheme="minorHAnsi"/>
                <w:b w:val="0"/>
                <w:bCs/>
                <w:szCs w:val="24"/>
              </w:rPr>
              <w:t>że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B6F1E">
              <w:rPr>
                <w:rFonts w:cstheme="minorHAnsi"/>
                <w:b w:val="0"/>
                <w:bCs/>
                <w:szCs w:val="24"/>
              </w:rPr>
              <w:t>istnieje znaczne prawdopodobieństwo, że będzie wykorzystywana przez znaczny odsetek danej grupy</w:t>
            </w:r>
            <w:r>
              <w:rPr>
                <w:rFonts w:cstheme="minorHAnsi"/>
                <w:b w:val="0"/>
                <w:bCs/>
                <w:szCs w:val="24"/>
              </w:rPr>
              <w:t xml:space="preserve"> 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66422336" w14:textId="77777777" w:rsidR="000F786B" w:rsidRDefault="000F786B" w:rsidP="000F786B">
            <w:p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Jeżeli usługa A2B/A2C na co najmniej czwartym poziomie e-dojrzałości wskazana przez wnioskodawcę generuje znaczne korzyści dla grupy </w:t>
            </w:r>
            <w:r>
              <w:rPr>
                <w:rFonts w:cstheme="minorHAnsi"/>
                <w:b w:val="0"/>
                <w:bCs/>
                <w:szCs w:val="24"/>
              </w:rPr>
              <w:t>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(zgodnie z </w:t>
            </w:r>
            <w:r>
              <w:rPr>
                <w:rFonts w:cstheme="minorHAnsi"/>
                <w:b w:val="0"/>
                <w:bCs/>
                <w:szCs w:val="24"/>
              </w:rPr>
              <w:t>rzetelnie przeprowadzoną analizą</w:t>
            </w:r>
            <w:r w:rsidRPr="003B6F1E">
              <w:rPr>
                <w:rFonts w:cstheme="minorHAnsi"/>
                <w:b w:val="0"/>
                <w:bCs/>
                <w:szCs w:val="24"/>
              </w:rPr>
              <w:t>), projekt otrzyma punkty:</w:t>
            </w:r>
          </w:p>
          <w:p w14:paraId="124DAFCD" w14:textId="2C63D860" w:rsidR="000F786B" w:rsidRPr="003B6F1E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 xml:space="preserve">1000000 razy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– </w:t>
            </w:r>
            <w:r>
              <w:rPr>
                <w:rFonts w:cstheme="minorHAnsi"/>
                <w:b w:val="0"/>
                <w:bCs/>
                <w:szCs w:val="24"/>
              </w:rPr>
              <w:t>5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ów</w:t>
            </w:r>
            <w:r w:rsidRPr="003B6F1E">
              <w:rPr>
                <w:rFonts w:cstheme="minorHAnsi"/>
                <w:b w:val="0"/>
                <w:bCs/>
                <w:szCs w:val="24"/>
              </w:rPr>
              <w:t>,</w:t>
            </w:r>
          </w:p>
          <w:p w14:paraId="495E1580" w14:textId="0D70B039" w:rsidR="000F786B" w:rsidRPr="003B6F1E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 xml:space="preserve">500000 razy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– </w:t>
            </w:r>
            <w:r>
              <w:rPr>
                <w:rFonts w:cstheme="minorHAnsi"/>
                <w:b w:val="0"/>
                <w:bCs/>
                <w:szCs w:val="24"/>
              </w:rPr>
              <w:t>3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y</w:t>
            </w:r>
            <w:r w:rsidRPr="003B6F1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96BBB06" w14:textId="372529EA" w:rsidR="000F786B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>100000 razy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– 1 punk</w:t>
            </w:r>
            <w:r>
              <w:rPr>
                <w:rFonts w:cstheme="minorHAnsi"/>
                <w:b w:val="0"/>
                <w:bCs/>
                <w:szCs w:val="24"/>
              </w:rPr>
              <w:t>t</w:t>
            </w:r>
            <w:r w:rsidRPr="003B6F1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5DD336DF" w14:textId="6CDF54FF" w:rsidR="000F786B" w:rsidRPr="00683C7E" w:rsidRDefault="000F786B" w:rsidP="000F786B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jeżeli rocznie usługa (po jej uruchomieniu) będzie wykorzystywana mniej niż 100000 razy lub nie zaprezentowano rzetelnej analizy – 0 punktów.</w:t>
            </w:r>
          </w:p>
        </w:tc>
        <w:tc>
          <w:tcPr>
            <w:tcW w:w="2240" w:type="dxa"/>
          </w:tcPr>
          <w:p w14:paraId="0AECFA15" w14:textId="489432C6" w:rsidR="000F786B" w:rsidRPr="006471AE" w:rsidRDefault="000F786B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t>Ocena</w:t>
            </w:r>
            <w:r>
              <w:rPr>
                <w:rFonts w:cstheme="minorHAnsi"/>
                <w:b w:val="0"/>
                <w:bCs/>
                <w:szCs w:val="24"/>
              </w:rPr>
              <w:t>: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  <w:t>0, 1, 3 lub 5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</w:t>
            </w:r>
            <w:r>
              <w:rPr>
                <w:rFonts w:cstheme="minorHAnsi"/>
                <w:b w:val="0"/>
                <w:bCs/>
                <w:szCs w:val="24"/>
              </w:rPr>
              <w:t>tów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(0 punktów nie oznacza niespełnienie kryterium)</w:t>
            </w:r>
          </w:p>
        </w:tc>
      </w:tr>
    </w:tbl>
    <w:p w14:paraId="4C51A0C2" w14:textId="77777777" w:rsidR="00991197" w:rsidRPr="00683C7E" w:rsidRDefault="00991197" w:rsidP="00991197">
      <w:pPr>
        <w:spacing w:before="120" w:line="30" w:lineRule="atLeast"/>
        <w:rPr>
          <w:rFonts w:cstheme="minorHAnsi"/>
          <w:b w:val="0"/>
          <w:bCs/>
          <w:szCs w:val="24"/>
        </w:rPr>
      </w:pPr>
      <w:r w:rsidRPr="00683C7E">
        <w:rPr>
          <w:rFonts w:cstheme="minorHAnsi"/>
          <w:b w:val="0"/>
          <w:bCs/>
          <w:szCs w:val="24"/>
        </w:rPr>
        <w:t>W sytuacji, gdy kwota przeznaczona na dofinansowanie projektów nie będzie wystarczająca na dofinansowanie wszystkich projektów tak samo ocenionych, o wyborze projektów do dofinansowania, decydować będzie zgodnie z kolejnością:</w:t>
      </w:r>
    </w:p>
    <w:p w14:paraId="72910126" w14:textId="19E0EFB3" w:rsidR="00991197" w:rsidRDefault="00991197" w:rsidP="00991197">
      <w:pPr>
        <w:pStyle w:val="Akapitzlist"/>
        <w:numPr>
          <w:ilvl w:val="0"/>
          <w:numId w:val="74"/>
        </w:numPr>
        <w:spacing w:before="120" w:after="120" w:line="30" w:lineRule="atLeast"/>
        <w:ind w:left="318" w:hanging="357"/>
        <w:contextualSpacing w:val="0"/>
        <w:rPr>
          <w:rFonts w:cstheme="minorHAnsi"/>
          <w:b w:val="0"/>
          <w:bCs/>
          <w:szCs w:val="24"/>
        </w:rPr>
      </w:pPr>
      <w:r w:rsidRPr="00683C7E">
        <w:rPr>
          <w:rFonts w:cstheme="minorHAnsi"/>
          <w:b w:val="0"/>
          <w:bCs/>
          <w:szCs w:val="24"/>
        </w:rPr>
        <w:lastRenderedPageBreak/>
        <w:t>Punktacja przyznana w następujących kryteriach merytorycznych:</w:t>
      </w:r>
    </w:p>
    <w:p w14:paraId="0B15CF30" w14:textId="77777777" w:rsidR="00991197" w:rsidRPr="00991197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Wykorzystanie publicznej lub rządowej architektury chmurowej (kryterium nr 19)</w:t>
      </w:r>
    </w:p>
    <w:p w14:paraId="5EBA2BFE" w14:textId="77777777" w:rsidR="00991197" w:rsidRPr="00991197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Integracja e-usług obszarowych (kryterium nr 20)</w:t>
      </w:r>
    </w:p>
    <w:p w14:paraId="65585F32" w14:textId="64FCA65E" w:rsidR="00991197" w:rsidRPr="0032088B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Usługi realizowane w ramach projektu będą powszechnie wykorzystywane (kryterium nr 21)</w:t>
      </w:r>
    </w:p>
    <w:p w14:paraId="280E4916" w14:textId="61FD03BC" w:rsidR="00D065FC" w:rsidRPr="0032088B" w:rsidRDefault="00991197" w:rsidP="0032088B">
      <w:pPr>
        <w:pStyle w:val="Akapitzlist"/>
        <w:numPr>
          <w:ilvl w:val="0"/>
          <w:numId w:val="74"/>
        </w:numPr>
        <w:spacing w:before="120" w:after="120" w:line="30" w:lineRule="atLeast"/>
        <w:ind w:left="318" w:hanging="357"/>
        <w:contextualSpacing w:val="0"/>
        <w:rPr>
          <w:rFonts w:cstheme="minorHAnsi"/>
          <w:b w:val="0"/>
          <w:bCs/>
          <w:szCs w:val="24"/>
        </w:rPr>
      </w:pPr>
      <w:r w:rsidRPr="0032088B">
        <w:rPr>
          <w:rFonts w:cstheme="minorHAnsi"/>
          <w:b w:val="0"/>
          <w:bCs/>
          <w:color w:val="000000" w:themeColor="text1"/>
          <w:szCs w:val="24"/>
        </w:rPr>
        <w:t xml:space="preserve">W </w:t>
      </w:r>
      <w:r w:rsidRPr="0032088B">
        <w:rPr>
          <w:rFonts w:cstheme="minorHAnsi"/>
          <w:b w:val="0"/>
          <w:bCs/>
          <w:szCs w:val="24"/>
        </w:rPr>
        <w:t>przypadku</w:t>
      </w:r>
      <w:r w:rsidRPr="0032088B">
        <w:rPr>
          <w:rFonts w:cstheme="minorHAnsi"/>
          <w:b w:val="0"/>
          <w:bCs/>
          <w:color w:val="000000" w:themeColor="text1"/>
          <w:szCs w:val="24"/>
        </w:rPr>
        <w:t>, jeśli Wnioskodawcy w ramach wskazanych kryteriów w pkt 1 otrzymali również taką samą liczbę punktów o przyznaniu dofinansowania będzie decydować data złożenia wniosku o dofinansowanie tj.: wniosek, który został najwcześniej złożony zostanie wybrany do dofinansowania.</w:t>
      </w:r>
    </w:p>
    <w:sectPr w:rsidR="00D065FC" w:rsidRPr="0032088B" w:rsidSect="003F43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EB3D" w14:textId="77777777" w:rsidR="00AF26C0" w:rsidRDefault="00AF26C0" w:rsidP="00E41765">
      <w:pPr>
        <w:spacing w:after="0" w:line="240" w:lineRule="auto"/>
      </w:pPr>
      <w:r>
        <w:separator/>
      </w:r>
    </w:p>
  </w:endnote>
  <w:endnote w:type="continuationSeparator" w:id="0">
    <w:p w14:paraId="76EC7EAE" w14:textId="77777777" w:rsidR="00AF26C0" w:rsidRDefault="00AF26C0" w:rsidP="00E41765">
      <w:pPr>
        <w:spacing w:after="0" w:line="240" w:lineRule="auto"/>
      </w:pPr>
      <w:r>
        <w:continuationSeparator/>
      </w:r>
    </w:p>
  </w:endnote>
  <w:endnote w:type="continuationNotice" w:id="1">
    <w:p w14:paraId="3BED3643" w14:textId="77777777" w:rsidR="00AF26C0" w:rsidRDefault="00AF2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DC54" w14:textId="77777777" w:rsidR="009A5678" w:rsidRDefault="009A5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10732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74ABE77E" w14:textId="06C4ED81" w:rsidR="009A5678" w:rsidRPr="00DD6229" w:rsidRDefault="009A5678">
        <w:pPr>
          <w:pStyle w:val="Stopka"/>
          <w:jc w:val="right"/>
          <w:rPr>
            <w:b w:val="0"/>
            <w:bCs/>
          </w:rPr>
        </w:pPr>
        <w:r w:rsidRPr="00DD6229">
          <w:rPr>
            <w:b w:val="0"/>
            <w:bCs/>
          </w:rPr>
          <w:fldChar w:fldCharType="begin"/>
        </w:r>
        <w:r w:rsidRPr="00DD6229">
          <w:rPr>
            <w:b w:val="0"/>
            <w:bCs/>
          </w:rPr>
          <w:instrText>PAGE   \* MERGEFORMAT</w:instrText>
        </w:r>
        <w:r w:rsidRPr="00DD6229">
          <w:rPr>
            <w:b w:val="0"/>
            <w:bCs/>
          </w:rPr>
          <w:fldChar w:fldCharType="separate"/>
        </w:r>
        <w:r w:rsidRPr="00DD6229">
          <w:rPr>
            <w:b w:val="0"/>
            <w:bCs/>
          </w:rPr>
          <w:t>2</w:t>
        </w:r>
        <w:r w:rsidRPr="00DD6229">
          <w:rPr>
            <w:b w:val="0"/>
            <w:bCs/>
          </w:rPr>
          <w:fldChar w:fldCharType="end"/>
        </w:r>
      </w:p>
    </w:sdtContent>
  </w:sdt>
  <w:p w14:paraId="67738A73" w14:textId="2D2175D9" w:rsidR="004B1543" w:rsidRDefault="004B1543" w:rsidP="008F0D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20A0" w14:textId="77777777" w:rsidR="009A5678" w:rsidRDefault="009A5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1DA1" w14:textId="77777777" w:rsidR="00AF26C0" w:rsidRDefault="00AF26C0" w:rsidP="00E41765">
      <w:pPr>
        <w:spacing w:after="0" w:line="240" w:lineRule="auto"/>
      </w:pPr>
      <w:r>
        <w:separator/>
      </w:r>
    </w:p>
  </w:footnote>
  <w:footnote w:type="continuationSeparator" w:id="0">
    <w:p w14:paraId="4D4D9FD5" w14:textId="77777777" w:rsidR="00AF26C0" w:rsidRDefault="00AF26C0" w:rsidP="00E41765">
      <w:pPr>
        <w:spacing w:after="0" w:line="240" w:lineRule="auto"/>
      </w:pPr>
      <w:r>
        <w:continuationSeparator/>
      </w:r>
    </w:p>
  </w:footnote>
  <w:footnote w:type="continuationNotice" w:id="1">
    <w:p w14:paraId="43F0DB3A" w14:textId="77777777" w:rsidR="00AF26C0" w:rsidRDefault="00AF26C0">
      <w:pPr>
        <w:spacing w:after="0" w:line="240" w:lineRule="auto"/>
      </w:pPr>
    </w:p>
  </w:footnote>
  <w:footnote w:id="2">
    <w:p w14:paraId="15F3DFB5" w14:textId="68B7EC57" w:rsidR="004B1543" w:rsidRPr="00683C7E" w:rsidRDefault="004B1543" w:rsidP="004F2605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Szczegółowy Opis Priorytetów Programu Fundusze Europejskie na Rozwój Cyfrowy na lata 2021-2027 w wersji aktualnej na dzień rozpoczęcia naboru. Przypis odnosi się do wszystkich kryteriów, w których znajdują się odwołania do SZOP. </w:t>
      </w:r>
      <w:bookmarkStart w:id="2" w:name="_Hlk132711617"/>
      <w:r w:rsidRPr="00683C7E">
        <w:rPr>
          <w:b w:val="0"/>
          <w:bCs/>
          <w:sz w:val="24"/>
          <w:szCs w:val="24"/>
        </w:rPr>
        <w:t>Lista potencjalnych beneficjentów została określona w opisie działania 2.1.</w:t>
      </w:r>
      <w:bookmarkEnd w:id="2"/>
    </w:p>
  </w:footnote>
  <w:footnote w:id="3">
    <w:p w14:paraId="04901346" w14:textId="04DCF8A8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</w:t>
      </w:r>
      <w:r w:rsidRPr="00683C7E">
        <w:rPr>
          <w:sz w:val="24"/>
          <w:szCs w:val="24"/>
        </w:rPr>
        <w:t xml:space="preserve"> </w:t>
      </w:r>
      <w:r w:rsidRPr="00683C7E">
        <w:rPr>
          <w:b w:val="0"/>
          <w:bCs/>
          <w:sz w:val="24"/>
          <w:szCs w:val="24"/>
        </w:rPr>
        <w:t>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</w:footnote>
  <w:footnote w:id="4">
    <w:p w14:paraId="264012F6" w14:textId="77777777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Do No </w:t>
      </w:r>
      <w:proofErr w:type="spellStart"/>
      <w:r w:rsidRPr="00683C7E">
        <w:rPr>
          <w:b w:val="0"/>
          <w:bCs/>
          <w:sz w:val="24"/>
          <w:szCs w:val="24"/>
        </w:rPr>
        <w:t>Significant</w:t>
      </w:r>
      <w:proofErr w:type="spellEnd"/>
      <w:r w:rsidRPr="00683C7E">
        <w:rPr>
          <w:b w:val="0"/>
          <w:bCs/>
          <w:sz w:val="24"/>
          <w:szCs w:val="24"/>
        </w:rPr>
        <w:t xml:space="preserve"> </w:t>
      </w:r>
      <w:proofErr w:type="spellStart"/>
      <w:r w:rsidRPr="00683C7E">
        <w:rPr>
          <w:b w:val="0"/>
          <w:bCs/>
          <w:sz w:val="24"/>
          <w:szCs w:val="24"/>
        </w:rPr>
        <w:t>Harm</w:t>
      </w:r>
      <w:proofErr w:type="spellEnd"/>
    </w:p>
  </w:footnote>
  <w:footnote w:id="5">
    <w:p w14:paraId="36F574F8" w14:textId="77777777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Kryterium oceniane w przypadku projektów dotyczących cyfryzacji procesów </w:t>
      </w:r>
      <w:proofErr w:type="spellStart"/>
      <w:r w:rsidRPr="00683C7E">
        <w:rPr>
          <w:b w:val="0"/>
          <w:bCs/>
          <w:sz w:val="24"/>
          <w:szCs w:val="24"/>
        </w:rPr>
        <w:t>back-office</w:t>
      </w:r>
      <w:proofErr w:type="spellEnd"/>
      <w:r w:rsidRPr="00683C7E">
        <w:rPr>
          <w:b w:val="0"/>
          <w:bCs/>
          <w:sz w:val="24"/>
          <w:szCs w:val="24"/>
        </w:rPr>
        <w:t>.</w:t>
      </w:r>
    </w:p>
  </w:footnote>
  <w:footnote w:id="6">
    <w:p w14:paraId="0F9C2601" w14:textId="2C3BE840" w:rsidR="004B1543" w:rsidRPr="00683C7E" w:rsidRDefault="004B1543" w:rsidP="005A1B47">
      <w:pPr>
        <w:pStyle w:val="Tekstprzypisudolnego"/>
        <w:rPr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Kryterium </w:t>
      </w:r>
      <w:r w:rsidR="006C0061">
        <w:rPr>
          <w:b w:val="0"/>
          <w:bCs/>
          <w:sz w:val="24"/>
          <w:szCs w:val="24"/>
        </w:rPr>
        <w:t>oceniane w przypadku projektów dotyczących wdrażania lub modernizacji e-usług</w:t>
      </w:r>
      <w:r w:rsidRPr="00683C7E">
        <w:rPr>
          <w:b w:val="0"/>
          <w:bCs/>
          <w:sz w:val="24"/>
          <w:szCs w:val="24"/>
        </w:rPr>
        <w:t>.</w:t>
      </w:r>
    </w:p>
  </w:footnote>
  <w:footnote w:id="7">
    <w:p w14:paraId="5F344765" w14:textId="77777777" w:rsidR="004B1543" w:rsidRPr="00683C7E" w:rsidRDefault="004B1543" w:rsidP="00765B58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Rozporządzenie Komisji (UE) 2019/424 z dnia 15 marca 2019 r. ustanawiające wymogi dotyczące </w:t>
      </w:r>
      <w:proofErr w:type="spellStart"/>
      <w:r w:rsidRPr="00683C7E">
        <w:rPr>
          <w:b w:val="0"/>
          <w:bCs/>
          <w:sz w:val="24"/>
          <w:szCs w:val="24"/>
        </w:rPr>
        <w:t>ekoprojektu</w:t>
      </w:r>
      <w:proofErr w:type="spellEnd"/>
      <w:r w:rsidRPr="00683C7E">
        <w:rPr>
          <w:b w:val="0"/>
          <w:bCs/>
          <w:sz w:val="24"/>
          <w:szCs w:val="24"/>
        </w:rPr>
        <w:t xml:space="preserve"> dla serwerów i produktów do przechowywania danych zgodnie z dyrektywą Parlamentu Europejskiego i Rady 2009/125/WE oraz zmieniające rozporządzenie Komisji (UE) nr 617/2013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F418" w14:textId="77777777" w:rsidR="009A5678" w:rsidRDefault="009A5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4B1543" w14:paraId="6DE4315A" w14:textId="77777777" w:rsidTr="008C2F69">
      <w:tc>
        <w:tcPr>
          <w:tcW w:w="4665" w:type="dxa"/>
        </w:tcPr>
        <w:p w14:paraId="499C3C91" w14:textId="4AFFE180" w:rsidR="004B1543" w:rsidRDefault="004B1543" w:rsidP="008C2F69">
          <w:pPr>
            <w:pStyle w:val="Nagwek"/>
            <w:ind w:left="-115"/>
          </w:pPr>
        </w:p>
      </w:tc>
      <w:tc>
        <w:tcPr>
          <w:tcW w:w="4665" w:type="dxa"/>
        </w:tcPr>
        <w:p w14:paraId="3EF49078" w14:textId="68A4AB54" w:rsidR="004B1543" w:rsidRDefault="004B1543" w:rsidP="008C2F69">
          <w:pPr>
            <w:pStyle w:val="Nagwek"/>
            <w:jc w:val="center"/>
          </w:pPr>
        </w:p>
      </w:tc>
      <w:tc>
        <w:tcPr>
          <w:tcW w:w="4665" w:type="dxa"/>
        </w:tcPr>
        <w:p w14:paraId="0ED0F6F1" w14:textId="0A9D176F" w:rsidR="004B1543" w:rsidRDefault="004B1543" w:rsidP="008C2F69">
          <w:pPr>
            <w:pStyle w:val="Nagwek"/>
            <w:ind w:right="-115"/>
            <w:jc w:val="right"/>
          </w:pPr>
        </w:p>
      </w:tc>
    </w:tr>
  </w:tbl>
  <w:p w14:paraId="2E1C5869" w14:textId="69752AE7" w:rsidR="004B1543" w:rsidRDefault="003F43B7" w:rsidP="003F43B7">
    <w:pPr>
      <w:pStyle w:val="Nagwek"/>
      <w:jc w:val="center"/>
    </w:pPr>
    <w:r>
      <w:rPr>
        <w:noProof/>
      </w:rPr>
      <w:drawing>
        <wp:inline distT="0" distB="0" distL="0" distR="0" wp14:anchorId="4EFBC6B8" wp14:editId="62215672">
          <wp:extent cx="5803200" cy="828000"/>
          <wp:effectExtent l="0" t="0" r="0" b="0"/>
          <wp:docPr id="2" name="Obraz 2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2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A299" w14:textId="77777777" w:rsidR="009A5678" w:rsidRDefault="009A5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3EE"/>
    <w:multiLevelType w:val="hybridMultilevel"/>
    <w:tmpl w:val="187CA204"/>
    <w:lvl w:ilvl="0" w:tplc="A4C0E7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C34B9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A0B"/>
    <w:multiLevelType w:val="hybridMultilevel"/>
    <w:tmpl w:val="750CAA68"/>
    <w:lvl w:ilvl="0" w:tplc="04150017">
      <w:start w:val="1"/>
      <w:numFmt w:val="lowerLetter"/>
      <w:lvlText w:val="%1)"/>
      <w:lvlJc w:val="left"/>
      <w:pPr>
        <w:ind w:left="72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F2D2A"/>
    <w:multiLevelType w:val="hybridMultilevel"/>
    <w:tmpl w:val="F04C3E00"/>
    <w:lvl w:ilvl="0" w:tplc="0F50C6DC">
      <w:start w:val="1"/>
      <w:numFmt w:val="lowerLetter"/>
      <w:lvlText w:val="%1)"/>
      <w:lvlJc w:val="left"/>
      <w:pPr>
        <w:ind w:left="35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0B2C3FCD"/>
    <w:multiLevelType w:val="hybridMultilevel"/>
    <w:tmpl w:val="AE6A8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9F4"/>
    <w:multiLevelType w:val="hybridMultilevel"/>
    <w:tmpl w:val="CD06FBB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2F01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262B15"/>
    <w:multiLevelType w:val="hybridMultilevel"/>
    <w:tmpl w:val="014AD5F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F38BE"/>
    <w:multiLevelType w:val="hybridMultilevel"/>
    <w:tmpl w:val="28BCF98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A607D"/>
    <w:multiLevelType w:val="hybridMultilevel"/>
    <w:tmpl w:val="B57E1C6C"/>
    <w:lvl w:ilvl="0" w:tplc="0415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10BE749F"/>
    <w:multiLevelType w:val="hybridMultilevel"/>
    <w:tmpl w:val="C2FA8FEA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FA7632"/>
    <w:multiLevelType w:val="hybridMultilevel"/>
    <w:tmpl w:val="55644898"/>
    <w:lvl w:ilvl="0" w:tplc="B3B49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B3622"/>
    <w:multiLevelType w:val="hybridMultilevel"/>
    <w:tmpl w:val="00F4E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65C02"/>
    <w:multiLevelType w:val="hybridMultilevel"/>
    <w:tmpl w:val="2C08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D5438D"/>
    <w:multiLevelType w:val="hybridMultilevel"/>
    <w:tmpl w:val="43103976"/>
    <w:lvl w:ilvl="0" w:tplc="DD800272">
      <w:start w:val="1"/>
      <w:numFmt w:val="lowerLetter"/>
      <w:lvlText w:val="%1)"/>
      <w:lvlJc w:val="left"/>
      <w:pPr>
        <w:ind w:left="567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5D7110"/>
    <w:multiLevelType w:val="hybridMultilevel"/>
    <w:tmpl w:val="885EEFC2"/>
    <w:lvl w:ilvl="0" w:tplc="6EB465AA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492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6FB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E4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E3F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89A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C67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879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47F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F134EE"/>
    <w:multiLevelType w:val="hybridMultilevel"/>
    <w:tmpl w:val="93A21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C6407"/>
    <w:multiLevelType w:val="hybridMultilevel"/>
    <w:tmpl w:val="6AC69764"/>
    <w:lvl w:ilvl="0" w:tplc="7F1A6D88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C132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C6BD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2A5E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45EA2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4ED6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A38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8261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CF8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5C7E1C"/>
    <w:multiLevelType w:val="hybridMultilevel"/>
    <w:tmpl w:val="3F68F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47825"/>
    <w:multiLevelType w:val="hybridMultilevel"/>
    <w:tmpl w:val="C6C61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9A223D"/>
    <w:multiLevelType w:val="hybridMultilevel"/>
    <w:tmpl w:val="6DCED66E"/>
    <w:lvl w:ilvl="0" w:tplc="B5FC20C4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30A0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EAD3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AA3AA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B87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49B2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2F9B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C94A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C12B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B29EB"/>
    <w:multiLevelType w:val="hybridMultilevel"/>
    <w:tmpl w:val="B23AEFFA"/>
    <w:lvl w:ilvl="0" w:tplc="87764B3C"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1FD96FA5"/>
    <w:multiLevelType w:val="hybridMultilevel"/>
    <w:tmpl w:val="EEB2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82C7C"/>
    <w:multiLevelType w:val="hybridMultilevel"/>
    <w:tmpl w:val="4D8670E6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0A80937"/>
    <w:multiLevelType w:val="hybridMultilevel"/>
    <w:tmpl w:val="479CAB7A"/>
    <w:lvl w:ilvl="0" w:tplc="EEA48C14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6FF3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AADD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A1E4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6C3E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A61F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8CF6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8615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487D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50960A"/>
    <w:multiLevelType w:val="multilevel"/>
    <w:tmpl w:val="F04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E3373"/>
    <w:multiLevelType w:val="hybridMultilevel"/>
    <w:tmpl w:val="D74E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728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7006B79"/>
    <w:multiLevelType w:val="hybridMultilevel"/>
    <w:tmpl w:val="D9B8F5DE"/>
    <w:lvl w:ilvl="0" w:tplc="96302ECE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 w15:restartNumberingAfterBreak="0">
    <w:nsid w:val="273008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8B73204"/>
    <w:multiLevelType w:val="hybridMultilevel"/>
    <w:tmpl w:val="04580D94"/>
    <w:lvl w:ilvl="0" w:tplc="579EE28A">
      <w:start w:val="1"/>
      <w:numFmt w:val="lowerLetter"/>
      <w:lvlText w:val="%1)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AC2B8">
      <w:start w:val="1"/>
      <w:numFmt w:val="lowerLetter"/>
      <w:lvlText w:val="%2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C994E">
      <w:start w:val="1"/>
      <w:numFmt w:val="bullet"/>
      <w:lvlText w:val=""/>
      <w:lvlJc w:val="left"/>
      <w:pPr>
        <w:ind w:left="1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07A54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A9566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D54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E002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60DC8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0EFC6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8EE7373"/>
    <w:multiLevelType w:val="hybridMultilevel"/>
    <w:tmpl w:val="9F28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25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56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C27C97"/>
    <w:multiLevelType w:val="hybridMultilevel"/>
    <w:tmpl w:val="5F9C4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102DA5"/>
    <w:multiLevelType w:val="hybridMultilevel"/>
    <w:tmpl w:val="A1DAC6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E456FF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E594F1E"/>
    <w:multiLevelType w:val="hybridMultilevel"/>
    <w:tmpl w:val="D0C6C2E2"/>
    <w:lvl w:ilvl="0" w:tplc="036A74B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0CC9E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2ADB8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ED37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0AE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2D28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206C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C2DB2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C768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EFA6066"/>
    <w:multiLevelType w:val="multilevel"/>
    <w:tmpl w:val="FE4C5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D5297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AC5788"/>
    <w:multiLevelType w:val="hybridMultilevel"/>
    <w:tmpl w:val="E21AA9B4"/>
    <w:lvl w:ilvl="0" w:tplc="E21CE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A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F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9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5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E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CA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F15053"/>
    <w:multiLevelType w:val="hybridMultilevel"/>
    <w:tmpl w:val="BD66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BF121D"/>
    <w:multiLevelType w:val="hybridMultilevel"/>
    <w:tmpl w:val="AA6676FA"/>
    <w:lvl w:ilvl="0" w:tplc="F3FCA990">
      <w:start w:val="1"/>
      <w:numFmt w:val="lowerLetter"/>
      <w:lvlText w:val="%1)"/>
      <w:lvlJc w:val="left"/>
      <w:pPr>
        <w:ind w:left="85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5EA1DA3"/>
    <w:multiLevelType w:val="hybridMultilevel"/>
    <w:tmpl w:val="7DE06694"/>
    <w:lvl w:ilvl="0" w:tplc="E1CCD9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5FB28CB"/>
    <w:multiLevelType w:val="hybridMultilevel"/>
    <w:tmpl w:val="7AF81D28"/>
    <w:lvl w:ilvl="0" w:tplc="12D60906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E88E2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A93A8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0902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2B5C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84DF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8017C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26CA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1D00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EA1E6C"/>
    <w:multiLevelType w:val="hybridMultilevel"/>
    <w:tmpl w:val="A9022A42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9" w15:restartNumberingAfterBreak="0">
    <w:nsid w:val="39B34D59"/>
    <w:multiLevelType w:val="hybridMultilevel"/>
    <w:tmpl w:val="37DEBA18"/>
    <w:lvl w:ilvl="0" w:tplc="C7EE84A6">
      <w:start w:val="1"/>
      <w:numFmt w:val="lowerLetter"/>
      <w:lvlText w:val="%1)"/>
      <w:lvlJc w:val="left"/>
      <w:pPr>
        <w:ind w:left="72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FF7607"/>
    <w:multiLevelType w:val="hybridMultilevel"/>
    <w:tmpl w:val="80A0D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A570D"/>
    <w:multiLevelType w:val="hybridMultilevel"/>
    <w:tmpl w:val="A61ADC90"/>
    <w:lvl w:ilvl="0" w:tplc="38C2CCE2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053C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C7E0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E39DE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4776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EDAE6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CC26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8C8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8A0C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FF01639"/>
    <w:multiLevelType w:val="hybridMultilevel"/>
    <w:tmpl w:val="972CE3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425325DF"/>
    <w:multiLevelType w:val="hybridMultilevel"/>
    <w:tmpl w:val="0F629B4C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851B64"/>
    <w:multiLevelType w:val="hybridMultilevel"/>
    <w:tmpl w:val="0D6C2AC4"/>
    <w:lvl w:ilvl="0" w:tplc="EC02C24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8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CD1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67E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6C1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A3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AA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047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25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035DB6"/>
    <w:multiLevelType w:val="hybridMultilevel"/>
    <w:tmpl w:val="B2948D3A"/>
    <w:lvl w:ilvl="0" w:tplc="7B90A9D8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A0BD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4852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A97B6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0D98C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8D8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AC1F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60BDE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491E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A2C4BA7"/>
    <w:multiLevelType w:val="hybridMultilevel"/>
    <w:tmpl w:val="AEF0AC04"/>
    <w:lvl w:ilvl="0" w:tplc="0415000B">
      <w:start w:val="1"/>
      <w:numFmt w:val="bullet"/>
      <w:lvlText w:val=""/>
      <w:lvlJc w:val="left"/>
      <w:pPr>
        <w:ind w:left="72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A36433B"/>
    <w:multiLevelType w:val="hybridMultilevel"/>
    <w:tmpl w:val="AA7E4416"/>
    <w:lvl w:ilvl="0" w:tplc="88C0A4D6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012DE6"/>
    <w:multiLevelType w:val="hybridMultilevel"/>
    <w:tmpl w:val="FA0671C0"/>
    <w:lvl w:ilvl="0" w:tplc="C546BA4A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B4B2EC8"/>
    <w:multiLevelType w:val="hybridMultilevel"/>
    <w:tmpl w:val="5FF23B98"/>
    <w:lvl w:ilvl="0" w:tplc="8A1601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50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8B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B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B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AD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507561"/>
    <w:multiLevelType w:val="hybridMultilevel"/>
    <w:tmpl w:val="985202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FD7C75"/>
    <w:multiLevelType w:val="hybridMultilevel"/>
    <w:tmpl w:val="3C4812F0"/>
    <w:lvl w:ilvl="0" w:tplc="CCFA490E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389E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4464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6766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46A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2BF5A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096D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21CB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1A6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D5D2DD0"/>
    <w:multiLevelType w:val="hybridMultilevel"/>
    <w:tmpl w:val="99E2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862BD"/>
    <w:multiLevelType w:val="hybridMultilevel"/>
    <w:tmpl w:val="4D32EAF6"/>
    <w:lvl w:ilvl="0" w:tplc="77A8053E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CEF5A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7B1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20220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E3FA4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0D96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0BFD6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84B22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151E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1310744"/>
    <w:multiLevelType w:val="hybridMultilevel"/>
    <w:tmpl w:val="375648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24541A48">
      <w:start w:val="2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67100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A3616F4"/>
    <w:multiLevelType w:val="hybridMultilevel"/>
    <w:tmpl w:val="9AD2E4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C335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CB568A1"/>
    <w:multiLevelType w:val="hybridMultilevel"/>
    <w:tmpl w:val="8F74F864"/>
    <w:lvl w:ilvl="0" w:tplc="DEBA438C">
      <w:start w:val="1"/>
      <w:numFmt w:val="lowerLetter"/>
      <w:lvlText w:val="%1)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C80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E5B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E37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45E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CF9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8AF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AB6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884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EC3FED"/>
    <w:multiLevelType w:val="hybridMultilevel"/>
    <w:tmpl w:val="121C2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7192E"/>
    <w:multiLevelType w:val="hybridMultilevel"/>
    <w:tmpl w:val="3ED615BE"/>
    <w:lvl w:ilvl="0" w:tplc="91BA2692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2238C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3E3E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088F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87B5A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24BAE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4C64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A05DC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4A8B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ADB2849"/>
    <w:multiLevelType w:val="hybridMultilevel"/>
    <w:tmpl w:val="5F9C4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425C4A"/>
    <w:multiLevelType w:val="hybridMultilevel"/>
    <w:tmpl w:val="AB766DAC"/>
    <w:lvl w:ilvl="0" w:tplc="EB56F27C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08E52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43A04">
      <w:start w:val="1"/>
      <w:numFmt w:val="lowerRoman"/>
      <w:lvlText w:val="%3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2B686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47A52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6DF86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612B8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4EEC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01DC0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C4448E3"/>
    <w:multiLevelType w:val="hybridMultilevel"/>
    <w:tmpl w:val="91AE35D0"/>
    <w:lvl w:ilvl="0" w:tplc="0415000D">
      <w:start w:val="1"/>
      <w:numFmt w:val="bullet"/>
      <w:lvlText w:val=""/>
      <w:lvlJc w:val="left"/>
      <w:pPr>
        <w:ind w:left="11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4F45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E0139F"/>
    <w:multiLevelType w:val="hybridMultilevel"/>
    <w:tmpl w:val="C5F4AAB8"/>
    <w:lvl w:ilvl="0" w:tplc="08EA376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2ED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2A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03B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36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62C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AD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21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68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A92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2C71C21"/>
    <w:multiLevelType w:val="hybridMultilevel"/>
    <w:tmpl w:val="EB26AD12"/>
    <w:lvl w:ilvl="0" w:tplc="C76ADA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74" w:hanging="694"/>
      </w:pPr>
      <w:rPr>
        <w:rFonts w:hint="default"/>
      </w:rPr>
    </w:lvl>
    <w:lvl w:ilvl="2" w:tplc="0820095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B65CCD"/>
    <w:multiLevelType w:val="hybridMultilevel"/>
    <w:tmpl w:val="DB26C21C"/>
    <w:lvl w:ilvl="0" w:tplc="EC02C2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E15F10"/>
    <w:multiLevelType w:val="multilevel"/>
    <w:tmpl w:val="5F3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4860C4"/>
    <w:multiLevelType w:val="hybridMultilevel"/>
    <w:tmpl w:val="F6F6F5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1E02AE"/>
    <w:multiLevelType w:val="hybridMultilevel"/>
    <w:tmpl w:val="60B8E940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CDC6512"/>
    <w:multiLevelType w:val="hybridMultilevel"/>
    <w:tmpl w:val="D542D934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6BA4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E26421D"/>
    <w:multiLevelType w:val="hybridMultilevel"/>
    <w:tmpl w:val="AEFC7A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EA84D05"/>
    <w:multiLevelType w:val="hybridMultilevel"/>
    <w:tmpl w:val="F976E322"/>
    <w:lvl w:ilvl="0" w:tplc="4348990A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AE0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CC4F0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C118C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E89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442EA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8381C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A42F2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0C99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F91349D"/>
    <w:multiLevelType w:val="hybridMultilevel"/>
    <w:tmpl w:val="3F68F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3"/>
  </w:num>
  <w:num w:numId="3">
    <w:abstractNumId w:val="27"/>
  </w:num>
  <w:num w:numId="4">
    <w:abstractNumId w:val="41"/>
  </w:num>
  <w:num w:numId="5">
    <w:abstractNumId w:val="44"/>
  </w:num>
  <w:num w:numId="6">
    <w:abstractNumId w:val="76"/>
  </w:num>
  <w:num w:numId="7">
    <w:abstractNumId w:val="32"/>
  </w:num>
  <w:num w:numId="8">
    <w:abstractNumId w:val="35"/>
  </w:num>
  <w:num w:numId="9">
    <w:abstractNumId w:val="67"/>
  </w:num>
  <w:num w:numId="10">
    <w:abstractNumId w:val="36"/>
  </w:num>
  <w:num w:numId="11">
    <w:abstractNumId w:val="65"/>
  </w:num>
  <w:num w:numId="12">
    <w:abstractNumId w:val="30"/>
  </w:num>
  <w:num w:numId="13">
    <w:abstractNumId w:val="74"/>
  </w:num>
  <w:num w:numId="14">
    <w:abstractNumId w:val="7"/>
  </w:num>
  <w:num w:numId="15">
    <w:abstractNumId w:val="48"/>
  </w:num>
  <w:num w:numId="16">
    <w:abstractNumId w:val="21"/>
  </w:num>
  <w:num w:numId="17">
    <w:abstractNumId w:val="15"/>
  </w:num>
  <w:num w:numId="18">
    <w:abstractNumId w:val="19"/>
  </w:num>
  <w:num w:numId="19">
    <w:abstractNumId w:val="75"/>
  </w:num>
  <w:num w:numId="20">
    <w:abstractNumId w:val="56"/>
  </w:num>
  <w:num w:numId="21">
    <w:abstractNumId w:val="11"/>
  </w:num>
  <w:num w:numId="22">
    <w:abstractNumId w:val="82"/>
  </w:num>
  <w:num w:numId="23">
    <w:abstractNumId w:val="1"/>
  </w:num>
  <w:num w:numId="24">
    <w:abstractNumId w:val="33"/>
  </w:num>
  <w:num w:numId="25">
    <w:abstractNumId w:val="26"/>
  </w:num>
  <w:num w:numId="26">
    <w:abstractNumId w:val="22"/>
  </w:num>
  <w:num w:numId="27">
    <w:abstractNumId w:val="70"/>
  </w:num>
  <w:num w:numId="28">
    <w:abstractNumId w:val="55"/>
  </w:num>
  <w:num w:numId="29">
    <w:abstractNumId w:val="40"/>
  </w:num>
  <w:num w:numId="30">
    <w:abstractNumId w:val="17"/>
  </w:num>
  <w:num w:numId="31">
    <w:abstractNumId w:val="85"/>
  </w:num>
  <w:num w:numId="32">
    <w:abstractNumId w:val="54"/>
  </w:num>
  <w:num w:numId="33">
    <w:abstractNumId w:val="63"/>
  </w:num>
  <w:num w:numId="34">
    <w:abstractNumId w:val="51"/>
  </w:num>
  <w:num w:numId="35">
    <w:abstractNumId w:val="68"/>
  </w:num>
  <w:num w:numId="36">
    <w:abstractNumId w:val="72"/>
  </w:num>
  <w:num w:numId="37">
    <w:abstractNumId w:val="61"/>
  </w:num>
  <w:num w:numId="38">
    <w:abstractNumId w:val="47"/>
  </w:num>
  <w:num w:numId="39">
    <w:abstractNumId w:val="71"/>
  </w:num>
  <w:num w:numId="40">
    <w:abstractNumId w:val="46"/>
  </w:num>
  <w:num w:numId="41">
    <w:abstractNumId w:val="3"/>
  </w:num>
  <w:num w:numId="42">
    <w:abstractNumId w:val="12"/>
  </w:num>
  <w:num w:numId="43">
    <w:abstractNumId w:val="80"/>
  </w:num>
  <w:num w:numId="44">
    <w:abstractNumId w:val="2"/>
  </w:num>
  <w:num w:numId="45">
    <w:abstractNumId w:val="60"/>
  </w:num>
  <w:num w:numId="46">
    <w:abstractNumId w:val="79"/>
  </w:num>
  <w:num w:numId="47">
    <w:abstractNumId w:val="10"/>
  </w:num>
  <w:num w:numId="48">
    <w:abstractNumId w:val="34"/>
  </w:num>
  <w:num w:numId="49">
    <w:abstractNumId w:val="86"/>
  </w:num>
  <w:num w:numId="50">
    <w:abstractNumId w:val="50"/>
  </w:num>
  <w:num w:numId="51">
    <w:abstractNumId w:val="18"/>
  </w:num>
  <w:num w:numId="52">
    <w:abstractNumId w:val="31"/>
  </w:num>
  <w:num w:numId="53">
    <w:abstractNumId w:val="4"/>
  </w:num>
  <w:num w:numId="54">
    <w:abstractNumId w:val="8"/>
  </w:num>
  <w:num w:numId="55">
    <w:abstractNumId w:val="16"/>
  </w:num>
  <w:num w:numId="56">
    <w:abstractNumId w:val="83"/>
  </w:num>
  <w:num w:numId="57">
    <w:abstractNumId w:val="58"/>
  </w:num>
  <w:num w:numId="58">
    <w:abstractNumId w:val="52"/>
  </w:num>
  <w:num w:numId="59">
    <w:abstractNumId w:val="0"/>
  </w:num>
  <w:num w:numId="60">
    <w:abstractNumId w:val="6"/>
  </w:num>
  <w:num w:numId="61">
    <w:abstractNumId w:val="29"/>
  </w:num>
  <w:num w:numId="62">
    <w:abstractNumId w:val="66"/>
  </w:num>
  <w:num w:numId="63">
    <w:abstractNumId w:val="28"/>
  </w:num>
  <w:num w:numId="64">
    <w:abstractNumId w:val="9"/>
  </w:num>
  <w:num w:numId="65">
    <w:abstractNumId w:val="84"/>
  </w:num>
  <w:num w:numId="66">
    <w:abstractNumId w:val="53"/>
  </w:num>
  <w:num w:numId="67">
    <w:abstractNumId w:val="25"/>
  </w:num>
  <w:num w:numId="68">
    <w:abstractNumId w:val="81"/>
  </w:num>
  <w:num w:numId="69">
    <w:abstractNumId w:val="5"/>
  </w:num>
  <w:num w:numId="70">
    <w:abstractNumId w:val="57"/>
  </w:num>
  <w:num w:numId="71">
    <w:abstractNumId w:val="42"/>
  </w:num>
  <w:num w:numId="72">
    <w:abstractNumId w:val="49"/>
  </w:num>
  <w:num w:numId="73">
    <w:abstractNumId w:val="69"/>
  </w:num>
  <w:num w:numId="74">
    <w:abstractNumId w:val="77"/>
  </w:num>
  <w:num w:numId="75">
    <w:abstractNumId w:val="64"/>
  </w:num>
  <w:num w:numId="76">
    <w:abstractNumId w:val="45"/>
  </w:num>
  <w:num w:numId="77">
    <w:abstractNumId w:val="73"/>
  </w:num>
  <w:num w:numId="78">
    <w:abstractNumId w:val="13"/>
  </w:num>
  <w:num w:numId="79">
    <w:abstractNumId w:val="23"/>
  </w:num>
  <w:num w:numId="80">
    <w:abstractNumId w:val="24"/>
  </w:num>
  <w:num w:numId="81">
    <w:abstractNumId w:val="39"/>
  </w:num>
  <w:num w:numId="82">
    <w:abstractNumId w:val="20"/>
  </w:num>
  <w:num w:numId="83">
    <w:abstractNumId w:val="62"/>
  </w:num>
  <w:num w:numId="84">
    <w:abstractNumId w:val="37"/>
  </w:num>
  <w:num w:numId="85">
    <w:abstractNumId w:val="14"/>
  </w:num>
  <w:num w:numId="86">
    <w:abstractNumId w:val="38"/>
  </w:num>
  <w:num w:numId="87">
    <w:abstractNumId w:val="7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5"/>
    <w:rsid w:val="000002DA"/>
    <w:rsid w:val="00000DD9"/>
    <w:rsid w:val="00001615"/>
    <w:rsid w:val="00003F86"/>
    <w:rsid w:val="00003FE5"/>
    <w:rsid w:val="0000402D"/>
    <w:rsid w:val="000062EB"/>
    <w:rsid w:val="000070E0"/>
    <w:rsid w:val="00007BD4"/>
    <w:rsid w:val="000123B2"/>
    <w:rsid w:val="00013061"/>
    <w:rsid w:val="000138D5"/>
    <w:rsid w:val="00014B90"/>
    <w:rsid w:val="00015547"/>
    <w:rsid w:val="00015E17"/>
    <w:rsid w:val="00016561"/>
    <w:rsid w:val="000201ED"/>
    <w:rsid w:val="00021025"/>
    <w:rsid w:val="0002117E"/>
    <w:rsid w:val="00021E2C"/>
    <w:rsid w:val="00026599"/>
    <w:rsid w:val="000272EA"/>
    <w:rsid w:val="0003136A"/>
    <w:rsid w:val="00032A25"/>
    <w:rsid w:val="00034BD6"/>
    <w:rsid w:val="000414F0"/>
    <w:rsid w:val="00042B1C"/>
    <w:rsid w:val="000443B0"/>
    <w:rsid w:val="000446B3"/>
    <w:rsid w:val="000468FB"/>
    <w:rsid w:val="00050DAE"/>
    <w:rsid w:val="0005326F"/>
    <w:rsid w:val="000538BE"/>
    <w:rsid w:val="0005499F"/>
    <w:rsid w:val="000566AB"/>
    <w:rsid w:val="00057F5B"/>
    <w:rsid w:val="00060B6C"/>
    <w:rsid w:val="00061AD8"/>
    <w:rsid w:val="00066148"/>
    <w:rsid w:val="00072BAD"/>
    <w:rsid w:val="00073683"/>
    <w:rsid w:val="000773E2"/>
    <w:rsid w:val="00077824"/>
    <w:rsid w:val="000838E0"/>
    <w:rsid w:val="0008777E"/>
    <w:rsid w:val="00090A72"/>
    <w:rsid w:val="000961E7"/>
    <w:rsid w:val="000A339A"/>
    <w:rsid w:val="000A3888"/>
    <w:rsid w:val="000A462D"/>
    <w:rsid w:val="000A5D6E"/>
    <w:rsid w:val="000A6FA4"/>
    <w:rsid w:val="000B25DD"/>
    <w:rsid w:val="000B284D"/>
    <w:rsid w:val="000B63CF"/>
    <w:rsid w:val="000B676B"/>
    <w:rsid w:val="000B7127"/>
    <w:rsid w:val="000C0336"/>
    <w:rsid w:val="000C036B"/>
    <w:rsid w:val="000C074C"/>
    <w:rsid w:val="000C2061"/>
    <w:rsid w:val="000C2D74"/>
    <w:rsid w:val="000C57E8"/>
    <w:rsid w:val="000C7B60"/>
    <w:rsid w:val="000D22D2"/>
    <w:rsid w:val="000E065F"/>
    <w:rsid w:val="000E0732"/>
    <w:rsid w:val="000E4234"/>
    <w:rsid w:val="000E5201"/>
    <w:rsid w:val="000E588E"/>
    <w:rsid w:val="000E64B2"/>
    <w:rsid w:val="000F13D9"/>
    <w:rsid w:val="000F3470"/>
    <w:rsid w:val="000F3C24"/>
    <w:rsid w:val="000F5F45"/>
    <w:rsid w:val="000F6F19"/>
    <w:rsid w:val="000F786B"/>
    <w:rsid w:val="000F7A52"/>
    <w:rsid w:val="001033EC"/>
    <w:rsid w:val="001037BD"/>
    <w:rsid w:val="00103935"/>
    <w:rsid w:val="00104A02"/>
    <w:rsid w:val="00105AB3"/>
    <w:rsid w:val="00107BDF"/>
    <w:rsid w:val="00111EB1"/>
    <w:rsid w:val="0011656B"/>
    <w:rsid w:val="0012202A"/>
    <w:rsid w:val="0012354C"/>
    <w:rsid w:val="0012369C"/>
    <w:rsid w:val="00126316"/>
    <w:rsid w:val="00135469"/>
    <w:rsid w:val="00135EEC"/>
    <w:rsid w:val="0014183B"/>
    <w:rsid w:val="00142A26"/>
    <w:rsid w:val="00147821"/>
    <w:rsid w:val="001542F7"/>
    <w:rsid w:val="001562D8"/>
    <w:rsid w:val="00157227"/>
    <w:rsid w:val="00162C8F"/>
    <w:rsid w:val="00164325"/>
    <w:rsid w:val="001643A2"/>
    <w:rsid w:val="00171AE8"/>
    <w:rsid w:val="00173242"/>
    <w:rsid w:val="0017560A"/>
    <w:rsid w:val="001777A4"/>
    <w:rsid w:val="00182D87"/>
    <w:rsid w:val="0019167D"/>
    <w:rsid w:val="00192515"/>
    <w:rsid w:val="00193BD8"/>
    <w:rsid w:val="001A5AF8"/>
    <w:rsid w:val="001A6664"/>
    <w:rsid w:val="001B032D"/>
    <w:rsid w:val="001B1627"/>
    <w:rsid w:val="001B26B3"/>
    <w:rsid w:val="001B2C8D"/>
    <w:rsid w:val="001B74AA"/>
    <w:rsid w:val="001C14AB"/>
    <w:rsid w:val="001C2B68"/>
    <w:rsid w:val="001C2E64"/>
    <w:rsid w:val="001C4662"/>
    <w:rsid w:val="001C76BE"/>
    <w:rsid w:val="001D7CFD"/>
    <w:rsid w:val="001E153B"/>
    <w:rsid w:val="001E3F35"/>
    <w:rsid w:val="001F1813"/>
    <w:rsid w:val="001F3BCC"/>
    <w:rsid w:val="001F68B9"/>
    <w:rsid w:val="002006F1"/>
    <w:rsid w:val="00200882"/>
    <w:rsid w:val="002011F0"/>
    <w:rsid w:val="0021045E"/>
    <w:rsid w:val="002158B8"/>
    <w:rsid w:val="00224B71"/>
    <w:rsid w:val="00230FB5"/>
    <w:rsid w:val="00231124"/>
    <w:rsid w:val="00232F4E"/>
    <w:rsid w:val="00233508"/>
    <w:rsid w:val="002364FC"/>
    <w:rsid w:val="00242041"/>
    <w:rsid w:val="00243D3F"/>
    <w:rsid w:val="00244A2D"/>
    <w:rsid w:val="002530DE"/>
    <w:rsid w:val="00254FD2"/>
    <w:rsid w:val="002562AA"/>
    <w:rsid w:val="00260D84"/>
    <w:rsid w:val="00260E61"/>
    <w:rsid w:val="00267F65"/>
    <w:rsid w:val="0027015C"/>
    <w:rsid w:val="00270B83"/>
    <w:rsid w:val="002738DD"/>
    <w:rsid w:val="002825AC"/>
    <w:rsid w:val="00285EE6"/>
    <w:rsid w:val="00293083"/>
    <w:rsid w:val="002962A1"/>
    <w:rsid w:val="002969F5"/>
    <w:rsid w:val="002A0C32"/>
    <w:rsid w:val="002A1101"/>
    <w:rsid w:val="002A5CB7"/>
    <w:rsid w:val="002B1EFC"/>
    <w:rsid w:val="002B5892"/>
    <w:rsid w:val="002B7431"/>
    <w:rsid w:val="002C3472"/>
    <w:rsid w:val="002C3748"/>
    <w:rsid w:val="002C3884"/>
    <w:rsid w:val="002C4EF1"/>
    <w:rsid w:val="002D0B80"/>
    <w:rsid w:val="002D1E95"/>
    <w:rsid w:val="002D2568"/>
    <w:rsid w:val="002D40BD"/>
    <w:rsid w:val="002D5206"/>
    <w:rsid w:val="002E10AA"/>
    <w:rsid w:val="002E2E48"/>
    <w:rsid w:val="002E65B1"/>
    <w:rsid w:val="002E7B3E"/>
    <w:rsid w:val="002F02A2"/>
    <w:rsid w:val="002F18E6"/>
    <w:rsid w:val="002F1D9F"/>
    <w:rsid w:val="002F2AEB"/>
    <w:rsid w:val="002F6096"/>
    <w:rsid w:val="00301454"/>
    <w:rsid w:val="00301AD4"/>
    <w:rsid w:val="00302FE1"/>
    <w:rsid w:val="0030581B"/>
    <w:rsid w:val="00306A4D"/>
    <w:rsid w:val="00306C2F"/>
    <w:rsid w:val="00310575"/>
    <w:rsid w:val="00310EC5"/>
    <w:rsid w:val="00311BCD"/>
    <w:rsid w:val="00313EC9"/>
    <w:rsid w:val="0032088B"/>
    <w:rsid w:val="00322723"/>
    <w:rsid w:val="00324731"/>
    <w:rsid w:val="0032549D"/>
    <w:rsid w:val="0033136C"/>
    <w:rsid w:val="003335F5"/>
    <w:rsid w:val="00337914"/>
    <w:rsid w:val="00340175"/>
    <w:rsid w:val="00344BB4"/>
    <w:rsid w:val="00350DAE"/>
    <w:rsid w:val="00354109"/>
    <w:rsid w:val="00360F2F"/>
    <w:rsid w:val="00362BC5"/>
    <w:rsid w:val="003663CF"/>
    <w:rsid w:val="003672FB"/>
    <w:rsid w:val="00376C57"/>
    <w:rsid w:val="00383311"/>
    <w:rsid w:val="00384F78"/>
    <w:rsid w:val="003852D8"/>
    <w:rsid w:val="003926E7"/>
    <w:rsid w:val="00393250"/>
    <w:rsid w:val="0039396D"/>
    <w:rsid w:val="00393FB8"/>
    <w:rsid w:val="00396758"/>
    <w:rsid w:val="00396988"/>
    <w:rsid w:val="003A173F"/>
    <w:rsid w:val="003A2A45"/>
    <w:rsid w:val="003A34A2"/>
    <w:rsid w:val="003A4C6E"/>
    <w:rsid w:val="003B0EA7"/>
    <w:rsid w:val="003B13F2"/>
    <w:rsid w:val="003B24C4"/>
    <w:rsid w:val="003B5A3E"/>
    <w:rsid w:val="003B6C8F"/>
    <w:rsid w:val="003C30CF"/>
    <w:rsid w:val="003C74EB"/>
    <w:rsid w:val="003D1014"/>
    <w:rsid w:val="003D5B0B"/>
    <w:rsid w:val="003D6DDC"/>
    <w:rsid w:val="003D6E50"/>
    <w:rsid w:val="003E0811"/>
    <w:rsid w:val="003E2779"/>
    <w:rsid w:val="003E3E66"/>
    <w:rsid w:val="003E42A5"/>
    <w:rsid w:val="003F0B8A"/>
    <w:rsid w:val="003F3A2F"/>
    <w:rsid w:val="003F4104"/>
    <w:rsid w:val="003F43B7"/>
    <w:rsid w:val="003F725F"/>
    <w:rsid w:val="00403BF4"/>
    <w:rsid w:val="00410988"/>
    <w:rsid w:val="004131F7"/>
    <w:rsid w:val="004161AD"/>
    <w:rsid w:val="00420CA9"/>
    <w:rsid w:val="00424B5C"/>
    <w:rsid w:val="00425C78"/>
    <w:rsid w:val="0042683D"/>
    <w:rsid w:val="00430735"/>
    <w:rsid w:val="00431C00"/>
    <w:rsid w:val="004414E7"/>
    <w:rsid w:val="00441835"/>
    <w:rsid w:val="00441A4E"/>
    <w:rsid w:val="00441C5E"/>
    <w:rsid w:val="00445992"/>
    <w:rsid w:val="004477DD"/>
    <w:rsid w:val="00447DA9"/>
    <w:rsid w:val="00450846"/>
    <w:rsid w:val="0045221E"/>
    <w:rsid w:val="0045489E"/>
    <w:rsid w:val="00460E0F"/>
    <w:rsid w:val="00461010"/>
    <w:rsid w:val="0046302B"/>
    <w:rsid w:val="0046349F"/>
    <w:rsid w:val="00464E18"/>
    <w:rsid w:val="00466B68"/>
    <w:rsid w:val="00466F4D"/>
    <w:rsid w:val="004722EA"/>
    <w:rsid w:val="004774F6"/>
    <w:rsid w:val="00477D6C"/>
    <w:rsid w:val="004822B9"/>
    <w:rsid w:val="004903B4"/>
    <w:rsid w:val="00490B39"/>
    <w:rsid w:val="00492A65"/>
    <w:rsid w:val="004A0C2B"/>
    <w:rsid w:val="004A1B6F"/>
    <w:rsid w:val="004A27C0"/>
    <w:rsid w:val="004A47A9"/>
    <w:rsid w:val="004A69F0"/>
    <w:rsid w:val="004A6D56"/>
    <w:rsid w:val="004B1543"/>
    <w:rsid w:val="004B2DF7"/>
    <w:rsid w:val="004B5246"/>
    <w:rsid w:val="004B56E5"/>
    <w:rsid w:val="004C79A4"/>
    <w:rsid w:val="004D2758"/>
    <w:rsid w:val="004E4450"/>
    <w:rsid w:val="004E5080"/>
    <w:rsid w:val="004E54CF"/>
    <w:rsid w:val="004F0F72"/>
    <w:rsid w:val="004F2605"/>
    <w:rsid w:val="004F26A8"/>
    <w:rsid w:val="004F455B"/>
    <w:rsid w:val="004F49A7"/>
    <w:rsid w:val="004F58EA"/>
    <w:rsid w:val="00503F1C"/>
    <w:rsid w:val="00503FCD"/>
    <w:rsid w:val="00511054"/>
    <w:rsid w:val="0051176E"/>
    <w:rsid w:val="00513A2A"/>
    <w:rsid w:val="00517DD0"/>
    <w:rsid w:val="0052477B"/>
    <w:rsid w:val="00527D02"/>
    <w:rsid w:val="00531B69"/>
    <w:rsid w:val="005372BF"/>
    <w:rsid w:val="00540373"/>
    <w:rsid w:val="005407EC"/>
    <w:rsid w:val="005412E9"/>
    <w:rsid w:val="005416B6"/>
    <w:rsid w:val="00543AAB"/>
    <w:rsid w:val="0054776F"/>
    <w:rsid w:val="0055141C"/>
    <w:rsid w:val="005524E3"/>
    <w:rsid w:val="00552A12"/>
    <w:rsid w:val="00552C92"/>
    <w:rsid w:val="00556639"/>
    <w:rsid w:val="00557C80"/>
    <w:rsid w:val="00557D93"/>
    <w:rsid w:val="00560683"/>
    <w:rsid w:val="00562C01"/>
    <w:rsid w:val="00565550"/>
    <w:rsid w:val="00566CDF"/>
    <w:rsid w:val="00566DA3"/>
    <w:rsid w:val="00567185"/>
    <w:rsid w:val="005736CA"/>
    <w:rsid w:val="005749A7"/>
    <w:rsid w:val="005812FF"/>
    <w:rsid w:val="0058780B"/>
    <w:rsid w:val="005879D9"/>
    <w:rsid w:val="0059154C"/>
    <w:rsid w:val="005948CA"/>
    <w:rsid w:val="005A00D0"/>
    <w:rsid w:val="005A075C"/>
    <w:rsid w:val="005A11E8"/>
    <w:rsid w:val="005A1B47"/>
    <w:rsid w:val="005A3026"/>
    <w:rsid w:val="005A675E"/>
    <w:rsid w:val="005B09F9"/>
    <w:rsid w:val="005B3FC1"/>
    <w:rsid w:val="005C3FE8"/>
    <w:rsid w:val="005C53B1"/>
    <w:rsid w:val="005C601A"/>
    <w:rsid w:val="005E0C5D"/>
    <w:rsid w:val="005E102D"/>
    <w:rsid w:val="005E3ECC"/>
    <w:rsid w:val="005E4F2B"/>
    <w:rsid w:val="005F48DD"/>
    <w:rsid w:val="005F4ED9"/>
    <w:rsid w:val="005F572E"/>
    <w:rsid w:val="005F5896"/>
    <w:rsid w:val="00604E21"/>
    <w:rsid w:val="006131FD"/>
    <w:rsid w:val="00613722"/>
    <w:rsid w:val="00617BEB"/>
    <w:rsid w:val="006218B2"/>
    <w:rsid w:val="00623867"/>
    <w:rsid w:val="00632C31"/>
    <w:rsid w:val="006363D3"/>
    <w:rsid w:val="006431F9"/>
    <w:rsid w:val="006471AE"/>
    <w:rsid w:val="006475C5"/>
    <w:rsid w:val="00647C2D"/>
    <w:rsid w:val="00652B5D"/>
    <w:rsid w:val="00655E15"/>
    <w:rsid w:val="0066131F"/>
    <w:rsid w:val="00662336"/>
    <w:rsid w:val="0066244D"/>
    <w:rsid w:val="00663473"/>
    <w:rsid w:val="00670023"/>
    <w:rsid w:val="00670D35"/>
    <w:rsid w:val="00670E41"/>
    <w:rsid w:val="00671C61"/>
    <w:rsid w:val="006722FF"/>
    <w:rsid w:val="0067668F"/>
    <w:rsid w:val="00676C9E"/>
    <w:rsid w:val="006808CB"/>
    <w:rsid w:val="00680AEF"/>
    <w:rsid w:val="00683C7E"/>
    <w:rsid w:val="00691798"/>
    <w:rsid w:val="00691963"/>
    <w:rsid w:val="00693DD5"/>
    <w:rsid w:val="00694199"/>
    <w:rsid w:val="00694BAA"/>
    <w:rsid w:val="006A23BE"/>
    <w:rsid w:val="006A344E"/>
    <w:rsid w:val="006A3EB9"/>
    <w:rsid w:val="006B5FA4"/>
    <w:rsid w:val="006B68F1"/>
    <w:rsid w:val="006C0061"/>
    <w:rsid w:val="006C7198"/>
    <w:rsid w:val="006D071B"/>
    <w:rsid w:val="006D08D8"/>
    <w:rsid w:val="006D0EBD"/>
    <w:rsid w:val="006D2A15"/>
    <w:rsid w:val="006E0483"/>
    <w:rsid w:val="006E1D63"/>
    <w:rsid w:val="006E34DC"/>
    <w:rsid w:val="006F1A56"/>
    <w:rsid w:val="006F558D"/>
    <w:rsid w:val="006F560F"/>
    <w:rsid w:val="006F76AA"/>
    <w:rsid w:val="0070230C"/>
    <w:rsid w:val="00705B5D"/>
    <w:rsid w:val="007061F0"/>
    <w:rsid w:val="00706B9F"/>
    <w:rsid w:val="00706FE0"/>
    <w:rsid w:val="00707589"/>
    <w:rsid w:val="00712205"/>
    <w:rsid w:val="0071295B"/>
    <w:rsid w:val="00713631"/>
    <w:rsid w:val="00716D24"/>
    <w:rsid w:val="00720232"/>
    <w:rsid w:val="00720E14"/>
    <w:rsid w:val="00721F04"/>
    <w:rsid w:val="007236D8"/>
    <w:rsid w:val="007239D3"/>
    <w:rsid w:val="00730656"/>
    <w:rsid w:val="0073109E"/>
    <w:rsid w:val="0073282D"/>
    <w:rsid w:val="00733F83"/>
    <w:rsid w:val="00735789"/>
    <w:rsid w:val="00741620"/>
    <w:rsid w:val="00742ED2"/>
    <w:rsid w:val="007434D4"/>
    <w:rsid w:val="00743975"/>
    <w:rsid w:val="0074539E"/>
    <w:rsid w:val="00751C78"/>
    <w:rsid w:val="007524F9"/>
    <w:rsid w:val="00752AA4"/>
    <w:rsid w:val="00763668"/>
    <w:rsid w:val="00765B58"/>
    <w:rsid w:val="007674D2"/>
    <w:rsid w:val="00767979"/>
    <w:rsid w:val="00771116"/>
    <w:rsid w:val="00773C18"/>
    <w:rsid w:val="007748F0"/>
    <w:rsid w:val="00775F12"/>
    <w:rsid w:val="00777593"/>
    <w:rsid w:val="007813AC"/>
    <w:rsid w:val="007816D3"/>
    <w:rsid w:val="00785183"/>
    <w:rsid w:val="00785F8E"/>
    <w:rsid w:val="007868BD"/>
    <w:rsid w:val="00790EFF"/>
    <w:rsid w:val="00793997"/>
    <w:rsid w:val="007A2403"/>
    <w:rsid w:val="007A392C"/>
    <w:rsid w:val="007A778C"/>
    <w:rsid w:val="007B0EAD"/>
    <w:rsid w:val="007B7F38"/>
    <w:rsid w:val="007C4DF2"/>
    <w:rsid w:val="007C6313"/>
    <w:rsid w:val="007C71B3"/>
    <w:rsid w:val="007D3C57"/>
    <w:rsid w:val="007D418A"/>
    <w:rsid w:val="007D7401"/>
    <w:rsid w:val="007E2823"/>
    <w:rsid w:val="007E7B0E"/>
    <w:rsid w:val="007F0E4F"/>
    <w:rsid w:val="007F3251"/>
    <w:rsid w:val="007F473B"/>
    <w:rsid w:val="007F647E"/>
    <w:rsid w:val="007F7725"/>
    <w:rsid w:val="007F7D73"/>
    <w:rsid w:val="00805249"/>
    <w:rsid w:val="008056A0"/>
    <w:rsid w:val="00812FC1"/>
    <w:rsid w:val="0081454C"/>
    <w:rsid w:val="0081654B"/>
    <w:rsid w:val="008229D5"/>
    <w:rsid w:val="00824575"/>
    <w:rsid w:val="00825129"/>
    <w:rsid w:val="00827A95"/>
    <w:rsid w:val="00827E32"/>
    <w:rsid w:val="00831EB3"/>
    <w:rsid w:val="008372D6"/>
    <w:rsid w:val="00837AF5"/>
    <w:rsid w:val="008422FD"/>
    <w:rsid w:val="00846987"/>
    <w:rsid w:val="00847A79"/>
    <w:rsid w:val="00851B2B"/>
    <w:rsid w:val="00852672"/>
    <w:rsid w:val="008567F0"/>
    <w:rsid w:val="00856E91"/>
    <w:rsid w:val="00861D20"/>
    <w:rsid w:val="00863818"/>
    <w:rsid w:val="00863F01"/>
    <w:rsid w:val="00864301"/>
    <w:rsid w:val="00864A57"/>
    <w:rsid w:val="00867544"/>
    <w:rsid w:val="0087437B"/>
    <w:rsid w:val="00876BD2"/>
    <w:rsid w:val="00877303"/>
    <w:rsid w:val="00880FB9"/>
    <w:rsid w:val="00881662"/>
    <w:rsid w:val="0088516A"/>
    <w:rsid w:val="00886DDF"/>
    <w:rsid w:val="008904C9"/>
    <w:rsid w:val="00891F87"/>
    <w:rsid w:val="008921B9"/>
    <w:rsid w:val="00892475"/>
    <w:rsid w:val="00893D60"/>
    <w:rsid w:val="008960E0"/>
    <w:rsid w:val="00896DDF"/>
    <w:rsid w:val="008A1F5F"/>
    <w:rsid w:val="008A2110"/>
    <w:rsid w:val="008A2156"/>
    <w:rsid w:val="008A41A9"/>
    <w:rsid w:val="008B1A1B"/>
    <w:rsid w:val="008B4BCC"/>
    <w:rsid w:val="008B5D6B"/>
    <w:rsid w:val="008B7D4C"/>
    <w:rsid w:val="008C2F69"/>
    <w:rsid w:val="008C7D17"/>
    <w:rsid w:val="008D2F83"/>
    <w:rsid w:val="008D5161"/>
    <w:rsid w:val="008E4E8A"/>
    <w:rsid w:val="008E5C82"/>
    <w:rsid w:val="008E7818"/>
    <w:rsid w:val="008F0DA7"/>
    <w:rsid w:val="008F59BC"/>
    <w:rsid w:val="0090165A"/>
    <w:rsid w:val="00905E9A"/>
    <w:rsid w:val="00907D89"/>
    <w:rsid w:val="00910A58"/>
    <w:rsid w:val="00912D3D"/>
    <w:rsid w:val="00914C68"/>
    <w:rsid w:val="00916507"/>
    <w:rsid w:val="0091679F"/>
    <w:rsid w:val="00916B24"/>
    <w:rsid w:val="00921DE4"/>
    <w:rsid w:val="00930257"/>
    <w:rsid w:val="00932EF9"/>
    <w:rsid w:val="009333C7"/>
    <w:rsid w:val="00933554"/>
    <w:rsid w:val="0093359B"/>
    <w:rsid w:val="00936137"/>
    <w:rsid w:val="00936812"/>
    <w:rsid w:val="00943AF9"/>
    <w:rsid w:val="0094459F"/>
    <w:rsid w:val="0094549E"/>
    <w:rsid w:val="009471EF"/>
    <w:rsid w:val="00947E76"/>
    <w:rsid w:val="009510CD"/>
    <w:rsid w:val="009567A7"/>
    <w:rsid w:val="0096056B"/>
    <w:rsid w:val="00961E63"/>
    <w:rsid w:val="0096449D"/>
    <w:rsid w:val="00964C6E"/>
    <w:rsid w:val="00966A39"/>
    <w:rsid w:val="009672C3"/>
    <w:rsid w:val="00967A08"/>
    <w:rsid w:val="009715CC"/>
    <w:rsid w:val="0097303C"/>
    <w:rsid w:val="00973175"/>
    <w:rsid w:val="0098158E"/>
    <w:rsid w:val="00990067"/>
    <w:rsid w:val="00991197"/>
    <w:rsid w:val="009931FF"/>
    <w:rsid w:val="00997147"/>
    <w:rsid w:val="009A136C"/>
    <w:rsid w:val="009A1FC9"/>
    <w:rsid w:val="009A5678"/>
    <w:rsid w:val="009A78DD"/>
    <w:rsid w:val="009B0A37"/>
    <w:rsid w:val="009B1D21"/>
    <w:rsid w:val="009B214D"/>
    <w:rsid w:val="009B6006"/>
    <w:rsid w:val="009B63C3"/>
    <w:rsid w:val="009B7828"/>
    <w:rsid w:val="009C31D1"/>
    <w:rsid w:val="009C3257"/>
    <w:rsid w:val="009C4400"/>
    <w:rsid w:val="009D04B9"/>
    <w:rsid w:val="009E0122"/>
    <w:rsid w:val="009E2EE4"/>
    <w:rsid w:val="009E3AAC"/>
    <w:rsid w:val="009E5EC8"/>
    <w:rsid w:val="009F05AB"/>
    <w:rsid w:val="009F0C72"/>
    <w:rsid w:val="009F2D6A"/>
    <w:rsid w:val="009F3097"/>
    <w:rsid w:val="009F57BD"/>
    <w:rsid w:val="009F6CD0"/>
    <w:rsid w:val="00A0137E"/>
    <w:rsid w:val="00A0626E"/>
    <w:rsid w:val="00A10296"/>
    <w:rsid w:val="00A1113E"/>
    <w:rsid w:val="00A13BD6"/>
    <w:rsid w:val="00A145D9"/>
    <w:rsid w:val="00A159AA"/>
    <w:rsid w:val="00A2200B"/>
    <w:rsid w:val="00A2393A"/>
    <w:rsid w:val="00A254EF"/>
    <w:rsid w:val="00A25DCC"/>
    <w:rsid w:val="00A31C4F"/>
    <w:rsid w:val="00A33E7E"/>
    <w:rsid w:val="00A35722"/>
    <w:rsid w:val="00A359E9"/>
    <w:rsid w:val="00A43E87"/>
    <w:rsid w:val="00A4486E"/>
    <w:rsid w:val="00A5086E"/>
    <w:rsid w:val="00A5725C"/>
    <w:rsid w:val="00A630EF"/>
    <w:rsid w:val="00A63E7B"/>
    <w:rsid w:val="00A71829"/>
    <w:rsid w:val="00A7272C"/>
    <w:rsid w:val="00A7604A"/>
    <w:rsid w:val="00A803E9"/>
    <w:rsid w:val="00A80A25"/>
    <w:rsid w:val="00A8188A"/>
    <w:rsid w:val="00A828C0"/>
    <w:rsid w:val="00A83209"/>
    <w:rsid w:val="00A84E5A"/>
    <w:rsid w:val="00A86EC1"/>
    <w:rsid w:val="00A94C18"/>
    <w:rsid w:val="00A96CC4"/>
    <w:rsid w:val="00A97EDE"/>
    <w:rsid w:val="00AA32D4"/>
    <w:rsid w:val="00AA772C"/>
    <w:rsid w:val="00AB491B"/>
    <w:rsid w:val="00AB5517"/>
    <w:rsid w:val="00AB7C69"/>
    <w:rsid w:val="00AC0140"/>
    <w:rsid w:val="00AC29BE"/>
    <w:rsid w:val="00AC3CF3"/>
    <w:rsid w:val="00AE0108"/>
    <w:rsid w:val="00AE02C0"/>
    <w:rsid w:val="00AE1B29"/>
    <w:rsid w:val="00AE1F6C"/>
    <w:rsid w:val="00AE2F63"/>
    <w:rsid w:val="00AE5E30"/>
    <w:rsid w:val="00AE6501"/>
    <w:rsid w:val="00AE677D"/>
    <w:rsid w:val="00AF26C0"/>
    <w:rsid w:val="00AF52CF"/>
    <w:rsid w:val="00B01CF5"/>
    <w:rsid w:val="00B039D1"/>
    <w:rsid w:val="00B12925"/>
    <w:rsid w:val="00B14A12"/>
    <w:rsid w:val="00B17A62"/>
    <w:rsid w:val="00B21F1D"/>
    <w:rsid w:val="00B22A94"/>
    <w:rsid w:val="00B304BD"/>
    <w:rsid w:val="00B36E67"/>
    <w:rsid w:val="00B40997"/>
    <w:rsid w:val="00B42030"/>
    <w:rsid w:val="00B42749"/>
    <w:rsid w:val="00B42F11"/>
    <w:rsid w:val="00B4486F"/>
    <w:rsid w:val="00B50063"/>
    <w:rsid w:val="00B545EF"/>
    <w:rsid w:val="00B565DD"/>
    <w:rsid w:val="00B5705F"/>
    <w:rsid w:val="00B716BF"/>
    <w:rsid w:val="00B71B85"/>
    <w:rsid w:val="00B7531A"/>
    <w:rsid w:val="00B763DF"/>
    <w:rsid w:val="00B7669A"/>
    <w:rsid w:val="00B76B47"/>
    <w:rsid w:val="00B76F43"/>
    <w:rsid w:val="00B76FA8"/>
    <w:rsid w:val="00B779E1"/>
    <w:rsid w:val="00B77DFA"/>
    <w:rsid w:val="00B82310"/>
    <w:rsid w:val="00B8265F"/>
    <w:rsid w:val="00B863F3"/>
    <w:rsid w:val="00B913A5"/>
    <w:rsid w:val="00B946AF"/>
    <w:rsid w:val="00BA00BF"/>
    <w:rsid w:val="00BA2A04"/>
    <w:rsid w:val="00BA5CFD"/>
    <w:rsid w:val="00BA5F1B"/>
    <w:rsid w:val="00BA63C9"/>
    <w:rsid w:val="00BA66D3"/>
    <w:rsid w:val="00BB0026"/>
    <w:rsid w:val="00BB1F9A"/>
    <w:rsid w:val="00BB2EFD"/>
    <w:rsid w:val="00BC03AA"/>
    <w:rsid w:val="00BD43FA"/>
    <w:rsid w:val="00BD4824"/>
    <w:rsid w:val="00BD5C16"/>
    <w:rsid w:val="00BE19FA"/>
    <w:rsid w:val="00BE6846"/>
    <w:rsid w:val="00BE69B7"/>
    <w:rsid w:val="00BE729D"/>
    <w:rsid w:val="00BF330A"/>
    <w:rsid w:val="00BF357B"/>
    <w:rsid w:val="00BF6561"/>
    <w:rsid w:val="00BF74EC"/>
    <w:rsid w:val="00BF7A2E"/>
    <w:rsid w:val="00C01FEA"/>
    <w:rsid w:val="00C03165"/>
    <w:rsid w:val="00C06DB6"/>
    <w:rsid w:val="00C073AE"/>
    <w:rsid w:val="00C07E76"/>
    <w:rsid w:val="00C10ED9"/>
    <w:rsid w:val="00C121D3"/>
    <w:rsid w:val="00C14A48"/>
    <w:rsid w:val="00C164AB"/>
    <w:rsid w:val="00C24A07"/>
    <w:rsid w:val="00C24C1D"/>
    <w:rsid w:val="00C30808"/>
    <w:rsid w:val="00C32423"/>
    <w:rsid w:val="00C3478E"/>
    <w:rsid w:val="00C34A79"/>
    <w:rsid w:val="00C36A62"/>
    <w:rsid w:val="00C36E5F"/>
    <w:rsid w:val="00C37550"/>
    <w:rsid w:val="00C4298F"/>
    <w:rsid w:val="00C45069"/>
    <w:rsid w:val="00C4567D"/>
    <w:rsid w:val="00C50FE2"/>
    <w:rsid w:val="00C52C0C"/>
    <w:rsid w:val="00C54605"/>
    <w:rsid w:val="00C5796A"/>
    <w:rsid w:val="00C64335"/>
    <w:rsid w:val="00C6558B"/>
    <w:rsid w:val="00C660D1"/>
    <w:rsid w:val="00C71848"/>
    <w:rsid w:val="00C71EA9"/>
    <w:rsid w:val="00C76D9D"/>
    <w:rsid w:val="00C77EB9"/>
    <w:rsid w:val="00C829FF"/>
    <w:rsid w:val="00C83346"/>
    <w:rsid w:val="00C83CAD"/>
    <w:rsid w:val="00C83CD0"/>
    <w:rsid w:val="00C84559"/>
    <w:rsid w:val="00C87F93"/>
    <w:rsid w:val="00C90B59"/>
    <w:rsid w:val="00C91299"/>
    <w:rsid w:val="00C92944"/>
    <w:rsid w:val="00C95496"/>
    <w:rsid w:val="00C9695A"/>
    <w:rsid w:val="00CA0535"/>
    <w:rsid w:val="00CA18F0"/>
    <w:rsid w:val="00CA2EAC"/>
    <w:rsid w:val="00CA6960"/>
    <w:rsid w:val="00CA79D1"/>
    <w:rsid w:val="00CB082F"/>
    <w:rsid w:val="00CB12FB"/>
    <w:rsid w:val="00CB1BA8"/>
    <w:rsid w:val="00CB2AEC"/>
    <w:rsid w:val="00CB38CA"/>
    <w:rsid w:val="00CB424F"/>
    <w:rsid w:val="00CB5871"/>
    <w:rsid w:val="00CB6AB0"/>
    <w:rsid w:val="00CC18E9"/>
    <w:rsid w:val="00CC2678"/>
    <w:rsid w:val="00CD00E1"/>
    <w:rsid w:val="00CD0BD7"/>
    <w:rsid w:val="00CD3169"/>
    <w:rsid w:val="00CD4D74"/>
    <w:rsid w:val="00CD7813"/>
    <w:rsid w:val="00CE2CD6"/>
    <w:rsid w:val="00CE3556"/>
    <w:rsid w:val="00CE3D0C"/>
    <w:rsid w:val="00CE506B"/>
    <w:rsid w:val="00CE5303"/>
    <w:rsid w:val="00CE6F29"/>
    <w:rsid w:val="00CF0CD3"/>
    <w:rsid w:val="00CF4884"/>
    <w:rsid w:val="00CF5695"/>
    <w:rsid w:val="00CF6A8C"/>
    <w:rsid w:val="00D030BF"/>
    <w:rsid w:val="00D04DC0"/>
    <w:rsid w:val="00D061AD"/>
    <w:rsid w:val="00D065FC"/>
    <w:rsid w:val="00D11E8F"/>
    <w:rsid w:val="00D179AE"/>
    <w:rsid w:val="00D233DC"/>
    <w:rsid w:val="00D25AEE"/>
    <w:rsid w:val="00D31479"/>
    <w:rsid w:val="00D36E40"/>
    <w:rsid w:val="00D41D99"/>
    <w:rsid w:val="00D42166"/>
    <w:rsid w:val="00D42F68"/>
    <w:rsid w:val="00D44519"/>
    <w:rsid w:val="00D47E19"/>
    <w:rsid w:val="00D522CC"/>
    <w:rsid w:val="00D5309A"/>
    <w:rsid w:val="00D55C31"/>
    <w:rsid w:val="00D55CF4"/>
    <w:rsid w:val="00D56119"/>
    <w:rsid w:val="00D562E3"/>
    <w:rsid w:val="00D5684A"/>
    <w:rsid w:val="00D56935"/>
    <w:rsid w:val="00D57F29"/>
    <w:rsid w:val="00D649CA"/>
    <w:rsid w:val="00D6743B"/>
    <w:rsid w:val="00D76038"/>
    <w:rsid w:val="00D76BF7"/>
    <w:rsid w:val="00D779E8"/>
    <w:rsid w:val="00D824DC"/>
    <w:rsid w:val="00D8563E"/>
    <w:rsid w:val="00DA5681"/>
    <w:rsid w:val="00DA6A68"/>
    <w:rsid w:val="00DA76B6"/>
    <w:rsid w:val="00DB1095"/>
    <w:rsid w:val="00DB3C2F"/>
    <w:rsid w:val="00DB75D3"/>
    <w:rsid w:val="00DB7A49"/>
    <w:rsid w:val="00DC2E1C"/>
    <w:rsid w:val="00DC4B87"/>
    <w:rsid w:val="00DC64C4"/>
    <w:rsid w:val="00DC7562"/>
    <w:rsid w:val="00DD0F02"/>
    <w:rsid w:val="00DD2FB0"/>
    <w:rsid w:val="00DD367C"/>
    <w:rsid w:val="00DD4658"/>
    <w:rsid w:val="00DD50FB"/>
    <w:rsid w:val="00DD516D"/>
    <w:rsid w:val="00DD57B8"/>
    <w:rsid w:val="00DD5C57"/>
    <w:rsid w:val="00DD6229"/>
    <w:rsid w:val="00DD76BD"/>
    <w:rsid w:val="00DE0B88"/>
    <w:rsid w:val="00DE57A2"/>
    <w:rsid w:val="00DE655F"/>
    <w:rsid w:val="00DE799D"/>
    <w:rsid w:val="00DF0AFD"/>
    <w:rsid w:val="00E02E07"/>
    <w:rsid w:val="00E0305C"/>
    <w:rsid w:val="00E124A7"/>
    <w:rsid w:val="00E16329"/>
    <w:rsid w:val="00E16E35"/>
    <w:rsid w:val="00E206C8"/>
    <w:rsid w:val="00E2228E"/>
    <w:rsid w:val="00E22DE2"/>
    <w:rsid w:val="00E23771"/>
    <w:rsid w:val="00E248E6"/>
    <w:rsid w:val="00E31A65"/>
    <w:rsid w:val="00E34753"/>
    <w:rsid w:val="00E374AE"/>
    <w:rsid w:val="00E4012C"/>
    <w:rsid w:val="00E41214"/>
    <w:rsid w:val="00E41765"/>
    <w:rsid w:val="00E44823"/>
    <w:rsid w:val="00E44A38"/>
    <w:rsid w:val="00E4773D"/>
    <w:rsid w:val="00E537C5"/>
    <w:rsid w:val="00E55D8C"/>
    <w:rsid w:val="00E56224"/>
    <w:rsid w:val="00E57882"/>
    <w:rsid w:val="00E60DC9"/>
    <w:rsid w:val="00E6568C"/>
    <w:rsid w:val="00E700B0"/>
    <w:rsid w:val="00E70AF7"/>
    <w:rsid w:val="00E73992"/>
    <w:rsid w:val="00E74AA3"/>
    <w:rsid w:val="00E74E06"/>
    <w:rsid w:val="00E7745C"/>
    <w:rsid w:val="00E8158B"/>
    <w:rsid w:val="00E818AC"/>
    <w:rsid w:val="00E81D99"/>
    <w:rsid w:val="00E8459B"/>
    <w:rsid w:val="00E84A11"/>
    <w:rsid w:val="00E87CEB"/>
    <w:rsid w:val="00E90D79"/>
    <w:rsid w:val="00E915C9"/>
    <w:rsid w:val="00EA2AEA"/>
    <w:rsid w:val="00EA448C"/>
    <w:rsid w:val="00EB07F2"/>
    <w:rsid w:val="00EB30F8"/>
    <w:rsid w:val="00EB3EF4"/>
    <w:rsid w:val="00EC0375"/>
    <w:rsid w:val="00EC1A00"/>
    <w:rsid w:val="00EC5F2A"/>
    <w:rsid w:val="00ED050C"/>
    <w:rsid w:val="00ED2D9F"/>
    <w:rsid w:val="00ED5723"/>
    <w:rsid w:val="00ED77FA"/>
    <w:rsid w:val="00EE193C"/>
    <w:rsid w:val="00EE2C67"/>
    <w:rsid w:val="00EE3C87"/>
    <w:rsid w:val="00EE54F4"/>
    <w:rsid w:val="00EE5B2E"/>
    <w:rsid w:val="00EF22C5"/>
    <w:rsid w:val="00EF28D3"/>
    <w:rsid w:val="00EF6E1C"/>
    <w:rsid w:val="00EF7BAC"/>
    <w:rsid w:val="00F058B2"/>
    <w:rsid w:val="00F06B41"/>
    <w:rsid w:val="00F10A20"/>
    <w:rsid w:val="00F23F76"/>
    <w:rsid w:val="00F255C6"/>
    <w:rsid w:val="00F26453"/>
    <w:rsid w:val="00F27829"/>
    <w:rsid w:val="00F31956"/>
    <w:rsid w:val="00F31A15"/>
    <w:rsid w:val="00F336F0"/>
    <w:rsid w:val="00F33C4F"/>
    <w:rsid w:val="00F33EA6"/>
    <w:rsid w:val="00F3748A"/>
    <w:rsid w:val="00F44916"/>
    <w:rsid w:val="00F55EEC"/>
    <w:rsid w:val="00F656AB"/>
    <w:rsid w:val="00F70CD3"/>
    <w:rsid w:val="00F747CC"/>
    <w:rsid w:val="00F77C61"/>
    <w:rsid w:val="00F800AB"/>
    <w:rsid w:val="00F80E8E"/>
    <w:rsid w:val="00F81DA9"/>
    <w:rsid w:val="00F87CB4"/>
    <w:rsid w:val="00F935A2"/>
    <w:rsid w:val="00F96234"/>
    <w:rsid w:val="00F9738A"/>
    <w:rsid w:val="00F977A8"/>
    <w:rsid w:val="00F978E3"/>
    <w:rsid w:val="00FA030B"/>
    <w:rsid w:val="00FA4632"/>
    <w:rsid w:val="00FA5001"/>
    <w:rsid w:val="00FA68CB"/>
    <w:rsid w:val="00FB4385"/>
    <w:rsid w:val="00FB5096"/>
    <w:rsid w:val="00FB6372"/>
    <w:rsid w:val="00FB7259"/>
    <w:rsid w:val="00FC102B"/>
    <w:rsid w:val="00FC2137"/>
    <w:rsid w:val="00FC48D7"/>
    <w:rsid w:val="00FC5ECF"/>
    <w:rsid w:val="00FC6EF4"/>
    <w:rsid w:val="00FC7932"/>
    <w:rsid w:val="00FD0A95"/>
    <w:rsid w:val="00FD16C7"/>
    <w:rsid w:val="00FD3DD3"/>
    <w:rsid w:val="00FD46CB"/>
    <w:rsid w:val="00FD5A4A"/>
    <w:rsid w:val="00FD6278"/>
    <w:rsid w:val="00FE133D"/>
    <w:rsid w:val="00FF3366"/>
    <w:rsid w:val="014F0C83"/>
    <w:rsid w:val="01626003"/>
    <w:rsid w:val="017F7EDA"/>
    <w:rsid w:val="01FC58F7"/>
    <w:rsid w:val="0245D7AB"/>
    <w:rsid w:val="025C27E5"/>
    <w:rsid w:val="0378870A"/>
    <w:rsid w:val="03A7A169"/>
    <w:rsid w:val="03D74B18"/>
    <w:rsid w:val="04581C2C"/>
    <w:rsid w:val="04CC3A11"/>
    <w:rsid w:val="04F9A449"/>
    <w:rsid w:val="05773808"/>
    <w:rsid w:val="05D1D1EC"/>
    <w:rsid w:val="05DC10E8"/>
    <w:rsid w:val="060F189F"/>
    <w:rsid w:val="07101ACA"/>
    <w:rsid w:val="0710D00B"/>
    <w:rsid w:val="0777E149"/>
    <w:rsid w:val="07B9975C"/>
    <w:rsid w:val="07F5F83D"/>
    <w:rsid w:val="0806E6F6"/>
    <w:rsid w:val="08D4DBBF"/>
    <w:rsid w:val="09123DB4"/>
    <w:rsid w:val="093A1C02"/>
    <w:rsid w:val="09732E39"/>
    <w:rsid w:val="0AF04792"/>
    <w:rsid w:val="0B0D4151"/>
    <w:rsid w:val="0B5E0909"/>
    <w:rsid w:val="0C3D007B"/>
    <w:rsid w:val="0C56211F"/>
    <w:rsid w:val="0C6478EF"/>
    <w:rsid w:val="0C94012B"/>
    <w:rsid w:val="0D4E2DCD"/>
    <w:rsid w:val="0F0809A1"/>
    <w:rsid w:val="0F69CAD1"/>
    <w:rsid w:val="0F9A2ED3"/>
    <w:rsid w:val="0FB0378F"/>
    <w:rsid w:val="103B92A5"/>
    <w:rsid w:val="10926F55"/>
    <w:rsid w:val="10A2FE63"/>
    <w:rsid w:val="116D2772"/>
    <w:rsid w:val="1180F9B6"/>
    <w:rsid w:val="119B46EC"/>
    <w:rsid w:val="11D76306"/>
    <w:rsid w:val="12333ACA"/>
    <w:rsid w:val="12857E27"/>
    <w:rsid w:val="1300E822"/>
    <w:rsid w:val="133ECB29"/>
    <w:rsid w:val="13EA05F5"/>
    <w:rsid w:val="146678CB"/>
    <w:rsid w:val="146B5AC6"/>
    <w:rsid w:val="14EF3079"/>
    <w:rsid w:val="153EF0EE"/>
    <w:rsid w:val="1676C27F"/>
    <w:rsid w:val="16D016F6"/>
    <w:rsid w:val="17FCD7F2"/>
    <w:rsid w:val="185B75EA"/>
    <w:rsid w:val="191515E0"/>
    <w:rsid w:val="1920E058"/>
    <w:rsid w:val="19D6B275"/>
    <w:rsid w:val="19FFB049"/>
    <w:rsid w:val="1AA1265D"/>
    <w:rsid w:val="1B237F20"/>
    <w:rsid w:val="1B3E6928"/>
    <w:rsid w:val="1B60E135"/>
    <w:rsid w:val="1B82584D"/>
    <w:rsid w:val="1BE20D33"/>
    <w:rsid w:val="1BE9766E"/>
    <w:rsid w:val="1C059E5A"/>
    <w:rsid w:val="1C4B7B9E"/>
    <w:rsid w:val="1CCA3BFC"/>
    <w:rsid w:val="1D19A422"/>
    <w:rsid w:val="1D52C03F"/>
    <w:rsid w:val="1DE74BFF"/>
    <w:rsid w:val="1E186917"/>
    <w:rsid w:val="1E4B48DD"/>
    <w:rsid w:val="1E5E3D87"/>
    <w:rsid w:val="1F07F42E"/>
    <w:rsid w:val="1F2C73E5"/>
    <w:rsid w:val="20634A7F"/>
    <w:rsid w:val="20780047"/>
    <w:rsid w:val="20C84446"/>
    <w:rsid w:val="22504776"/>
    <w:rsid w:val="22BABD22"/>
    <w:rsid w:val="22EADEB0"/>
    <w:rsid w:val="22F1AF41"/>
    <w:rsid w:val="22F6D9D9"/>
    <w:rsid w:val="233F245D"/>
    <w:rsid w:val="23CC4C81"/>
    <w:rsid w:val="248DD48E"/>
    <w:rsid w:val="24C431BC"/>
    <w:rsid w:val="259D977C"/>
    <w:rsid w:val="266E8F12"/>
    <w:rsid w:val="26AA82CC"/>
    <w:rsid w:val="272956A1"/>
    <w:rsid w:val="27425DF0"/>
    <w:rsid w:val="27CD74F5"/>
    <w:rsid w:val="297135D4"/>
    <w:rsid w:val="29FF2BBF"/>
    <w:rsid w:val="2B61187F"/>
    <w:rsid w:val="2BE13D3F"/>
    <w:rsid w:val="2BE80A2B"/>
    <w:rsid w:val="2C1F58F2"/>
    <w:rsid w:val="2C766254"/>
    <w:rsid w:val="2CB27D5C"/>
    <w:rsid w:val="2CCCDE46"/>
    <w:rsid w:val="2D123C40"/>
    <w:rsid w:val="2D958C77"/>
    <w:rsid w:val="2F910EC0"/>
    <w:rsid w:val="2FA45C76"/>
    <w:rsid w:val="30E64666"/>
    <w:rsid w:val="31AC1BFB"/>
    <w:rsid w:val="31FF5A5B"/>
    <w:rsid w:val="3214B7DC"/>
    <w:rsid w:val="321737BE"/>
    <w:rsid w:val="32837F04"/>
    <w:rsid w:val="32A53575"/>
    <w:rsid w:val="3491FA6F"/>
    <w:rsid w:val="34CD54C4"/>
    <w:rsid w:val="35462C60"/>
    <w:rsid w:val="3562F648"/>
    <w:rsid w:val="363CD280"/>
    <w:rsid w:val="373C6EBD"/>
    <w:rsid w:val="37E54EC1"/>
    <w:rsid w:val="39460D9E"/>
    <w:rsid w:val="39678FFE"/>
    <w:rsid w:val="399D0FC3"/>
    <w:rsid w:val="3A0426D3"/>
    <w:rsid w:val="3A96646A"/>
    <w:rsid w:val="3AE50018"/>
    <w:rsid w:val="3B16A524"/>
    <w:rsid w:val="3BB5B7D4"/>
    <w:rsid w:val="3BBE442E"/>
    <w:rsid w:val="3BE079E6"/>
    <w:rsid w:val="3C01B9E6"/>
    <w:rsid w:val="3C0FDFE0"/>
    <w:rsid w:val="3C1AC9B7"/>
    <w:rsid w:val="3D4E9F22"/>
    <w:rsid w:val="3D525DC8"/>
    <w:rsid w:val="3D86CA62"/>
    <w:rsid w:val="3D8E7A7F"/>
    <w:rsid w:val="3DB69A18"/>
    <w:rsid w:val="3DE18410"/>
    <w:rsid w:val="3DECC943"/>
    <w:rsid w:val="3ED370A0"/>
    <w:rsid w:val="3F2E5845"/>
    <w:rsid w:val="3F4C0896"/>
    <w:rsid w:val="3F65530D"/>
    <w:rsid w:val="3F69D58D"/>
    <w:rsid w:val="3FCA290E"/>
    <w:rsid w:val="3FFE192E"/>
    <w:rsid w:val="40242C95"/>
    <w:rsid w:val="405109C8"/>
    <w:rsid w:val="417DC17D"/>
    <w:rsid w:val="42857D1F"/>
    <w:rsid w:val="42DD2E5F"/>
    <w:rsid w:val="4321994D"/>
    <w:rsid w:val="43BB4D8E"/>
    <w:rsid w:val="43C4EB17"/>
    <w:rsid w:val="43C7E0F5"/>
    <w:rsid w:val="443284F6"/>
    <w:rsid w:val="4441D8A2"/>
    <w:rsid w:val="4463D5B4"/>
    <w:rsid w:val="44985A7A"/>
    <w:rsid w:val="44A20B8D"/>
    <w:rsid w:val="45479AD4"/>
    <w:rsid w:val="45F0EABC"/>
    <w:rsid w:val="46365E66"/>
    <w:rsid w:val="46823AA3"/>
    <w:rsid w:val="46883A5C"/>
    <w:rsid w:val="48C6E459"/>
    <w:rsid w:val="48D53A8B"/>
    <w:rsid w:val="49508959"/>
    <w:rsid w:val="4975FD7E"/>
    <w:rsid w:val="49A73D1B"/>
    <w:rsid w:val="4A66B5E9"/>
    <w:rsid w:val="4A8F4143"/>
    <w:rsid w:val="4AFEC208"/>
    <w:rsid w:val="4B11CDDF"/>
    <w:rsid w:val="4B187454"/>
    <w:rsid w:val="4B7F6808"/>
    <w:rsid w:val="4C54412F"/>
    <w:rsid w:val="4C57B05E"/>
    <w:rsid w:val="4D213D7F"/>
    <w:rsid w:val="4E1C5D3E"/>
    <w:rsid w:val="4E7D6A32"/>
    <w:rsid w:val="4E834644"/>
    <w:rsid w:val="4FAA98F9"/>
    <w:rsid w:val="4FE15F99"/>
    <w:rsid w:val="4FF42775"/>
    <w:rsid w:val="50013B72"/>
    <w:rsid w:val="50593520"/>
    <w:rsid w:val="5097089F"/>
    <w:rsid w:val="50E27C74"/>
    <w:rsid w:val="5174B0B0"/>
    <w:rsid w:val="517A30A9"/>
    <w:rsid w:val="517ABCEA"/>
    <w:rsid w:val="51FBE1E6"/>
    <w:rsid w:val="52895239"/>
    <w:rsid w:val="528B1769"/>
    <w:rsid w:val="53552F23"/>
    <w:rsid w:val="53F3D0D2"/>
    <w:rsid w:val="54072279"/>
    <w:rsid w:val="5455B25D"/>
    <w:rsid w:val="549A5B20"/>
    <w:rsid w:val="54B5A977"/>
    <w:rsid w:val="5555A48D"/>
    <w:rsid w:val="5676665A"/>
    <w:rsid w:val="568E5829"/>
    <w:rsid w:val="578B2C28"/>
    <w:rsid w:val="5810EED7"/>
    <w:rsid w:val="587DC3DC"/>
    <w:rsid w:val="58F71B94"/>
    <w:rsid w:val="59809D55"/>
    <w:rsid w:val="5ABB8DBD"/>
    <w:rsid w:val="5BB91E55"/>
    <w:rsid w:val="5BC63036"/>
    <w:rsid w:val="5BECA1F3"/>
    <w:rsid w:val="5C157243"/>
    <w:rsid w:val="5C59F829"/>
    <w:rsid w:val="5DACFA0B"/>
    <w:rsid w:val="5DBA80D0"/>
    <w:rsid w:val="5E81BA7B"/>
    <w:rsid w:val="5E9829C8"/>
    <w:rsid w:val="5E9B1D80"/>
    <w:rsid w:val="5EC48BF8"/>
    <w:rsid w:val="5EEDF30D"/>
    <w:rsid w:val="5EFA76F9"/>
    <w:rsid w:val="5F507214"/>
    <w:rsid w:val="5F712255"/>
    <w:rsid w:val="5F7786DC"/>
    <w:rsid w:val="609D3E84"/>
    <w:rsid w:val="60E60741"/>
    <w:rsid w:val="6119DB49"/>
    <w:rsid w:val="612A685B"/>
    <w:rsid w:val="61D19B72"/>
    <w:rsid w:val="61D3106D"/>
    <w:rsid w:val="62A7F361"/>
    <w:rsid w:val="62B91041"/>
    <w:rsid w:val="634DADE2"/>
    <w:rsid w:val="63C05AE9"/>
    <w:rsid w:val="63DA83DA"/>
    <w:rsid w:val="6450762F"/>
    <w:rsid w:val="648496F2"/>
    <w:rsid w:val="64D3BAC7"/>
    <w:rsid w:val="64DE5AF9"/>
    <w:rsid w:val="66DBD9E8"/>
    <w:rsid w:val="675B83F9"/>
    <w:rsid w:val="678BE859"/>
    <w:rsid w:val="679F4BF8"/>
    <w:rsid w:val="67F02265"/>
    <w:rsid w:val="683C7C58"/>
    <w:rsid w:val="684839DA"/>
    <w:rsid w:val="68BA451E"/>
    <w:rsid w:val="68F03F9E"/>
    <w:rsid w:val="68F55951"/>
    <w:rsid w:val="690A8A07"/>
    <w:rsid w:val="698BF2C6"/>
    <w:rsid w:val="69E40A3B"/>
    <w:rsid w:val="6B37711D"/>
    <w:rsid w:val="6B387B35"/>
    <w:rsid w:val="6B3D3A5A"/>
    <w:rsid w:val="6C4E7A47"/>
    <w:rsid w:val="6C997007"/>
    <w:rsid w:val="6CD7C23B"/>
    <w:rsid w:val="6CF4A35F"/>
    <w:rsid w:val="6D3FBD31"/>
    <w:rsid w:val="6D8D6E68"/>
    <w:rsid w:val="6D9BA5DB"/>
    <w:rsid w:val="6DC270B6"/>
    <w:rsid w:val="6E29D555"/>
    <w:rsid w:val="6EB77B5E"/>
    <w:rsid w:val="6F40A2CD"/>
    <w:rsid w:val="6F5162D2"/>
    <w:rsid w:val="70220DEB"/>
    <w:rsid w:val="705F0909"/>
    <w:rsid w:val="7177CADA"/>
    <w:rsid w:val="719009DB"/>
    <w:rsid w:val="71991572"/>
    <w:rsid w:val="71EF1C20"/>
    <w:rsid w:val="72132E54"/>
    <w:rsid w:val="72819F14"/>
    <w:rsid w:val="7317E392"/>
    <w:rsid w:val="7334E5D3"/>
    <w:rsid w:val="734E0E30"/>
    <w:rsid w:val="738AEC81"/>
    <w:rsid w:val="73CE239C"/>
    <w:rsid w:val="7442A11E"/>
    <w:rsid w:val="7475124D"/>
    <w:rsid w:val="74A15E39"/>
    <w:rsid w:val="7577702E"/>
    <w:rsid w:val="757FD86D"/>
    <w:rsid w:val="771DE90D"/>
    <w:rsid w:val="77FFD9B1"/>
    <w:rsid w:val="780856F6"/>
    <w:rsid w:val="78108817"/>
    <w:rsid w:val="783D1C7F"/>
    <w:rsid w:val="7967AAB2"/>
    <w:rsid w:val="79845BA7"/>
    <w:rsid w:val="79A42757"/>
    <w:rsid w:val="79A895CE"/>
    <w:rsid w:val="7AC56BD5"/>
    <w:rsid w:val="7AE86D4F"/>
    <w:rsid w:val="7CAAF057"/>
    <w:rsid w:val="7CB5DE4F"/>
    <w:rsid w:val="7D143F7C"/>
    <w:rsid w:val="7D18E7A6"/>
    <w:rsid w:val="7D1FB37C"/>
    <w:rsid w:val="7D46A66D"/>
    <w:rsid w:val="7E0C695D"/>
    <w:rsid w:val="7E5C7B62"/>
    <w:rsid w:val="7EB982FC"/>
    <w:rsid w:val="7ED8AD02"/>
    <w:rsid w:val="7EF90AB6"/>
    <w:rsid w:val="7F052A17"/>
    <w:rsid w:val="7FABD7A1"/>
    <w:rsid w:val="7FB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7D3555"/>
  <w15:docId w15:val="{DB0784CE-30C3-49E7-9482-46FBA86A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848"/>
    <w:pPr>
      <w:spacing w:after="200" w:line="276" w:lineRule="auto"/>
    </w:pPr>
    <w:rPr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848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0E0"/>
    <w:pPr>
      <w:keepNext/>
      <w:keepLines/>
      <w:spacing w:before="360" w:after="36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6988"/>
    <w:pPr>
      <w:keepNext/>
      <w:spacing w:before="240" w:after="60"/>
      <w:outlineLvl w:val="2"/>
    </w:pPr>
    <w:rPr>
      <w:rFonts w:ascii="Calibri Light" w:eastAsia="Times New Roman" w:hAnsi="Calibri Light" w:cs="Calibri Light"/>
      <w:b w:val="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7236D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90B59"/>
  </w:style>
  <w:style w:type="character" w:customStyle="1" w:styleId="eop">
    <w:name w:val="eop"/>
    <w:basedOn w:val="Domylnaczcionkaakapitu"/>
    <w:rsid w:val="00C90B59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E95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E9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A0626E"/>
  </w:style>
  <w:style w:type="paragraph" w:styleId="Poprawka">
    <w:name w:val="Revision"/>
    <w:hidden/>
    <w:uiPriority w:val="99"/>
    <w:semiHidden/>
    <w:rsid w:val="00A062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0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B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9"/>
  </w:style>
  <w:style w:type="paragraph" w:styleId="Stopka">
    <w:name w:val="footer"/>
    <w:basedOn w:val="Normalny"/>
    <w:link w:val="Stopka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4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96988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64325"/>
    <w:pPr>
      <w:spacing w:after="0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325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164325"/>
    <w:rPr>
      <w:rFonts w:ascii="Arial" w:eastAsia="Arial" w:hAnsi="Arial" w:cs="Arial"/>
      <w:color w:val="000000"/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B2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ui-provider">
    <w:name w:val="ui-provider"/>
    <w:basedOn w:val="Domylnaczcionkaakapitu"/>
    <w:rsid w:val="007A392C"/>
  </w:style>
  <w:style w:type="character" w:customStyle="1" w:styleId="Nagwek1Znak">
    <w:name w:val="Nagłówek 1 Znak"/>
    <w:basedOn w:val="Domylnaczcionkaakapitu"/>
    <w:link w:val="Nagwek1"/>
    <w:uiPriority w:val="9"/>
    <w:rsid w:val="00C7184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70E0"/>
    <w:rPr>
      <w:rFonts w:ascii="Calibri" w:eastAsiaTheme="majorEastAsia" w:hAnsi="Calibri" w:cstheme="majorBidi"/>
      <w:b/>
      <w:sz w:val="24"/>
      <w:szCs w:val="26"/>
    </w:rPr>
  </w:style>
  <w:style w:type="paragraph" w:customStyle="1" w:styleId="Default">
    <w:name w:val="Default"/>
    <w:rsid w:val="009C3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C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b w:val="0"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CD0"/>
    <w:rPr>
      <w:i/>
      <w:iCs/>
      <w:color w:val="5B9BD5" w:themeColor="accent1"/>
    </w:rPr>
  </w:style>
  <w:style w:type="character" w:customStyle="1" w:styleId="cf01">
    <w:name w:val="cf01"/>
    <w:basedOn w:val="Domylnaczcionkaakapitu"/>
    <w:rsid w:val="00936137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5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F1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08C8D8176EB4D8CEE6D5701A6976A" ma:contentTypeVersion="2" ma:contentTypeDescription="Utwórz nowy dokument." ma:contentTypeScope="" ma:versionID="62dd29da771356248bcd77dc1d970225">
  <xsd:schema xmlns:xsd="http://www.w3.org/2001/XMLSchema" xmlns:xs="http://www.w3.org/2001/XMLSchema" xmlns:p="http://schemas.microsoft.com/office/2006/metadata/properties" xmlns:ns2="61b561f4-42e2-4e0b-bcb2-b45aae3835f5" targetNamespace="http://schemas.microsoft.com/office/2006/metadata/properties" ma:root="true" ma:fieldsID="ae141fc46e3037d460265aa19d3544b9" ns2:_="">
    <xsd:import namespace="61b561f4-42e2-4e0b-bcb2-b45aae383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1f4-42e2-4e0b-bcb2-b45aae38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FEE-D839-41F9-BBBA-06CF741C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561f4-42e2-4e0b-bcb2-b45aae383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36EBA-C40E-4EDC-B63E-2B4C0965C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E6CF-B509-4F25-92D5-EB3254299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B7C40-5BFB-4A25-B257-C6D9C444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33</Pages>
  <Words>6178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Bacławska</dc:creator>
  <cp:keywords/>
  <dc:description/>
  <cp:lastModifiedBy>Wańczycka-Gawdzik Maja</cp:lastModifiedBy>
  <cp:revision>55</cp:revision>
  <dcterms:created xsi:type="dcterms:W3CDTF">2023-05-08T09:24:00Z</dcterms:created>
  <dcterms:modified xsi:type="dcterms:W3CDTF">2023-06-02T09:03:00Z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0x010100DB108C8D8176EB4D8CEE6D5701A6976A</vt:lpwstr>
  </property>
</Properties>
</file>