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692D3" w14:textId="77777777" w:rsidR="00C1163F" w:rsidRDefault="0070024C">
      <w:pPr>
        <w:jc w:val="center"/>
      </w:pPr>
      <w:r>
        <w:t>Ministerstwo Funduszy i Polityki Regionalnej, Departament Rozwoju Cyfrowego</w:t>
      </w:r>
    </w:p>
    <w:p w14:paraId="3C3B8B1C" w14:textId="77777777" w:rsidR="00C1163F" w:rsidRDefault="00C1163F">
      <w:pPr>
        <w:jc w:val="center"/>
        <w:rPr>
          <w:b/>
          <w:sz w:val="44"/>
        </w:rPr>
      </w:pPr>
    </w:p>
    <w:p w14:paraId="53547E92" w14:textId="77777777" w:rsidR="00C1163F" w:rsidRDefault="00C1163F">
      <w:pPr>
        <w:jc w:val="center"/>
        <w:rPr>
          <w:b/>
          <w:sz w:val="44"/>
        </w:rPr>
      </w:pPr>
    </w:p>
    <w:p w14:paraId="6B88993A" w14:textId="77777777" w:rsidR="00C1163F" w:rsidRDefault="00C1163F">
      <w:pPr>
        <w:jc w:val="center"/>
        <w:rPr>
          <w:b/>
          <w:sz w:val="44"/>
        </w:rPr>
      </w:pPr>
    </w:p>
    <w:p w14:paraId="726B3F60" w14:textId="77777777" w:rsidR="00C1163F" w:rsidRDefault="0070024C">
      <w:pPr>
        <w:jc w:val="center"/>
        <w:rPr>
          <w:b/>
          <w:sz w:val="44"/>
        </w:rPr>
      </w:pPr>
      <w:r>
        <w:rPr>
          <w:b/>
          <w:sz w:val="44"/>
        </w:rPr>
        <w:t>Szczegółowy Opis Priorytetów</w:t>
      </w:r>
    </w:p>
    <w:p w14:paraId="176B4914" w14:textId="77777777" w:rsidR="00C1163F" w:rsidRDefault="0070024C">
      <w:pPr>
        <w:jc w:val="center"/>
        <w:rPr>
          <w:b/>
          <w:sz w:val="44"/>
        </w:rPr>
      </w:pPr>
      <w:r>
        <w:rPr>
          <w:b/>
          <w:sz w:val="44"/>
        </w:rPr>
        <w:t>Programu</w:t>
      </w:r>
    </w:p>
    <w:p w14:paraId="09DF39D8" w14:textId="77777777" w:rsidR="00C1163F" w:rsidRDefault="0070024C">
      <w:pPr>
        <w:jc w:val="center"/>
        <w:rPr>
          <w:b/>
          <w:sz w:val="44"/>
        </w:rPr>
      </w:pPr>
      <w:r>
        <w:rPr>
          <w:b/>
          <w:sz w:val="44"/>
        </w:rPr>
        <w:t>Fundusze Europejskie na Rozwój Cyfrowy 2021-2027</w:t>
      </w:r>
    </w:p>
    <w:p w14:paraId="53BAC213" w14:textId="77777777" w:rsidR="00C1163F" w:rsidRDefault="00C1163F">
      <w:pPr>
        <w:jc w:val="center"/>
        <w:rPr>
          <w:b/>
          <w:sz w:val="44"/>
        </w:rPr>
      </w:pPr>
    </w:p>
    <w:p w14:paraId="3EB42BFE" w14:textId="77777777" w:rsidR="00C1163F" w:rsidRDefault="00C1163F">
      <w:pPr>
        <w:jc w:val="center"/>
        <w:rPr>
          <w:b/>
          <w:sz w:val="44"/>
        </w:rPr>
      </w:pPr>
    </w:p>
    <w:p w14:paraId="210887FE" w14:textId="77777777" w:rsidR="00C1163F" w:rsidRDefault="00C1163F">
      <w:pPr>
        <w:jc w:val="center"/>
        <w:rPr>
          <w:b/>
          <w:sz w:val="44"/>
        </w:rPr>
      </w:pPr>
    </w:p>
    <w:p w14:paraId="5F55D125" w14:textId="77777777" w:rsidR="00C1163F" w:rsidRDefault="0070024C">
      <w:pPr>
        <w:jc w:val="center"/>
      </w:pPr>
      <w:r>
        <w:t>Wersja SZOP.FERC.002</w:t>
      </w:r>
    </w:p>
    <w:p w14:paraId="7A456948" w14:textId="77777777" w:rsidR="00C1163F" w:rsidRDefault="0070024C">
      <w:pPr>
        <w:jc w:val="center"/>
      </w:pPr>
      <w:r>
        <w:t xml:space="preserve"> Obowiązuje od dnia 2023-05-30</w:t>
      </w:r>
    </w:p>
    <w:p w14:paraId="53E4DE20" w14:textId="77777777" w:rsidR="00C1163F" w:rsidRDefault="0070024C">
      <w:pPr>
        <w:jc w:val="center"/>
      </w:pPr>
      <w:r>
        <w:t>SZOP Bieżący</w:t>
      </w:r>
    </w:p>
    <w:p w14:paraId="0E2A4BEB" w14:textId="77777777" w:rsidR="00C1163F" w:rsidRDefault="00C1163F">
      <w:pPr>
        <w:jc w:val="center"/>
        <w:rPr>
          <w:highlight w:val="yellow"/>
        </w:rPr>
      </w:pPr>
    </w:p>
    <w:p w14:paraId="653023A6" w14:textId="4AFB965F" w:rsidR="00C1163F" w:rsidRDefault="0070024C">
      <w:pPr>
        <w:rPr>
          <w:b/>
          <w:i/>
          <w:sz w:val="44"/>
          <w:highlight w:val="yellow"/>
        </w:rPr>
      </w:pPr>
      <w:r>
        <w:rPr>
          <w:b/>
          <w:i/>
          <w:noProof/>
          <w:sz w:val="44"/>
        </w:rPr>
        <w:drawing>
          <wp:inline distT="0" distB="0" distL="0" distR="0" wp14:anchorId="30C49FBE" wp14:editId="20419944">
            <wp:extent cx="5972810" cy="647700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48E25" w14:textId="77777777" w:rsidR="00C1163F" w:rsidRDefault="0070024C">
      <w:pPr>
        <w:rPr>
          <w:b/>
          <w:i/>
          <w:sz w:val="44"/>
        </w:rPr>
      </w:pPr>
      <w:r>
        <w:br w:type="page"/>
      </w:r>
    </w:p>
    <w:p w14:paraId="2F5DD811" w14:textId="77777777" w:rsidR="00C1163F" w:rsidRDefault="0070024C">
      <w:pPr>
        <w:pStyle w:val="Nagwekspisutreci"/>
        <w:rPr>
          <w:rFonts w:asciiTheme="minorHAnsi" w:hAnsiTheme="minorHAnsi" w:cs="Calibri"/>
          <w:b/>
          <w:color w:val="auto"/>
        </w:rPr>
      </w:pPr>
      <w:r>
        <w:rPr>
          <w:rFonts w:asciiTheme="minorHAnsi" w:hAnsiTheme="minorHAnsi" w:cs="Calibri"/>
          <w:b/>
          <w:color w:val="auto"/>
        </w:rPr>
        <w:lastRenderedPageBreak/>
        <w:t>Spis treści</w:t>
      </w:r>
    </w:p>
    <w:p w14:paraId="3E36C79D" w14:textId="77777777" w:rsidR="00C1163F" w:rsidRDefault="00C1163F">
      <w:pPr>
        <w:rPr>
          <w:b/>
        </w:rPr>
      </w:pPr>
    </w:p>
    <w:p w14:paraId="5694AECC" w14:textId="77777777" w:rsidR="00C1163F" w:rsidRDefault="00C1163F">
      <w:pPr>
        <w:rPr>
          <w:b/>
        </w:rPr>
      </w:pPr>
    </w:p>
    <w:p w14:paraId="21029D01" w14:textId="77777777" w:rsidR="00C1163F" w:rsidRDefault="0070024C">
      <w:pPr>
        <w:rPr>
          <w:b/>
          <w:i/>
          <w:sz w:val="28"/>
        </w:rPr>
      </w:pPr>
      <w:r>
        <w:fldChar w:fldCharType="begin"/>
      </w:r>
      <w:r>
        <w:instrText>TOC \o "1-3" \h \z \u</w:instrText>
      </w:r>
      <w:r>
        <w:fldChar w:fldCharType="separate"/>
      </w:r>
      <w:r>
        <w:t>I Informacje na temat Priorytetów i Działań</w:t>
      </w:r>
      <w:r>
        <w:fldChar w:fldCharType="end"/>
      </w:r>
      <w:r>
        <w:br/>
      </w:r>
      <w:r>
        <w:rPr>
          <w:sz w:val="28"/>
        </w:rPr>
        <w:t>II Załączniki</w:t>
      </w:r>
    </w:p>
    <w:p w14:paraId="7C4E017B" w14:textId="77777777" w:rsidR="00C1163F" w:rsidRDefault="0070024C">
      <w:pPr>
        <w:rPr>
          <w:sz w:val="28"/>
        </w:rPr>
      </w:pPr>
      <w:r>
        <w:rPr>
          <w:sz w:val="28"/>
        </w:rPr>
        <w:t>Indykatywna tabela finansowa</w:t>
      </w:r>
    </w:p>
    <w:p w14:paraId="579BCEE2" w14:textId="77777777" w:rsidR="00C1163F" w:rsidRDefault="0070024C">
      <w:pPr>
        <w:rPr>
          <w:sz w:val="28"/>
        </w:rPr>
      </w:pPr>
      <w:r>
        <w:rPr>
          <w:sz w:val="28"/>
        </w:rPr>
        <w:t>Indykatywna tabela finansowa w podziale na cele polityki, cele szczegółowe i zakres interwencji</w:t>
      </w:r>
    </w:p>
    <w:p w14:paraId="0F5C900B" w14:textId="77777777" w:rsidR="00C1163F" w:rsidRDefault="00C1163F">
      <w:pPr>
        <w:rPr>
          <w:sz w:val="28"/>
          <w:highlight w:val="magenta"/>
        </w:rPr>
      </w:pPr>
    </w:p>
    <w:p w14:paraId="6D0EA499" w14:textId="77777777" w:rsidR="00C1163F" w:rsidRDefault="0070024C">
      <w:pPr>
        <w:rPr>
          <w:b/>
          <w:i/>
          <w:sz w:val="44"/>
          <w:highlight w:val="magenta"/>
        </w:rPr>
      </w:pPr>
      <w:r>
        <w:br w:type="page"/>
      </w:r>
    </w:p>
    <w:p w14:paraId="65CD8108" w14:textId="77777777" w:rsidR="00C1163F" w:rsidRDefault="0070024C">
      <w:pPr>
        <w:pStyle w:val="Nagwek1"/>
        <w:rPr>
          <w:rFonts w:ascii="Calibri" w:hAnsi="Calibri" w:cs="Calibri"/>
        </w:rPr>
      </w:pPr>
      <w:bookmarkStart w:id="0" w:name="_Toc76643858"/>
      <w:r>
        <w:rPr>
          <w:rFonts w:ascii="Calibri" w:hAnsi="Calibri" w:cs="Calibri"/>
        </w:rPr>
        <w:lastRenderedPageBreak/>
        <w:t>I Informacje na tem</w:t>
      </w:r>
      <w:r>
        <w:rPr>
          <w:rFonts w:ascii="Calibri" w:hAnsi="Calibri" w:cs="Calibri"/>
        </w:rPr>
        <w:t>at Priorytetów i Działań</w:t>
      </w:r>
      <w:bookmarkEnd w:id="0"/>
    </w:p>
    <w:p w14:paraId="17DC0F10" w14:textId="77777777" w:rsidR="00C1163F" w:rsidRDefault="00C1163F">
      <w:pPr>
        <w:rPr>
          <w:rFonts w:ascii="Calibri" w:hAnsi="Calibri"/>
        </w:rPr>
      </w:pPr>
    </w:p>
    <w:p w14:paraId="703A95A7" w14:textId="77777777" w:rsidR="00C1163F" w:rsidRDefault="00C1163F">
      <w:pPr>
        <w:rPr>
          <w:rFonts w:ascii="Calibri" w:hAnsi="Calibri"/>
        </w:rPr>
      </w:pPr>
    </w:p>
    <w:p w14:paraId="128C1464" w14:textId="77777777" w:rsidR="00C1163F" w:rsidRDefault="00C1163F">
      <w:pPr>
        <w:rPr>
          <w:b/>
          <w:i/>
          <w:sz w:val="44"/>
          <w:highlight w:val="magenta"/>
        </w:rPr>
      </w:pPr>
    </w:p>
    <w:p w14:paraId="22F70963" w14:textId="77777777" w:rsidR="00C1163F" w:rsidRDefault="0070024C">
      <w:pPr>
        <w:pStyle w:val="Nagwek2"/>
        <w:rPr>
          <w:rFonts w:ascii="Calibri" w:hAnsi="Calibri" w:cs="Calibri"/>
          <w:i w:val="0"/>
          <w:sz w:val="32"/>
        </w:rPr>
      </w:pPr>
      <w:r>
        <w:rPr>
          <w:rFonts w:ascii="Calibri" w:hAnsi="Calibri" w:cs="Calibri"/>
          <w:i w:val="0"/>
          <w:sz w:val="32"/>
        </w:rPr>
        <w:t xml:space="preserve">Priorytet FERC.01 Zwiększenie dostępu do ultra-szybkiego </w:t>
      </w:r>
      <w:proofErr w:type="spellStart"/>
      <w:r>
        <w:rPr>
          <w:rFonts w:ascii="Calibri" w:hAnsi="Calibri" w:cs="Calibri"/>
          <w:i w:val="0"/>
          <w:sz w:val="32"/>
        </w:rPr>
        <w:t>internetu</w:t>
      </w:r>
      <w:proofErr w:type="spellEnd"/>
      <w:r>
        <w:rPr>
          <w:rFonts w:ascii="Calibri" w:hAnsi="Calibri" w:cs="Calibri"/>
          <w:i w:val="0"/>
          <w:sz w:val="32"/>
        </w:rPr>
        <w:t xml:space="preserve"> szerokopasmowego</w:t>
      </w:r>
    </w:p>
    <w:p w14:paraId="7A2FD242" w14:textId="77777777" w:rsidR="00C1163F" w:rsidRDefault="00C1163F">
      <w:pPr>
        <w:rPr>
          <w:rFonts w:ascii="Calibri" w:hAnsi="Calibri"/>
          <w:sz w:val="32"/>
        </w:rPr>
      </w:pPr>
    </w:p>
    <w:p w14:paraId="17A2302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Zarządzająca</w:t>
      </w:r>
    </w:p>
    <w:p w14:paraId="441D2918" w14:textId="77777777" w:rsidR="00C1163F" w:rsidRDefault="0070024C">
      <w:pPr>
        <w:rPr>
          <w:b/>
          <w:sz w:val="28"/>
        </w:rPr>
      </w:pPr>
      <w:r>
        <w:rPr>
          <w:sz w:val="28"/>
        </w:rPr>
        <w:t>Ministerstwo Funduszy i Polityki Regionalnej, Departament Rozwoju Cyfrowego</w:t>
      </w:r>
    </w:p>
    <w:p w14:paraId="2DBE660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Fundusz</w:t>
      </w:r>
    </w:p>
    <w:p w14:paraId="7C5CA1A8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Europejski Fundusz Rozwoju </w:t>
      </w:r>
      <w:r>
        <w:rPr>
          <w:sz w:val="28"/>
        </w:rPr>
        <w:t>Regionalnego</w:t>
      </w:r>
    </w:p>
    <w:p w14:paraId="08B2B40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Polityki</w:t>
      </w:r>
    </w:p>
    <w:p w14:paraId="4AB220AD" w14:textId="77777777" w:rsidR="00C1163F" w:rsidRDefault="0070024C">
      <w:pPr>
        <w:rPr>
          <w:b/>
          <w:sz w:val="28"/>
        </w:rPr>
      </w:pPr>
      <w:r>
        <w:rPr>
          <w:sz w:val="28"/>
        </w:rPr>
        <w:t>CP1 - Bardziej konkurencyjna i inteligentna Europa dzięki wspieraniu innowacyjnej i inteligentnej transformacji gospodarczej oraz regionalnej łączności cyfrowej</w:t>
      </w:r>
    </w:p>
    <w:p w14:paraId="2E9C716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Miejsce realizacji</w:t>
      </w:r>
    </w:p>
    <w:p w14:paraId="42B74D1E" w14:textId="77777777" w:rsidR="00C1163F" w:rsidRDefault="0070024C">
      <w:pPr>
        <w:rPr>
          <w:b/>
          <w:sz w:val="28"/>
        </w:rPr>
      </w:pPr>
      <w:r>
        <w:rPr>
          <w:sz w:val="28"/>
        </w:rPr>
        <w:t>DOLNOŚLĄSKIE, KUJAWSKO-POMORSKIE, ŁÓDZKIE, LUBELSK</w:t>
      </w:r>
      <w:r>
        <w:rPr>
          <w:sz w:val="28"/>
        </w:rPr>
        <w:t>IE, LUBUSKIE, MAŁOPOLSKIE, Mazowiecki regionalny, OPOLSKIE, PODKARPACKIE, PODLASKIE, POMORSKIE, ŚLĄSKIE, ŚWIĘTOKRZYSKIE, WARMIŃSKO-MAZURSKIE, Warszawski stołeczny, WIELKOPOLSKIE, ZACHODNIOPOMORSKIE</w:t>
      </w:r>
    </w:p>
    <w:p w14:paraId="0D16436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2A258A09" w14:textId="77777777" w:rsidR="00C1163F" w:rsidRDefault="0070024C">
      <w:pPr>
        <w:rPr>
          <w:b/>
          <w:sz w:val="28"/>
        </w:rPr>
      </w:pPr>
      <w:r>
        <w:rPr>
          <w:sz w:val="28"/>
        </w:rPr>
        <w:t>1 003 706 699,00</w:t>
      </w:r>
    </w:p>
    <w:p w14:paraId="7D2D422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</w:t>
      </w:r>
      <w:r>
        <w:rPr>
          <w:b/>
          <w:sz w:val="28"/>
        </w:rPr>
        <w:t>lokacji UE (EUR)</w:t>
      </w:r>
    </w:p>
    <w:p w14:paraId="4C4FA590" w14:textId="77777777" w:rsidR="00C1163F" w:rsidRDefault="0070024C">
      <w:pPr>
        <w:rPr>
          <w:b/>
          <w:sz w:val="28"/>
        </w:rPr>
      </w:pPr>
      <w:r>
        <w:rPr>
          <w:sz w:val="28"/>
        </w:rPr>
        <w:t>800 038 869,00</w:t>
      </w:r>
    </w:p>
    <w:p w14:paraId="268F6599" w14:textId="77777777" w:rsidR="00C1163F" w:rsidRDefault="00C1163F">
      <w:pPr>
        <w:rPr>
          <w:b/>
          <w:sz w:val="28"/>
        </w:rPr>
      </w:pPr>
    </w:p>
    <w:p w14:paraId="663961B7" w14:textId="77777777" w:rsidR="00C1163F" w:rsidRDefault="0070024C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lastRenderedPageBreak/>
        <w:t xml:space="preserve">Działanie FERC.01.01 Zwiększenie dostępu do ultra-szybkiego </w:t>
      </w:r>
      <w:proofErr w:type="spellStart"/>
      <w:r>
        <w:rPr>
          <w:rFonts w:ascii="Calibri" w:hAnsi="Calibri" w:cs="Calibri"/>
          <w:sz w:val="32"/>
        </w:rPr>
        <w:t>internetu</w:t>
      </w:r>
      <w:proofErr w:type="spellEnd"/>
      <w:r>
        <w:rPr>
          <w:rFonts w:ascii="Calibri" w:hAnsi="Calibri" w:cs="Calibri"/>
          <w:sz w:val="32"/>
        </w:rPr>
        <w:t xml:space="preserve"> szerokopasmowego</w:t>
      </w:r>
    </w:p>
    <w:p w14:paraId="4266A018" w14:textId="77777777" w:rsidR="00C1163F" w:rsidRDefault="00C1163F">
      <w:pPr>
        <w:rPr>
          <w:rFonts w:ascii="Calibri" w:hAnsi="Calibri"/>
          <w:sz w:val="32"/>
        </w:rPr>
      </w:pPr>
    </w:p>
    <w:p w14:paraId="761880C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szczegółowy</w:t>
      </w:r>
    </w:p>
    <w:p w14:paraId="25120846" w14:textId="77777777" w:rsidR="00C1163F" w:rsidRDefault="0070024C">
      <w:pPr>
        <w:rPr>
          <w:b/>
          <w:sz w:val="28"/>
        </w:rPr>
      </w:pPr>
      <w:r>
        <w:rPr>
          <w:sz w:val="28"/>
        </w:rPr>
        <w:t>EFRR.CP1.V - Udoskonalanie łączności cyfrowej</w:t>
      </w:r>
    </w:p>
    <w:p w14:paraId="3FD42A2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49617035" w14:textId="77777777" w:rsidR="00C1163F" w:rsidRDefault="0070024C">
      <w:pPr>
        <w:rPr>
          <w:b/>
          <w:sz w:val="28"/>
        </w:rPr>
      </w:pPr>
      <w:r>
        <w:rPr>
          <w:sz w:val="28"/>
        </w:rPr>
        <w:t>Centrum Projektów Polska Cyfrowa</w:t>
      </w:r>
    </w:p>
    <w:p w14:paraId="3A1A85E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</w:t>
      </w:r>
      <w:r>
        <w:rPr>
          <w:b/>
          <w:sz w:val="28"/>
        </w:rPr>
        <w:t>ji ogółem (EUR)</w:t>
      </w:r>
    </w:p>
    <w:p w14:paraId="268F06C5" w14:textId="77777777" w:rsidR="00C1163F" w:rsidRDefault="0070024C">
      <w:pPr>
        <w:rPr>
          <w:b/>
          <w:sz w:val="28"/>
        </w:rPr>
      </w:pPr>
      <w:r>
        <w:rPr>
          <w:sz w:val="28"/>
        </w:rPr>
        <w:t>1 003 706 699,00</w:t>
      </w:r>
    </w:p>
    <w:p w14:paraId="58037AF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18918045" w14:textId="77777777" w:rsidR="00C1163F" w:rsidRDefault="0070024C">
      <w:pPr>
        <w:rPr>
          <w:b/>
          <w:sz w:val="28"/>
        </w:rPr>
      </w:pPr>
      <w:r>
        <w:rPr>
          <w:sz w:val="28"/>
        </w:rPr>
        <w:t>800 038 869,00</w:t>
      </w:r>
    </w:p>
    <w:p w14:paraId="20F29A6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161B2CC1" w14:textId="77777777" w:rsidR="00C1163F" w:rsidRDefault="0070024C">
      <w:pPr>
        <w:rPr>
          <w:b/>
          <w:sz w:val="28"/>
        </w:rPr>
      </w:pPr>
      <w:r>
        <w:rPr>
          <w:sz w:val="28"/>
        </w:rPr>
        <w:t>032 - TIK: sieć szerokopasmowa o bardzo dużej przepustowości (sieć szkieletowa/dosyłowa), 033 - TIK: sieć szerokopasmowa o bardzo dużej przepustowości (dostęp/lok</w:t>
      </w:r>
      <w:r>
        <w:rPr>
          <w:sz w:val="28"/>
        </w:rPr>
        <w:t>alna pętla o wydajności równoważnej instalacji światłowodowej do punktu dystrybucji w miejscu świadczenia usługi dla wielu lokali mieszkalnych), 034 - TIK: sieć szerokopasmowa o bardzo dużej przepustowości (dostęp/lokalna pętla o wydajności równoważnej ins</w:t>
      </w:r>
      <w:r>
        <w:rPr>
          <w:sz w:val="28"/>
        </w:rPr>
        <w:t xml:space="preserve">talacji światłowodowej do punktu dystrybucji w miejscu świadczenia usługi dla domów i przedsiębiorstw), 035 - TIK: sieć szerokopasmowa o bardzo dużej przepustowości (dostęp/lokalna pętla o wydajności równoważnej instalacji światłowodowej do stacji bazowej </w:t>
      </w:r>
      <w:r>
        <w:rPr>
          <w:sz w:val="28"/>
        </w:rPr>
        <w:t>zaawansowanych urządzeń telekomunikacji bezprzewodowej)</w:t>
      </w:r>
    </w:p>
    <w:p w14:paraId="2B90A3D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66E9F34D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 ramach działania wspierane będą projekty umożliwiające jak najszerszy dostęp do szerokopasmowego </w:t>
      </w:r>
      <w:proofErr w:type="spellStart"/>
      <w:r>
        <w:rPr>
          <w:sz w:val="28"/>
        </w:rPr>
        <w:t>internetu</w:t>
      </w:r>
      <w:proofErr w:type="spellEnd"/>
      <w:r>
        <w:rPr>
          <w:sz w:val="28"/>
        </w:rPr>
        <w:t xml:space="preserve">, przy jak najwyższych parametrach technicznych, na obszarach, gdzie </w:t>
      </w:r>
      <w:r>
        <w:rPr>
          <w:sz w:val="28"/>
        </w:rPr>
        <w:t xml:space="preserve">stwierdzono niedoskonałości rynku w zakresie dostępu do </w:t>
      </w:r>
      <w:proofErr w:type="spellStart"/>
      <w:r>
        <w:rPr>
          <w:sz w:val="28"/>
        </w:rPr>
        <w:lastRenderedPageBreak/>
        <w:t>internetu</w:t>
      </w:r>
      <w:proofErr w:type="spellEnd"/>
      <w:r>
        <w:rPr>
          <w:sz w:val="28"/>
        </w:rPr>
        <w:t xml:space="preserve"> o wysokich przepustowościach. Posłużą do tego publiczne bazy danych o istniejącej infrastrukturze szerokopasmowej oraz opracowane na ich podstawie analizy dostępu do usług szerokopasmowych. </w:t>
      </w:r>
      <w:r>
        <w:rPr>
          <w:sz w:val="28"/>
        </w:rPr>
        <w:t>Wsparcie oraz jego wysokość będą zależne od zidentyfikowanych w ten sposób potrzeb inwestycyjnych, wynikających z uwarunkowań poszczególnych obszarów, w tym szczególnie z wieloaspektowej oceny ekonomicznej opłacalności inwestycji (np. obecność infrastruktu</w:t>
      </w:r>
      <w:r>
        <w:rPr>
          <w:sz w:val="28"/>
        </w:rPr>
        <w:t>ry, dostępność usług, gęstość zaludnienia, typ zabudowy, ukształtowanie terenu). W projektowaniu interwencji dopuszcza się także uwzględnienie potrzeb zdiagnozowanych i zgłaszanych przez JST oraz mieszkańców.</w:t>
      </w:r>
    </w:p>
    <w:p w14:paraId="3827B168" w14:textId="77777777" w:rsidR="00C1163F" w:rsidRDefault="0070024C">
      <w:pPr>
        <w:rPr>
          <w:b/>
          <w:sz w:val="28"/>
        </w:rPr>
      </w:pPr>
      <w:r>
        <w:rPr>
          <w:sz w:val="28"/>
        </w:rPr>
        <w:t>Celem wsparcia będzie objęcie gospodarstw domow</w:t>
      </w:r>
      <w:r>
        <w:rPr>
          <w:sz w:val="28"/>
        </w:rPr>
        <w:t xml:space="preserve">ych (rozumianych jako lokale mieszkalne) oraz przedsiębiorstw zasięgiem sieci o przepustowości co najmniej 300 </w:t>
      </w:r>
      <w:proofErr w:type="spellStart"/>
      <w:r>
        <w:rPr>
          <w:sz w:val="28"/>
        </w:rPr>
        <w:t>Mb</w:t>
      </w:r>
      <w:proofErr w:type="spellEnd"/>
      <w:r>
        <w:rPr>
          <w:sz w:val="28"/>
        </w:rPr>
        <w:t>/s, przy czym wspierane będą wyłącznie rozwiązania technologiczne zapewniające skalowalność sieci do prędkości gigabitowych. Interwencja obejmi</w:t>
      </w:r>
      <w:r>
        <w:rPr>
          <w:sz w:val="28"/>
        </w:rPr>
        <w:t xml:space="preserve">e też zapewnienie co do zasady symetrycznego dostępu do </w:t>
      </w:r>
      <w:proofErr w:type="spellStart"/>
      <w:r>
        <w:rPr>
          <w:sz w:val="28"/>
        </w:rPr>
        <w:t>internetu</w:t>
      </w:r>
      <w:proofErr w:type="spellEnd"/>
      <w:r>
        <w:rPr>
          <w:sz w:val="28"/>
        </w:rPr>
        <w:t xml:space="preserve"> o przepustowości co najmniej 1 </w:t>
      </w:r>
      <w:proofErr w:type="spellStart"/>
      <w:r>
        <w:rPr>
          <w:sz w:val="28"/>
        </w:rPr>
        <w:t>Gb</w:t>
      </w:r>
      <w:proofErr w:type="spellEnd"/>
      <w:r>
        <w:rPr>
          <w:sz w:val="28"/>
        </w:rPr>
        <w:t>/s w miejscach stanowiących główną siłę napędową rozwoju społeczno-gospodarczego.</w:t>
      </w:r>
    </w:p>
    <w:p w14:paraId="65CDB3DA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 przypadku modernizacji istniejącej infrastruktury telekomunikacyjnej umożliwiającej korzystanie z </w:t>
      </w:r>
      <w:proofErr w:type="spellStart"/>
      <w:r>
        <w:rPr>
          <w:sz w:val="28"/>
        </w:rPr>
        <w:t>internetu</w:t>
      </w:r>
      <w:proofErr w:type="spellEnd"/>
      <w:r>
        <w:rPr>
          <w:sz w:val="28"/>
        </w:rPr>
        <w:t xml:space="preserve"> o przepustowości co najmniej 300 </w:t>
      </w:r>
      <w:proofErr w:type="spellStart"/>
      <w:r>
        <w:rPr>
          <w:sz w:val="28"/>
        </w:rPr>
        <w:t>Mb</w:t>
      </w:r>
      <w:proofErr w:type="spellEnd"/>
      <w:r>
        <w:rPr>
          <w:sz w:val="28"/>
        </w:rPr>
        <w:t xml:space="preserve">/s, jej celem będzie dostosowanie sieci do osiągnięcia przepustowości co najmniej 1Gb/s. </w:t>
      </w:r>
    </w:p>
    <w:p w14:paraId="1F79A091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 ramach interwencji </w:t>
      </w:r>
      <w:r>
        <w:rPr>
          <w:sz w:val="28"/>
        </w:rPr>
        <w:t>wsparciem będą objęte projekty w zakresie budowy, rozbudowy lub przebudowy sieci dostępowych, w tym projekty w zakresie dostępu do publicznej bezprzewodowej sieci internetowej. Sieci wyższych warstw, tj. sieci dystrybucyjne i szkieletowe będą mogły być rea</w:t>
      </w:r>
      <w:r>
        <w:rPr>
          <w:sz w:val="28"/>
        </w:rPr>
        <w:t>lizowane w zakresie niezbędnym do budowy sieci dostępowych. W celu uniknięcia niepotrzebnego i nieekonomicznego powielania zasobów oraz w celu zmniejszenia finansowania ze środków publicznych, planowane do realizacji projekty powinny w możliwie największym</w:t>
      </w:r>
      <w:r>
        <w:rPr>
          <w:sz w:val="28"/>
        </w:rPr>
        <w:t xml:space="preserve"> stopniu wykorzystywać istniejącą lub planowaną infrastrukturę – zarówno techniczną, jak i telekomunikacyjną.</w:t>
      </w:r>
    </w:p>
    <w:p w14:paraId="1811A382" w14:textId="77777777" w:rsidR="00C1163F" w:rsidRDefault="0070024C">
      <w:pPr>
        <w:rPr>
          <w:b/>
          <w:sz w:val="28"/>
        </w:rPr>
      </w:pPr>
      <w:r>
        <w:rPr>
          <w:sz w:val="28"/>
        </w:rPr>
        <w:t>Wsparcie będzie udzielane przy zachowaniu zasady neutralności technologicznej. Inwestycje dotyczące rozwoju infrastruktury przewodowej będą realiz</w:t>
      </w:r>
      <w:r>
        <w:rPr>
          <w:sz w:val="28"/>
        </w:rPr>
        <w:t xml:space="preserve">owane w </w:t>
      </w:r>
      <w:r>
        <w:rPr>
          <w:sz w:val="28"/>
        </w:rPr>
        <w:lastRenderedPageBreak/>
        <w:t xml:space="preserve">taki sposób, aby infrastruktura ta znalazła się w bezpośrednim zasięgu lokalizacji użytkownika końcowego. </w:t>
      </w:r>
    </w:p>
    <w:p w14:paraId="77BA7AFB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Przewidywany typ projektu: Zapewnienie powszechnego dostępu do szerokopasmowego </w:t>
      </w:r>
      <w:proofErr w:type="spellStart"/>
      <w:r>
        <w:rPr>
          <w:sz w:val="28"/>
        </w:rPr>
        <w:t>internetu</w:t>
      </w:r>
      <w:proofErr w:type="spellEnd"/>
      <w:r>
        <w:rPr>
          <w:sz w:val="28"/>
        </w:rPr>
        <w:t>.</w:t>
      </w:r>
    </w:p>
    <w:p w14:paraId="480CD755" w14:textId="77777777" w:rsidR="00C1163F" w:rsidRDefault="0070024C">
      <w:pPr>
        <w:rPr>
          <w:b/>
          <w:sz w:val="28"/>
        </w:rPr>
      </w:pPr>
      <w:r>
        <w:rPr>
          <w:sz w:val="28"/>
        </w:rPr>
        <w:t>Wdrażanie Programu będzie zgodne z przepisami kraj</w:t>
      </w:r>
      <w:r>
        <w:rPr>
          <w:sz w:val="28"/>
        </w:rPr>
        <w:t>owymi i europejskimi, w tym dyrektywami (UE) 2019/882  w sprawie wymogów dostępności produktów i usług i (UE) 2016/2102 w sprawie dostępności stron internetowych i mobilnych aplikacji organów sektora publicznego.</w:t>
      </w:r>
    </w:p>
    <w:p w14:paraId="2FADC44D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 zachowaniem zas</w:t>
      </w:r>
      <w:r>
        <w:rPr>
          <w:sz w:val="28"/>
        </w:rPr>
        <w:t>ad sprzyjających podniesieniu jakości życia i zapewnienia niezależności obywateli, którzy ze względu na stan zdrowia, wiek czy niepełnosprawność napotykają na ograniczenia w życiu codziennym. Dostępność będzie realizowana przez stosowanie zasad uniwersalne</w:t>
      </w:r>
      <w:r>
        <w:rPr>
          <w:sz w:val="28"/>
        </w:rPr>
        <w:t>go projektowania i standardów w zakresie m.in. dostępności cyfrowej produktów.</w:t>
      </w:r>
    </w:p>
    <w:p w14:paraId="38509172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zgodnie z zasadą niedyskryminacji ze względu na płeć, rasę lub pochodzenie etniczne, religię lub światopogląd, niepełnosprawność, wiek, orientację seks</w:t>
      </w:r>
      <w:r>
        <w:rPr>
          <w:sz w:val="28"/>
        </w:rPr>
        <w:t>ualną. Rezultaty projektów, a także produkty projektów nie będą dyskryminacyjne.</w:t>
      </w:r>
    </w:p>
    <w:p w14:paraId="05E8833B" w14:textId="77777777" w:rsidR="00C1163F" w:rsidRDefault="0070024C">
      <w:pPr>
        <w:rPr>
          <w:b/>
          <w:sz w:val="28"/>
        </w:rPr>
      </w:pPr>
      <w:r>
        <w:rPr>
          <w:sz w:val="28"/>
        </w:rPr>
        <w:t>Wsparcie będzie udzielane wyłącznie projektom i beneficjentom, którzy przestrzegają przepisów antydyskryminacyjnych, o których mowa w art. 9 ust. 3 Rozporządzenia PE i Rady nr</w:t>
      </w:r>
      <w:r>
        <w:rPr>
          <w:sz w:val="28"/>
        </w:rPr>
        <w:t xml:space="preserve"> 2021/1060. W przypadku, gdy beneficjentem jest JST (lub podmiot przez nią kontrolowany lub od niej zależny), która podjęła jakiekolwiek działania dyskryminujące, sprzeczne z zasadami, o których mowa w art. 9 ust. 3 rozporządzenia nr 2021/1060, wsparcie w </w:t>
      </w:r>
      <w:r>
        <w:rPr>
          <w:sz w:val="28"/>
        </w:rPr>
        <w:t>ramach polityki spójności nie może być udzielone.</w:t>
      </w:r>
    </w:p>
    <w:p w14:paraId="43FF267B" w14:textId="77777777" w:rsidR="00C1163F" w:rsidRDefault="0070024C">
      <w:pPr>
        <w:rPr>
          <w:b/>
          <w:sz w:val="28"/>
        </w:rPr>
      </w:pPr>
      <w:r>
        <w:rPr>
          <w:sz w:val="28"/>
        </w:rPr>
        <w:t>Możliwa będzie realizacja projektów w partnerstwie publiczno-prywatnym.</w:t>
      </w:r>
    </w:p>
    <w:p w14:paraId="2E74116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14:paraId="35CD6D26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24E1098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Maksymalny % poziom dofinansowania całkowitego wydatków kwalifikowalnych na po</w:t>
      </w:r>
      <w:r>
        <w:rPr>
          <w:b/>
          <w:sz w:val="28"/>
        </w:rPr>
        <w:t>ziomie projektu (środki UE + współfinansowanie ze środków krajowych przyznane beneficjentowi przez właściwą instytucję)</w:t>
      </w:r>
    </w:p>
    <w:p w14:paraId="68370E6D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2331670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14:paraId="3949716C" w14:textId="77777777" w:rsidR="00C1163F" w:rsidRDefault="0070024C">
      <w:pPr>
        <w:rPr>
          <w:b/>
          <w:sz w:val="28"/>
        </w:rPr>
      </w:pPr>
      <w:r>
        <w:rPr>
          <w:sz w:val="28"/>
        </w:rPr>
        <w:t>Rozporządzenie Komisji (UE) nr 651/2014 z dnia 17 czerwca 2014 r. uznające niektóre rodza</w:t>
      </w:r>
      <w:r>
        <w:rPr>
          <w:sz w:val="28"/>
        </w:rPr>
        <w:t>je pomocy za zgodne z rynkiem wewnętrznym w zastosowaniu art. 107 i 108 Traktatu</w:t>
      </w:r>
    </w:p>
    <w:p w14:paraId="519110D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14:paraId="453F71A1" w14:textId="77777777" w:rsidR="00C1163F" w:rsidRDefault="0070024C">
      <w:pPr>
        <w:rPr>
          <w:b/>
          <w:sz w:val="28"/>
        </w:rPr>
      </w:pPr>
      <w:r>
        <w:rPr>
          <w:sz w:val="28"/>
        </w:rPr>
        <w:t>Rozporządzenie Ministra Cyfryzacji z dnia 16 lutego 2023 r. w sprawie udzielania pomocy na rozwój infrastruktury szerokopasmowej w ra</w:t>
      </w:r>
      <w:r>
        <w:rPr>
          <w:sz w:val="28"/>
        </w:rPr>
        <w:t>mach programu Fundusze Europejskie na Rozwój Cyfrowy 2021–2027 (Dz. U. z 2023 r. poz. 405)</w:t>
      </w:r>
    </w:p>
    <w:p w14:paraId="2DF6F47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Uproszczone metody rozliczania</w:t>
      </w:r>
    </w:p>
    <w:p w14:paraId="760C93C6" w14:textId="77777777" w:rsidR="00C1163F" w:rsidRDefault="0070024C">
      <w:pPr>
        <w:rPr>
          <w:b/>
          <w:sz w:val="28"/>
        </w:rPr>
      </w:pPr>
      <w:r>
        <w:rPr>
          <w:sz w:val="28"/>
        </w:rPr>
        <w:t>stawka jednostkowa w oparciu o metodykę IZ [art. 53(3)(a) CPR]</w:t>
      </w:r>
    </w:p>
    <w:p w14:paraId="5B8E156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Forma wsparcia</w:t>
      </w:r>
    </w:p>
    <w:p w14:paraId="74D70D37" w14:textId="77777777" w:rsidR="00C1163F" w:rsidRDefault="0070024C">
      <w:pPr>
        <w:rPr>
          <w:b/>
          <w:sz w:val="28"/>
        </w:rPr>
      </w:pPr>
      <w:r>
        <w:rPr>
          <w:sz w:val="28"/>
        </w:rPr>
        <w:t>Dotacja</w:t>
      </w:r>
    </w:p>
    <w:p w14:paraId="7922F52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Dopuszczalny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4D23FB3D" w14:textId="77777777" w:rsidR="00C1163F" w:rsidRDefault="0070024C">
      <w:pPr>
        <w:rPr>
          <w:b/>
          <w:sz w:val="28"/>
        </w:rPr>
      </w:pPr>
      <w:r>
        <w:rPr>
          <w:sz w:val="28"/>
        </w:rPr>
        <w:t>0</w:t>
      </w:r>
    </w:p>
    <w:p w14:paraId="786A28C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Sposób wyboru</w:t>
      </w:r>
      <w:r>
        <w:rPr>
          <w:b/>
          <w:sz w:val="28"/>
        </w:rPr>
        <w:t xml:space="preserve"> projektów</w:t>
      </w:r>
    </w:p>
    <w:p w14:paraId="1BAC31EB" w14:textId="77777777" w:rsidR="00C1163F" w:rsidRDefault="0070024C">
      <w:pPr>
        <w:rPr>
          <w:b/>
          <w:sz w:val="28"/>
        </w:rPr>
      </w:pPr>
      <w:r>
        <w:rPr>
          <w:sz w:val="28"/>
        </w:rPr>
        <w:t>Konkurencyjny</w:t>
      </w:r>
    </w:p>
    <w:p w14:paraId="3803B82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01BC50FE" w14:textId="77777777" w:rsidR="00C1163F" w:rsidRDefault="0070024C">
      <w:pPr>
        <w:rPr>
          <w:b/>
          <w:sz w:val="28"/>
        </w:rPr>
      </w:pPr>
      <w:r>
        <w:rPr>
          <w:sz w:val="28"/>
        </w:rPr>
        <w:t>Nie dotyczy</w:t>
      </w:r>
    </w:p>
    <w:p w14:paraId="307BC2D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14:paraId="16ED9BA8" w14:textId="77777777" w:rsidR="00C1163F" w:rsidRDefault="0070024C">
      <w:pPr>
        <w:rPr>
          <w:b/>
          <w:sz w:val="28"/>
        </w:rPr>
      </w:pPr>
      <w:r>
        <w:rPr>
          <w:sz w:val="28"/>
        </w:rPr>
        <w:t>Przedsiębiorstwa</w:t>
      </w:r>
    </w:p>
    <w:p w14:paraId="34792A5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Typ beneficjenta – szczegółowy</w:t>
      </w:r>
    </w:p>
    <w:p w14:paraId="275A08D3" w14:textId="77777777" w:rsidR="00C1163F" w:rsidRDefault="0070024C">
      <w:pPr>
        <w:rPr>
          <w:b/>
          <w:sz w:val="28"/>
        </w:rPr>
      </w:pPr>
      <w:r>
        <w:rPr>
          <w:sz w:val="28"/>
        </w:rPr>
        <w:t>Duże przedsiębiorstwa, MŚP</w:t>
      </w:r>
    </w:p>
    <w:p w14:paraId="4411497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Grupa docelowa</w:t>
      </w:r>
    </w:p>
    <w:p w14:paraId="663D1B25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administracja publiczna (w tym rządowa) oraz podległe jej </w:t>
      </w:r>
      <w:r>
        <w:rPr>
          <w:sz w:val="28"/>
        </w:rPr>
        <w:t>organy i jednostki organizacyjne, obywatele, przedsiębiorcy</w:t>
      </w:r>
    </w:p>
    <w:p w14:paraId="5147595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393C5FD0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cyfryzacja, infrastruktura, </w:t>
      </w:r>
      <w:proofErr w:type="spellStart"/>
      <w:r>
        <w:rPr>
          <w:sz w:val="28"/>
        </w:rPr>
        <w:t>internet_szerokopasmowy</w:t>
      </w:r>
      <w:proofErr w:type="spellEnd"/>
      <w:r>
        <w:rPr>
          <w:sz w:val="28"/>
        </w:rPr>
        <w:t xml:space="preserve">, inwestycja, </w:t>
      </w:r>
      <w:proofErr w:type="spellStart"/>
      <w:r>
        <w:rPr>
          <w:sz w:val="28"/>
        </w:rPr>
        <w:t>szybki_internet</w:t>
      </w:r>
      <w:proofErr w:type="spellEnd"/>
      <w:r>
        <w:rPr>
          <w:sz w:val="28"/>
        </w:rPr>
        <w:t xml:space="preserve">, teleinformatyka, TIK, </w:t>
      </w:r>
      <w:proofErr w:type="spellStart"/>
      <w:r>
        <w:rPr>
          <w:sz w:val="28"/>
        </w:rPr>
        <w:t>transformacja_cyfrowa</w:t>
      </w:r>
      <w:proofErr w:type="spellEnd"/>
    </w:p>
    <w:p w14:paraId="5C34814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Wielkość podmiotu (w przypadku przedsiębiorstw)</w:t>
      </w:r>
    </w:p>
    <w:p w14:paraId="65509560" w14:textId="77777777" w:rsidR="00C1163F" w:rsidRDefault="0070024C">
      <w:pPr>
        <w:rPr>
          <w:b/>
          <w:sz w:val="28"/>
        </w:rPr>
      </w:pPr>
      <w:r>
        <w:rPr>
          <w:sz w:val="28"/>
        </w:rPr>
        <w:t>Duże, M</w:t>
      </w:r>
      <w:r>
        <w:rPr>
          <w:sz w:val="28"/>
        </w:rPr>
        <w:t xml:space="preserve">ałe, </w:t>
      </w:r>
      <w:proofErr w:type="spellStart"/>
      <w:r>
        <w:rPr>
          <w:sz w:val="28"/>
        </w:rPr>
        <w:t>Mid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caps</w:t>
      </w:r>
      <w:proofErr w:type="spellEnd"/>
      <w:r>
        <w:rPr>
          <w:sz w:val="28"/>
        </w:rPr>
        <w:t xml:space="preserve">, Mikro, Small </w:t>
      </w:r>
      <w:proofErr w:type="spellStart"/>
      <w:r>
        <w:rPr>
          <w:sz w:val="28"/>
        </w:rPr>
        <w:t>mid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caps</w:t>
      </w:r>
      <w:proofErr w:type="spellEnd"/>
      <w:r>
        <w:rPr>
          <w:sz w:val="28"/>
        </w:rPr>
        <w:t>, Średnie</w:t>
      </w:r>
    </w:p>
    <w:p w14:paraId="5F7F652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35579A5A" w14:textId="77777777" w:rsidR="00C1163F" w:rsidRDefault="0070024C">
      <w:pPr>
        <w:rPr>
          <w:b/>
          <w:sz w:val="28"/>
        </w:rPr>
      </w:pPr>
      <w:r>
        <w:rPr>
          <w:sz w:val="28"/>
        </w:rPr>
        <w:t>https://www.rozwojcyfrowy.gov.pl/strony/dowiedz-sie-wiecej-o-programie/instytucje-w-programie/komitet-monitorujacy/#Dokumenty</w:t>
      </w:r>
    </w:p>
    <w:p w14:paraId="7CC92FBB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4D390C3F" w14:textId="77777777" w:rsidR="00C1163F" w:rsidRDefault="0070024C">
      <w:pPr>
        <w:rPr>
          <w:b/>
          <w:sz w:val="28"/>
        </w:rPr>
      </w:pPr>
      <w:r>
        <w:rPr>
          <w:sz w:val="28"/>
        </w:rPr>
        <w:t>WLWK-RCO041 - Dodatkowe lokale mieszkal</w:t>
      </w:r>
      <w:r>
        <w:rPr>
          <w:sz w:val="28"/>
        </w:rPr>
        <w:t>ne dysponujące szerokopasmowym dostępem do sieci o bardzo wysokiej przepustowości</w:t>
      </w:r>
    </w:p>
    <w:p w14:paraId="2097BBB5" w14:textId="77777777" w:rsidR="00C1163F" w:rsidRDefault="0070024C">
      <w:pPr>
        <w:rPr>
          <w:b/>
          <w:sz w:val="28"/>
        </w:rPr>
      </w:pPr>
      <w:r>
        <w:rPr>
          <w:sz w:val="28"/>
        </w:rPr>
        <w:t>WLWK-PLRO019 - Dodatkowe podmioty objęte dostępem do sieci szerokopasmowej o bardzo dużej przepustowości</w:t>
      </w:r>
    </w:p>
    <w:p w14:paraId="7808DB07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WLWK-RCO042 - Dodatkowe przedsiębiorstwa dysponujące szerokopasmowym </w:t>
      </w:r>
      <w:r>
        <w:rPr>
          <w:sz w:val="28"/>
        </w:rPr>
        <w:t>dostępem do sieci o bardzo wysokiej przepustowości</w:t>
      </w:r>
    </w:p>
    <w:p w14:paraId="06C7984D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WLWK-PLRO248 - Dodatkowe punkty adresowe dysponujące szerokopasmowym dostępem do sieci o bardzo wysokiej przepustowości </w:t>
      </w:r>
    </w:p>
    <w:p w14:paraId="322A861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rezultatu</w:t>
      </w:r>
    </w:p>
    <w:p w14:paraId="2466B1BE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WLWK-RCR053 - Lokale mieszkalne z abonamentem na </w:t>
      </w:r>
      <w:r>
        <w:rPr>
          <w:sz w:val="28"/>
        </w:rPr>
        <w:t>szerokopasmowy dostęp do sieci o bardzo wysokiej przepustowości</w:t>
      </w:r>
    </w:p>
    <w:p w14:paraId="12BD7EE6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WLWK-RCR054 - Przedsiębiorstwa z abonamentem na szerokopasmowy dostęp do sieci o bardzo wysokiej przepustowości</w:t>
      </w:r>
    </w:p>
    <w:p w14:paraId="0AB9EBDD" w14:textId="77777777" w:rsidR="00C1163F" w:rsidRDefault="00C1163F">
      <w:pPr>
        <w:rPr>
          <w:b/>
          <w:sz w:val="28"/>
        </w:rPr>
      </w:pPr>
      <w:bookmarkStart w:id="1" w:name="_Toc76643859"/>
    </w:p>
    <w:p w14:paraId="199A3A81" w14:textId="77777777" w:rsidR="00C1163F" w:rsidRDefault="0070024C">
      <w:pPr>
        <w:pStyle w:val="Nagwek2"/>
        <w:rPr>
          <w:rFonts w:ascii="Calibri" w:hAnsi="Calibri" w:cs="Calibri"/>
          <w:i w:val="0"/>
          <w:sz w:val="32"/>
        </w:rPr>
      </w:pPr>
      <w:r>
        <w:rPr>
          <w:rFonts w:ascii="Calibri" w:hAnsi="Calibri" w:cs="Calibri"/>
          <w:i w:val="0"/>
          <w:sz w:val="32"/>
        </w:rPr>
        <w:t xml:space="preserve">Priorytet FERC.02 </w:t>
      </w:r>
      <w:bookmarkEnd w:id="1"/>
      <w:r>
        <w:rPr>
          <w:rFonts w:ascii="Calibri" w:hAnsi="Calibri" w:cs="Calibri"/>
          <w:i w:val="0"/>
          <w:sz w:val="32"/>
        </w:rPr>
        <w:t>Zaawansowane usługi cyfrowe</w:t>
      </w:r>
    </w:p>
    <w:p w14:paraId="4CC329B3" w14:textId="77777777" w:rsidR="00C1163F" w:rsidRDefault="00C1163F">
      <w:pPr>
        <w:rPr>
          <w:rFonts w:ascii="Calibri" w:hAnsi="Calibri"/>
          <w:sz w:val="32"/>
        </w:rPr>
      </w:pPr>
    </w:p>
    <w:p w14:paraId="762392C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Zarządzająca</w:t>
      </w:r>
    </w:p>
    <w:p w14:paraId="4DC241C5" w14:textId="77777777" w:rsidR="00C1163F" w:rsidRDefault="0070024C">
      <w:pPr>
        <w:rPr>
          <w:b/>
          <w:sz w:val="28"/>
        </w:rPr>
      </w:pPr>
      <w:r>
        <w:rPr>
          <w:sz w:val="28"/>
        </w:rPr>
        <w:t>Minister</w:t>
      </w:r>
      <w:r>
        <w:rPr>
          <w:sz w:val="28"/>
        </w:rPr>
        <w:t>stwo Funduszy i Polityki Regionalnej, Departament Rozwoju Cyfrowego</w:t>
      </w:r>
    </w:p>
    <w:p w14:paraId="3061F10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Fundusz</w:t>
      </w:r>
    </w:p>
    <w:p w14:paraId="3868071D" w14:textId="77777777" w:rsidR="00C1163F" w:rsidRDefault="0070024C">
      <w:pPr>
        <w:rPr>
          <w:b/>
          <w:sz w:val="28"/>
        </w:rPr>
      </w:pPr>
      <w:r>
        <w:rPr>
          <w:sz w:val="28"/>
        </w:rPr>
        <w:t>Europejski Fundusz Rozwoju Regionalnego</w:t>
      </w:r>
    </w:p>
    <w:p w14:paraId="09E5A32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Polityki</w:t>
      </w:r>
    </w:p>
    <w:p w14:paraId="49B0CAD0" w14:textId="77777777" w:rsidR="00C1163F" w:rsidRDefault="0070024C">
      <w:pPr>
        <w:rPr>
          <w:b/>
          <w:sz w:val="28"/>
        </w:rPr>
      </w:pPr>
      <w:r>
        <w:rPr>
          <w:sz w:val="28"/>
        </w:rPr>
        <w:t>CP1 - Bardziej konkurencyjna i inteligentna Europa dzięki wspieraniu innowacyjnej i inteligentnej transformacji gospodarczej or</w:t>
      </w:r>
      <w:r>
        <w:rPr>
          <w:sz w:val="28"/>
        </w:rPr>
        <w:t>az regionalnej łączności cyfrowej</w:t>
      </w:r>
    </w:p>
    <w:p w14:paraId="1E61578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Miejsce realizacji</w:t>
      </w:r>
    </w:p>
    <w:p w14:paraId="17674782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DOLNOŚLĄSKIE, KUJAWSKO-POMORSKIE, ŁÓDZKIE, LUBELSKIE, LUBUSKIE, MAŁOPOLSKIE, Mazowiecki regionalny, OPOLSKIE, PODKARPACKIE, PODLASKIE, POMORSKIE, ŚLĄSKIE, ŚWIĘTOKRZYSKIE, </w:t>
      </w:r>
      <w:r>
        <w:rPr>
          <w:sz w:val="28"/>
        </w:rPr>
        <w:t>WARMIŃSKO-MAZURSKIE, Warszawski stołeczny, WIELKOPOLSKIE, ZACHODNIOPOMORSKIE</w:t>
      </w:r>
    </w:p>
    <w:p w14:paraId="702F16E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598F4DA0" w14:textId="77777777" w:rsidR="00C1163F" w:rsidRDefault="0070024C">
      <w:pPr>
        <w:rPr>
          <w:b/>
          <w:sz w:val="28"/>
        </w:rPr>
      </w:pPr>
      <w:r>
        <w:rPr>
          <w:sz w:val="28"/>
        </w:rPr>
        <w:t>1 428 078 563,00</w:t>
      </w:r>
    </w:p>
    <w:p w14:paraId="69A1D08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7FCAEB31" w14:textId="77777777" w:rsidR="00C1163F" w:rsidRDefault="0070024C">
      <w:pPr>
        <w:rPr>
          <w:b/>
          <w:sz w:val="28"/>
        </w:rPr>
      </w:pPr>
      <w:r>
        <w:rPr>
          <w:sz w:val="28"/>
        </w:rPr>
        <w:t>1 138 299 028,00</w:t>
      </w:r>
    </w:p>
    <w:p w14:paraId="26ADB090" w14:textId="77777777" w:rsidR="00C1163F" w:rsidRDefault="00C1163F">
      <w:pPr>
        <w:rPr>
          <w:b/>
          <w:sz w:val="28"/>
        </w:rPr>
      </w:pPr>
    </w:p>
    <w:p w14:paraId="705B3E3B" w14:textId="77777777" w:rsidR="00C1163F" w:rsidRDefault="0070024C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FERC.02.01 Wysoka jakość i dostępność e-usług publicznych</w:t>
      </w:r>
    </w:p>
    <w:p w14:paraId="776F46EE" w14:textId="77777777" w:rsidR="00C1163F" w:rsidRDefault="00C1163F">
      <w:pPr>
        <w:rPr>
          <w:rFonts w:ascii="Calibri" w:hAnsi="Calibri"/>
          <w:sz w:val="32"/>
        </w:rPr>
      </w:pPr>
    </w:p>
    <w:p w14:paraId="03010F1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Cel szczegółowy</w:t>
      </w:r>
    </w:p>
    <w:p w14:paraId="5AAC140F" w14:textId="77777777" w:rsidR="00C1163F" w:rsidRDefault="0070024C">
      <w:pPr>
        <w:rPr>
          <w:b/>
          <w:sz w:val="28"/>
        </w:rPr>
      </w:pPr>
      <w:r>
        <w:rPr>
          <w:sz w:val="28"/>
        </w:rPr>
        <w:t>E</w:t>
      </w:r>
      <w:r>
        <w:rPr>
          <w:sz w:val="28"/>
        </w:rPr>
        <w:t>FRR.CP1.II - Czerpanie korzyści z cyfryzacji dla obywateli, przedsiębiorstw, organizacji badawczych i instytucji publicznych</w:t>
      </w:r>
    </w:p>
    <w:p w14:paraId="168A5A3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54B3EDDC" w14:textId="77777777" w:rsidR="00C1163F" w:rsidRDefault="0070024C">
      <w:pPr>
        <w:rPr>
          <w:b/>
          <w:sz w:val="28"/>
        </w:rPr>
      </w:pPr>
      <w:r>
        <w:rPr>
          <w:sz w:val="28"/>
        </w:rPr>
        <w:t>Centrum Projektów Polska Cyfrowa</w:t>
      </w:r>
    </w:p>
    <w:p w14:paraId="15B8F0C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72F9022A" w14:textId="77777777" w:rsidR="00C1163F" w:rsidRDefault="0070024C">
      <w:pPr>
        <w:rPr>
          <w:b/>
          <w:sz w:val="28"/>
        </w:rPr>
      </w:pPr>
      <w:r>
        <w:rPr>
          <w:sz w:val="28"/>
        </w:rPr>
        <w:t>514 750 063,00</w:t>
      </w:r>
    </w:p>
    <w:p w14:paraId="55D4EE3B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64C439B4" w14:textId="77777777" w:rsidR="00C1163F" w:rsidRDefault="0070024C">
      <w:pPr>
        <w:rPr>
          <w:b/>
          <w:sz w:val="28"/>
        </w:rPr>
      </w:pPr>
      <w:r>
        <w:rPr>
          <w:sz w:val="28"/>
        </w:rPr>
        <w:t>410 299 028,00</w:t>
      </w:r>
    </w:p>
    <w:p w14:paraId="56E69A4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67B9D1F0" w14:textId="77777777" w:rsidR="00C1163F" w:rsidRDefault="0070024C">
      <w:pPr>
        <w:rPr>
          <w:b/>
          <w:sz w:val="28"/>
        </w:rPr>
      </w:pPr>
      <w:r>
        <w:rPr>
          <w:sz w:val="28"/>
        </w:rPr>
        <w:t>016 - Rozwiązania TIK, usługi elektroniczne, aplikacje dla administracji, 172 - Finansowanie krzyżowe w ramach EFRR (wsparcie dla działań typowych dla EFS+ koniecznych do wdrożenia części operacji objętej EFRR i bezpośredn</w:t>
      </w:r>
      <w:r>
        <w:rPr>
          <w:sz w:val="28"/>
        </w:rPr>
        <w:t>io z nią związanych)</w:t>
      </w:r>
    </w:p>
    <w:p w14:paraId="5EB7C1D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4A947D9E" w14:textId="77777777" w:rsidR="00C1163F" w:rsidRDefault="0070024C">
      <w:pPr>
        <w:rPr>
          <w:b/>
          <w:sz w:val="28"/>
        </w:rPr>
      </w:pPr>
      <w:r>
        <w:rPr>
          <w:sz w:val="28"/>
        </w:rPr>
        <w:t>W ramach działania będą wspierane projekty o oddziaływaniu ogólnokrajowym, których produkty będą mogły być wykorzystywane lokalnie. Projekty udostępnią nowe e-usługi i dane oraz systemy informatyczne. Interwencja umożliw</w:t>
      </w:r>
      <w:r>
        <w:rPr>
          <w:sz w:val="28"/>
        </w:rPr>
        <w:t xml:space="preserve">i budowę, modernizację i dalszy rozwój e-usług i systemów niezbędnych do ich świadczenia, w tym procesy </w:t>
      </w:r>
      <w:proofErr w:type="spellStart"/>
      <w:r>
        <w:rPr>
          <w:sz w:val="28"/>
        </w:rPr>
        <w:t>back-office</w:t>
      </w:r>
      <w:proofErr w:type="spellEnd"/>
      <w:r>
        <w:rPr>
          <w:sz w:val="28"/>
        </w:rPr>
        <w:t>.</w:t>
      </w:r>
    </w:p>
    <w:p w14:paraId="3DA403CB" w14:textId="77777777" w:rsidR="00C1163F" w:rsidRDefault="0070024C">
      <w:pPr>
        <w:rPr>
          <w:b/>
          <w:sz w:val="28"/>
        </w:rPr>
      </w:pPr>
      <w:r>
        <w:rPr>
          <w:sz w:val="28"/>
        </w:rPr>
        <w:t>Rozwiązania wdrażane w projektach będą realizowały założenia AIP, zwłaszcza pryncypia zawarte w dokumencie z dn. 25 listopada 2020 r., i De</w:t>
      </w:r>
      <w:r>
        <w:rPr>
          <w:sz w:val="28"/>
        </w:rPr>
        <w:t xml:space="preserve">klaracji tallińskiej, w tym domyślności cyfrowej, jednorazowości, powszechności, dostępności, otwartości, przejrzystości, domyślnej </w:t>
      </w:r>
      <w:proofErr w:type="spellStart"/>
      <w:r>
        <w:rPr>
          <w:sz w:val="28"/>
        </w:rPr>
        <w:t>transgraniczności</w:t>
      </w:r>
      <w:proofErr w:type="spellEnd"/>
      <w:r>
        <w:rPr>
          <w:sz w:val="28"/>
        </w:rPr>
        <w:t xml:space="preserve"> i interoperacyjności oraz niezawodności i bezpieczeństwa oraz będą zapewniały e-usługi o wysokim, co najmn</w:t>
      </w:r>
      <w:r>
        <w:rPr>
          <w:sz w:val="28"/>
        </w:rPr>
        <w:t>iej 4 (transakcja) poziomie dojrzałości.</w:t>
      </w:r>
    </w:p>
    <w:p w14:paraId="58326414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Wdrażanie Programu będzie zgodne z przepisami krajowymi i europejskimi, w tym dyrektywami (UE) 2019/882  w sprawie wymogów dostępności produktów i usług i (UE) 2016/2102 w sprawie dostępności stron internetowych i m</w:t>
      </w:r>
      <w:r>
        <w:rPr>
          <w:sz w:val="28"/>
        </w:rPr>
        <w:t>obilnych aplikacji organów sektora publicznego.</w:t>
      </w:r>
    </w:p>
    <w:p w14:paraId="20362B3C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 zachowaniem zasad sprzyjających podniesieniu jakości życia i zapewnienia niezależności obywateli, którzy ze względu na stan zdrowia, wiek czy niepełnosprawność napotykają na ograni</w:t>
      </w:r>
      <w:r>
        <w:rPr>
          <w:sz w:val="28"/>
        </w:rPr>
        <w:t>czenia w życiu codziennym. Dostępność będzie realizowana przez stosowanie zasad uniwersalnego projektowania i standardów w zakresie m.in. dostępności cyfrowej produktów.</w:t>
      </w:r>
    </w:p>
    <w:p w14:paraId="592559B6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zgodnie z zasadą niedyskryminacji ze względu na płeć, rasę l</w:t>
      </w:r>
      <w:r>
        <w:rPr>
          <w:sz w:val="28"/>
        </w:rPr>
        <w:t>ub pochodzenie etniczne, religię lub światopogląd, niepełnosprawność, wiek, orientację seksualną. Rezultaty projektów, a także produkty projektów nie będą dyskryminacyjne.</w:t>
      </w:r>
    </w:p>
    <w:p w14:paraId="08EF8ECF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Wsparcie będzie udzielane wyłącznie projektom i beneficjentom, którzy przestrzegają </w:t>
      </w:r>
      <w:r>
        <w:rPr>
          <w:sz w:val="28"/>
        </w:rPr>
        <w:t>przepisów antydyskryminacyjnych, o których mowa w art. 9 ust. 3 Rozporządzenia PE i Rady nr 2021/1060. W przypadku, gdy beneficjentem jest JST (lub podmiot przez nią kontrolowany lub od niej zależny), która podjęła jakiekolwiek działania dyskryminujące, sp</w:t>
      </w:r>
      <w:r>
        <w:rPr>
          <w:sz w:val="28"/>
        </w:rPr>
        <w:t>rzeczne z zasadami, o których mowa w art. 9 ust. 3 rozporządzenia nr 2021/1060, wsparcie w ramach polityki spójności nie może być udzielone.</w:t>
      </w:r>
    </w:p>
    <w:p w14:paraId="6946600E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Inwestycje w infrastrukturę informatyczną będą uzasadnione celami projektu oraz analizą wskazującą na brak </w:t>
      </w:r>
      <w:r>
        <w:rPr>
          <w:sz w:val="28"/>
        </w:rPr>
        <w:t>wystarczających zasobów w administracji publicznej niezbędnych do tworzenia lub funkcjonowania e-usług publicznych.</w:t>
      </w:r>
    </w:p>
    <w:p w14:paraId="4BDFF684" w14:textId="77777777" w:rsidR="00C1163F" w:rsidRDefault="0070024C">
      <w:pPr>
        <w:rPr>
          <w:b/>
          <w:sz w:val="28"/>
        </w:rPr>
      </w:pPr>
      <w:r>
        <w:rPr>
          <w:sz w:val="28"/>
        </w:rPr>
        <w:t>Preferowana będzie realizacja projektów w trybie konkurencyjnym wskazanym w ustawie Prawo zamówień publicznych.</w:t>
      </w:r>
    </w:p>
    <w:p w14:paraId="6A010256" w14:textId="77777777" w:rsidR="00C1163F" w:rsidRDefault="0070024C">
      <w:pPr>
        <w:rPr>
          <w:b/>
          <w:sz w:val="28"/>
        </w:rPr>
      </w:pPr>
      <w:r>
        <w:rPr>
          <w:sz w:val="28"/>
        </w:rPr>
        <w:t>Możliwa będzie realizacja pr</w:t>
      </w:r>
      <w:r>
        <w:rPr>
          <w:sz w:val="28"/>
        </w:rPr>
        <w:t>ojektów: łączących różne typy interwencji zaplanowanej w priorytecie; w partnerstwie publiczno-prywatnym.</w:t>
      </w:r>
    </w:p>
    <w:p w14:paraId="43C39C05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 xml:space="preserve">Interwencja obejmie działania ukierunkowane na konsolidację i standaryzację usług cyfrowych. Celem wsparcia będą działania w zakresie: </w:t>
      </w:r>
      <w:r>
        <w:rPr>
          <w:sz w:val="28"/>
        </w:rPr>
        <w:t xml:space="preserve">optymalizacji procesów w relacji podmiotów publicznych z obywatelem i przedsiębiorcą, tworzenia i rozwoju nowoczesnych usług świadczonych drogą elektroniczną (w tym wewnątrzadministracyjnych), cyfryzacji procesów </w:t>
      </w:r>
      <w:proofErr w:type="spellStart"/>
      <w:r>
        <w:rPr>
          <w:sz w:val="28"/>
        </w:rPr>
        <w:t>back-office</w:t>
      </w:r>
      <w:proofErr w:type="spellEnd"/>
      <w:r>
        <w:rPr>
          <w:sz w:val="28"/>
        </w:rPr>
        <w:t xml:space="preserve"> w administracji publicznej oraz</w:t>
      </w:r>
      <w:r>
        <w:rPr>
          <w:sz w:val="28"/>
        </w:rPr>
        <w:t xml:space="preserve"> budowy i rozwoju rozwiązań o charakterze horyzontalnym, usprawniających funkcjonowanie administracji publicznej na terenie całego kraju.</w:t>
      </w:r>
    </w:p>
    <w:p w14:paraId="4245528B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Interwencja obejmie wdrożenie innowacyjnych rozwiązań m.in. z zakresu sztucznej inteligencji i dużych zbiorów danych, </w:t>
      </w:r>
      <w:r>
        <w:rPr>
          <w:sz w:val="28"/>
        </w:rPr>
        <w:t xml:space="preserve">których wdrożenie umożliwi administracji sporządzanie analiz na potrzeby przewidywania trendów i zjawisk oraz podejmowania trafnych decyzji. </w:t>
      </w:r>
    </w:p>
    <w:p w14:paraId="787C7975" w14:textId="77777777" w:rsidR="00C1163F" w:rsidRDefault="0070024C">
      <w:pPr>
        <w:rPr>
          <w:b/>
          <w:sz w:val="28"/>
        </w:rPr>
      </w:pPr>
      <w:r>
        <w:rPr>
          <w:sz w:val="28"/>
        </w:rPr>
        <w:t>Celem realizacji projektów o charakterze horyzontalnym będzie zapewnienie odpowiednich warunków do współpracy, efe</w:t>
      </w:r>
      <w:r>
        <w:rPr>
          <w:sz w:val="28"/>
        </w:rPr>
        <w:t xml:space="preserve">ktywnej wymiany danych, a także udostępnianie e-usług przy zapewnieniu odpowiedniego poziomu bezpieczeństwa. </w:t>
      </w:r>
    </w:p>
    <w:p w14:paraId="5A4C6AF9" w14:textId="77777777" w:rsidR="00C1163F" w:rsidRDefault="0070024C">
      <w:pPr>
        <w:rPr>
          <w:b/>
          <w:sz w:val="28"/>
        </w:rPr>
      </w:pPr>
      <w:r>
        <w:rPr>
          <w:sz w:val="28"/>
        </w:rPr>
        <w:t>Budowa centrum przetwarzania danych zostanie poprzedzona analizą potrzeb, z której wynikać będzie, że posiadane zasoby infrastrukturalne są niewys</w:t>
      </w:r>
      <w:r>
        <w:rPr>
          <w:sz w:val="28"/>
        </w:rPr>
        <w:t xml:space="preserve">tarczające.  W projektach tych zastosowanie będą miały przepisy krajowe i unijne dotyczące </w:t>
      </w:r>
      <w:proofErr w:type="spellStart"/>
      <w:r>
        <w:rPr>
          <w:sz w:val="28"/>
        </w:rPr>
        <w:t>ekoprojektów</w:t>
      </w:r>
      <w:proofErr w:type="spellEnd"/>
      <w:r>
        <w:rPr>
          <w:sz w:val="28"/>
        </w:rPr>
        <w:t xml:space="preserve"> dla serwerów oraz produktów do przechowywania danych.</w:t>
      </w:r>
    </w:p>
    <w:p w14:paraId="40B0BAD5" w14:textId="77777777" w:rsidR="00C1163F" w:rsidRDefault="0070024C">
      <w:pPr>
        <w:rPr>
          <w:b/>
          <w:sz w:val="28"/>
        </w:rPr>
      </w:pPr>
      <w:r>
        <w:rPr>
          <w:sz w:val="28"/>
        </w:rPr>
        <w:t>Projekty zgłaszane do naborów w tym działaniu będą mogły być realizowane w partnerstwie z zastosow</w:t>
      </w:r>
      <w:r>
        <w:rPr>
          <w:sz w:val="28"/>
        </w:rPr>
        <w:t>aniem zapisów art. 39 ustawy wdrożeniowej.</w:t>
      </w:r>
    </w:p>
    <w:p w14:paraId="56FC5831" w14:textId="77777777" w:rsidR="00C1163F" w:rsidRDefault="0070024C">
      <w:pPr>
        <w:rPr>
          <w:b/>
          <w:sz w:val="28"/>
        </w:rPr>
      </w:pPr>
      <w:r>
        <w:rPr>
          <w:sz w:val="28"/>
        </w:rPr>
        <w:t>Przewidywane typy projektów:</w:t>
      </w:r>
    </w:p>
    <w:p w14:paraId="29D02F56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1. E-usługi publiczne, wewnątrzadministracyjne, systemy </w:t>
      </w:r>
      <w:proofErr w:type="spellStart"/>
      <w:r>
        <w:rPr>
          <w:sz w:val="28"/>
        </w:rPr>
        <w:t>back-office</w:t>
      </w:r>
      <w:proofErr w:type="spellEnd"/>
      <w:r>
        <w:rPr>
          <w:sz w:val="28"/>
        </w:rPr>
        <w:t>, rozwiązania IT dla administracji o horyzontalnym zastosowaniu.</w:t>
      </w:r>
    </w:p>
    <w:p w14:paraId="32B4C06C" w14:textId="77777777" w:rsidR="00C1163F" w:rsidRDefault="0070024C">
      <w:pPr>
        <w:rPr>
          <w:b/>
          <w:sz w:val="28"/>
        </w:rPr>
      </w:pPr>
      <w:r>
        <w:rPr>
          <w:sz w:val="28"/>
        </w:rPr>
        <w:t>2. Wdrażanie rozwiązań łączących różne zakresy inter</w:t>
      </w:r>
      <w:r>
        <w:rPr>
          <w:sz w:val="28"/>
        </w:rPr>
        <w:t>wencji zaplanowanej w II Priorytecie FERC.</w:t>
      </w:r>
    </w:p>
    <w:p w14:paraId="5B46C254" w14:textId="77777777" w:rsidR="00C1163F" w:rsidRDefault="0070024C">
      <w:pPr>
        <w:rPr>
          <w:b/>
          <w:sz w:val="28"/>
        </w:rPr>
      </w:pPr>
      <w:r>
        <w:rPr>
          <w:sz w:val="28"/>
        </w:rPr>
        <w:t>Potencjalni beneficjenci: jednostki administracji rządowej oraz jednostki im podległe lub przez nie nadzorowane, sądy i jednostki prokuratury, samorządy zawodowe. Ponadto partnerstwa tworzone pomiędzy wskazanymi p</w:t>
      </w:r>
      <w:r>
        <w:rPr>
          <w:sz w:val="28"/>
        </w:rPr>
        <w:t xml:space="preserve">owyżej </w:t>
      </w:r>
      <w:r>
        <w:rPr>
          <w:sz w:val="28"/>
        </w:rPr>
        <w:lastRenderedPageBreak/>
        <w:t>wnioskodawcami, partnerstwa uprawnionych wnioskodawców z przedsiębiorstwami, organizacjami pozarządowymi.</w:t>
      </w:r>
    </w:p>
    <w:p w14:paraId="4499FB37" w14:textId="77777777" w:rsidR="00C1163F" w:rsidRDefault="0070024C">
      <w:pPr>
        <w:rPr>
          <w:b/>
          <w:sz w:val="28"/>
        </w:rPr>
      </w:pPr>
      <w:r>
        <w:rPr>
          <w:sz w:val="28"/>
        </w:rPr>
        <w:t>Ilekroć Wytyczne dotyczące kwalifikowalności wydatków na lata 2021-2027 stanowią delegację dla IZ lub IP do określenia w SZOP podnoszonych w ni</w:t>
      </w:r>
      <w:r>
        <w:rPr>
          <w:sz w:val="28"/>
        </w:rPr>
        <w:t xml:space="preserve">ch zagadnień związanych z kwalifikowalnością wydatków, kwestie te dla II priorytetu FERC są uregulowane w Katalogu wydatków kwalifikowalnych II priorytetu programu Fundusze Europejskie na Rozwój Cyfrowy 2021-2027 dostępnym na stronie https://ferc.gov.pl/. </w:t>
      </w:r>
      <w:r>
        <w:rPr>
          <w:sz w:val="28"/>
        </w:rPr>
        <w:t>Dokument ten zawiera także bardziej szczegółowe informacje na temat zastosowania cross-</w:t>
      </w:r>
      <w:proofErr w:type="spellStart"/>
      <w:r>
        <w:rPr>
          <w:sz w:val="28"/>
        </w:rPr>
        <w:t>financingu</w:t>
      </w:r>
      <w:proofErr w:type="spellEnd"/>
      <w:r>
        <w:rPr>
          <w:sz w:val="28"/>
        </w:rPr>
        <w:t xml:space="preserve"> w projektach.</w:t>
      </w:r>
    </w:p>
    <w:p w14:paraId="624739A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14:paraId="617ACEB8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3F596500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całkowitego wydatków kwalifikowalnych na poziomie pro</w:t>
      </w:r>
      <w:r>
        <w:rPr>
          <w:b/>
          <w:sz w:val="28"/>
        </w:rPr>
        <w:t>jektu (środki UE + współfinansowanie ze środków krajowych przyznane beneficjentowi przez właściwą instytucję)</w:t>
      </w:r>
    </w:p>
    <w:p w14:paraId="63848A03" w14:textId="77777777" w:rsidR="00C1163F" w:rsidRDefault="0070024C">
      <w:pPr>
        <w:rPr>
          <w:b/>
          <w:sz w:val="28"/>
        </w:rPr>
      </w:pPr>
      <w:r>
        <w:rPr>
          <w:sz w:val="28"/>
        </w:rPr>
        <w:t>100</w:t>
      </w:r>
    </w:p>
    <w:p w14:paraId="6EAF8D3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14:paraId="5FC8BDE2" w14:textId="77777777" w:rsidR="00C1163F" w:rsidRDefault="0070024C">
      <w:pPr>
        <w:rPr>
          <w:b/>
          <w:sz w:val="28"/>
        </w:rPr>
      </w:pPr>
      <w:r>
        <w:rPr>
          <w:sz w:val="28"/>
        </w:rPr>
        <w:t>Rozporządzenie  Komisji (UE) nr 1407/2013 z dnia 18 grudnia 2013 r. w sprawie stosowania art. 107 i 1</w:t>
      </w:r>
      <w:r>
        <w:rPr>
          <w:sz w:val="28"/>
        </w:rPr>
        <w:t xml:space="preserve">08 Traktatu o funkcjonowaniu Unii Europejskiej do pomocy de </w:t>
      </w:r>
      <w:proofErr w:type="spellStart"/>
      <w:r>
        <w:rPr>
          <w:sz w:val="28"/>
        </w:rPr>
        <w:t>minimis</w:t>
      </w:r>
      <w:proofErr w:type="spellEnd"/>
    </w:p>
    <w:p w14:paraId="332977B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14:paraId="58E2A7E8" w14:textId="77777777" w:rsidR="00C1163F" w:rsidRDefault="0070024C">
      <w:pPr>
        <w:rPr>
          <w:b/>
          <w:sz w:val="28"/>
        </w:rPr>
      </w:pPr>
      <w:r>
        <w:rPr>
          <w:sz w:val="28"/>
        </w:rPr>
        <w:t>Nie dotyczy</w:t>
      </w:r>
    </w:p>
    <w:p w14:paraId="0A5055D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Uproszczone metody rozliczania</w:t>
      </w:r>
    </w:p>
    <w:p w14:paraId="46FAA5F3" w14:textId="77777777" w:rsidR="00C1163F" w:rsidRDefault="0070024C">
      <w:pPr>
        <w:rPr>
          <w:b/>
          <w:sz w:val="28"/>
        </w:rPr>
      </w:pPr>
      <w:r>
        <w:rPr>
          <w:sz w:val="28"/>
        </w:rPr>
        <w:t>do 15% stawka ryczałtowa na koszty pośrednie (podstawa wyliczenia: koszty bezpośrednie personelu) [art.</w:t>
      </w:r>
      <w:r>
        <w:rPr>
          <w:sz w:val="28"/>
        </w:rPr>
        <w:t xml:space="preserve"> 54(b) CPR], do 7% stawka ryczałtowa na koszty pośrednie (podstawa wyliczenia: koszty bezpośrednie) [art. 54(a) CPR]</w:t>
      </w:r>
    </w:p>
    <w:p w14:paraId="18BD2AA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Forma wsparcia</w:t>
      </w:r>
    </w:p>
    <w:p w14:paraId="2C1923AD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Dotacja</w:t>
      </w:r>
    </w:p>
    <w:p w14:paraId="5B7A7EB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Dopuszczalny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055CD8CD" w14:textId="77777777" w:rsidR="00C1163F" w:rsidRDefault="0070024C">
      <w:pPr>
        <w:rPr>
          <w:b/>
          <w:sz w:val="28"/>
        </w:rPr>
      </w:pPr>
      <w:r>
        <w:rPr>
          <w:sz w:val="28"/>
        </w:rPr>
        <w:t>15</w:t>
      </w:r>
    </w:p>
    <w:p w14:paraId="55F5F68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57FF92E0" w14:textId="77777777" w:rsidR="00C1163F" w:rsidRDefault="0070024C">
      <w:pPr>
        <w:rPr>
          <w:b/>
          <w:sz w:val="28"/>
        </w:rPr>
      </w:pPr>
      <w:r>
        <w:rPr>
          <w:sz w:val="28"/>
        </w:rPr>
        <w:t>Konkurencyjny, Niekonkurencyjny</w:t>
      </w:r>
    </w:p>
    <w:p w14:paraId="02B2828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 xml:space="preserve">Realizacja instrumentów </w:t>
      </w:r>
      <w:r>
        <w:rPr>
          <w:b/>
          <w:sz w:val="28"/>
        </w:rPr>
        <w:t>terytorialnych</w:t>
      </w:r>
    </w:p>
    <w:p w14:paraId="154739A3" w14:textId="77777777" w:rsidR="00C1163F" w:rsidRDefault="0070024C">
      <w:pPr>
        <w:rPr>
          <w:b/>
          <w:sz w:val="28"/>
        </w:rPr>
      </w:pPr>
      <w:r>
        <w:rPr>
          <w:sz w:val="28"/>
        </w:rPr>
        <w:t>Nie dotyczy</w:t>
      </w:r>
    </w:p>
    <w:p w14:paraId="687AD09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14:paraId="4AA158C5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publiczna, Służby publiczne</w:t>
      </w:r>
    </w:p>
    <w:p w14:paraId="2AD7599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14:paraId="22945EB4" w14:textId="77777777" w:rsidR="00C1163F" w:rsidRDefault="0070024C">
      <w:pPr>
        <w:rPr>
          <w:b/>
          <w:sz w:val="28"/>
        </w:rPr>
      </w:pPr>
      <w:r>
        <w:rPr>
          <w:sz w:val="28"/>
        </w:rPr>
        <w:t>Administracja rządowa, Prokuratura, Wymiar sprawiedliwości</w:t>
      </w:r>
    </w:p>
    <w:p w14:paraId="3101F45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Grupa docelowa</w:t>
      </w:r>
    </w:p>
    <w:p w14:paraId="33084683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administracja publiczna (w tym rządowa) oraz </w:t>
      </w:r>
      <w:r>
        <w:rPr>
          <w:sz w:val="28"/>
        </w:rPr>
        <w:t>podległe jej organy i jednostki organizacyjne, archiwa państwowe, instytucje kultury, obywatele, organizacje pozarządowe, podmioty lecznicze, przedsiębiorcy, samorządy zawodowe, uczelnie i inne podmioty systemu szkolnictwa wyższego i nauki</w:t>
      </w:r>
    </w:p>
    <w:p w14:paraId="5F85E84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2F2DD493" w14:textId="77777777" w:rsidR="00C1163F" w:rsidRDefault="0070024C">
      <w:pPr>
        <w:rPr>
          <w:b/>
          <w:sz w:val="28"/>
        </w:rPr>
      </w:pPr>
      <w:proofErr w:type="spellStart"/>
      <w:r>
        <w:rPr>
          <w:sz w:val="28"/>
        </w:rPr>
        <w:t>c</w:t>
      </w:r>
      <w:r>
        <w:rPr>
          <w:sz w:val="28"/>
        </w:rPr>
        <w:t>yfrowa_administracja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cyfrowa_kultura</w:t>
      </w:r>
      <w:proofErr w:type="spellEnd"/>
      <w:r>
        <w:rPr>
          <w:sz w:val="28"/>
        </w:rPr>
        <w:t xml:space="preserve">, cyfryzacja, </w:t>
      </w:r>
      <w:proofErr w:type="spellStart"/>
      <w:r>
        <w:rPr>
          <w:sz w:val="28"/>
        </w:rPr>
        <w:t>dostępność_cyfrowa</w:t>
      </w:r>
      <w:proofErr w:type="spellEnd"/>
      <w:r>
        <w:rPr>
          <w:sz w:val="28"/>
        </w:rPr>
        <w:t xml:space="preserve">, e-administracja, e-państwo, e-urząd, e-zdrowie, telemedycyna, </w:t>
      </w:r>
      <w:proofErr w:type="spellStart"/>
      <w:r>
        <w:rPr>
          <w:sz w:val="28"/>
        </w:rPr>
        <w:t>transformacja_cyfrowa</w:t>
      </w:r>
      <w:proofErr w:type="spellEnd"/>
    </w:p>
    <w:p w14:paraId="0C40D5E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2E5A07B5" w14:textId="77777777" w:rsidR="00C1163F" w:rsidRDefault="0070024C">
      <w:pPr>
        <w:rPr>
          <w:b/>
          <w:sz w:val="28"/>
        </w:rPr>
      </w:pPr>
      <w:r>
        <w:rPr>
          <w:sz w:val="28"/>
        </w:rPr>
        <w:t>https://www.rozwojcyfrowy.gov.pl/strony/dowiedz-sie-wiecej-o-programie/kryt</w:t>
      </w:r>
      <w:r>
        <w:rPr>
          <w:sz w:val="28"/>
        </w:rPr>
        <w:t>eria-wyboru-projektow</w:t>
      </w:r>
    </w:p>
    <w:p w14:paraId="4EE684F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7C87EC3E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WLWK-RCO014 - Instytucje publiczne otrzymujące wsparcie na opracowywanie usług, produktów i procesów cyfrowych</w:t>
      </w:r>
    </w:p>
    <w:p w14:paraId="057EF1AD" w14:textId="77777777" w:rsidR="00C1163F" w:rsidRDefault="0070024C">
      <w:pPr>
        <w:rPr>
          <w:b/>
          <w:sz w:val="28"/>
        </w:rPr>
      </w:pPr>
      <w:r>
        <w:rPr>
          <w:sz w:val="28"/>
        </w:rPr>
        <w:t>WLWK-PLRO008 - Liczba podmiotów wspartych w zakresie rozwoju usług, produktów i procesów cyfrowych</w:t>
      </w:r>
    </w:p>
    <w:p w14:paraId="720A23BB" w14:textId="77777777" w:rsidR="00C1163F" w:rsidRDefault="0070024C">
      <w:pPr>
        <w:rPr>
          <w:b/>
          <w:sz w:val="28"/>
        </w:rPr>
      </w:pPr>
      <w:r>
        <w:rPr>
          <w:sz w:val="28"/>
        </w:rPr>
        <w:t>WLWK-</w:t>
      </w:r>
      <w:r>
        <w:rPr>
          <w:sz w:val="28"/>
        </w:rPr>
        <w:t>PLRO012 - Liczba usług publicznych udostępnionych on-line o stopniu dojrzałości co najmniej 4 - transakcja</w:t>
      </w:r>
    </w:p>
    <w:p w14:paraId="0A09AB62" w14:textId="77777777" w:rsidR="00C1163F" w:rsidRDefault="0070024C">
      <w:pPr>
        <w:rPr>
          <w:b/>
          <w:sz w:val="28"/>
        </w:rPr>
      </w:pPr>
      <w:r>
        <w:rPr>
          <w:sz w:val="28"/>
        </w:rPr>
        <w:t>WLWK-RCO013 - Wartość usług, produktów i procesów cyfrowych opracowanych dla przedsiębiorstw</w:t>
      </w:r>
    </w:p>
    <w:p w14:paraId="30007830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PROG-FERC-P005 - Liczba pracowników IT podmiotów wykonujących zadania publiczne objętych wsparciem szkoleniowym </w:t>
      </w:r>
    </w:p>
    <w:p w14:paraId="1D0F9C03" w14:textId="77777777" w:rsidR="00C1163F" w:rsidRDefault="0070024C">
      <w:pPr>
        <w:rPr>
          <w:b/>
          <w:sz w:val="28"/>
        </w:rPr>
      </w:pPr>
      <w:r>
        <w:rPr>
          <w:sz w:val="28"/>
        </w:rPr>
        <w:t>PROG-FERC-P006 - Liczba pracowników IT podmiotów wykonujących zadania publiczne objętych wsparciem szkoleniowym - kobiety</w:t>
      </w:r>
    </w:p>
    <w:p w14:paraId="7AE0D902" w14:textId="77777777" w:rsidR="00C1163F" w:rsidRDefault="0070024C">
      <w:pPr>
        <w:rPr>
          <w:b/>
          <w:sz w:val="28"/>
        </w:rPr>
      </w:pPr>
      <w:r>
        <w:rPr>
          <w:sz w:val="28"/>
        </w:rPr>
        <w:t>PROG-FERC-P007 - Licz</w:t>
      </w:r>
      <w:r>
        <w:rPr>
          <w:sz w:val="28"/>
        </w:rPr>
        <w:t>ba pracowników IT podmiotów wykonujących zadania publiczne objętych wsparciem szkoleniowym - mężczyźni</w:t>
      </w:r>
    </w:p>
    <w:p w14:paraId="1EF20B3A" w14:textId="77777777" w:rsidR="00C1163F" w:rsidRDefault="0070024C">
      <w:pPr>
        <w:rPr>
          <w:b/>
          <w:sz w:val="28"/>
        </w:rPr>
      </w:pPr>
      <w:r>
        <w:rPr>
          <w:sz w:val="28"/>
        </w:rPr>
        <w:t>PROG-FERC-P003 - Liczba pracowników podmiotów wykonujących zadania publiczne nie będących pracownikami IT, objętych wsparciem szkoleniowym - kobiety</w:t>
      </w:r>
    </w:p>
    <w:p w14:paraId="46A58052" w14:textId="77777777" w:rsidR="00C1163F" w:rsidRDefault="0070024C">
      <w:pPr>
        <w:rPr>
          <w:b/>
          <w:sz w:val="28"/>
        </w:rPr>
      </w:pPr>
      <w:r>
        <w:rPr>
          <w:sz w:val="28"/>
        </w:rPr>
        <w:t>PROG</w:t>
      </w:r>
      <w:r>
        <w:rPr>
          <w:sz w:val="28"/>
        </w:rPr>
        <w:t>-FERC-P004 - Liczba pracowników podmiotów wykonujących zadania publiczne nie będących pracownikami IT, objętych wsparciem szkoleniowym - mężczyźni</w:t>
      </w:r>
    </w:p>
    <w:p w14:paraId="563891DE" w14:textId="77777777" w:rsidR="00C1163F" w:rsidRDefault="0070024C">
      <w:pPr>
        <w:rPr>
          <w:b/>
          <w:sz w:val="28"/>
        </w:rPr>
      </w:pPr>
      <w:r>
        <w:rPr>
          <w:sz w:val="28"/>
        </w:rPr>
        <w:t>PROG-FERC-P002 - Liczba pracowników podmiotów wykonujących zadania publiczne nie będących pracownikami IT, ob</w:t>
      </w:r>
      <w:r>
        <w:rPr>
          <w:sz w:val="28"/>
        </w:rPr>
        <w:t>jętych wsparciem szkoleniowym</w:t>
      </w:r>
    </w:p>
    <w:p w14:paraId="5340E7CF" w14:textId="77777777" w:rsidR="00C1163F" w:rsidRDefault="0070024C">
      <w:pPr>
        <w:rPr>
          <w:b/>
          <w:sz w:val="28"/>
        </w:rPr>
      </w:pPr>
      <w:r>
        <w:rPr>
          <w:sz w:val="28"/>
        </w:rPr>
        <w:t>PROG-FERC-P010 - Liczba rejestrów publicznych o poprawionej interoperacyjności</w:t>
      </w:r>
    </w:p>
    <w:p w14:paraId="7C09DB32" w14:textId="77777777" w:rsidR="00C1163F" w:rsidRDefault="0070024C">
      <w:pPr>
        <w:rPr>
          <w:b/>
          <w:sz w:val="28"/>
        </w:rPr>
      </w:pPr>
      <w:r>
        <w:rPr>
          <w:sz w:val="28"/>
        </w:rPr>
        <w:t>PROG-FERC-P008 - Liczba udostępnionych usług wewnątrzadministracyjnych (A2A)</w:t>
      </w:r>
    </w:p>
    <w:p w14:paraId="212AF5B1" w14:textId="77777777" w:rsidR="00C1163F" w:rsidRDefault="0070024C">
      <w:pPr>
        <w:rPr>
          <w:b/>
          <w:sz w:val="28"/>
        </w:rPr>
      </w:pPr>
      <w:r>
        <w:rPr>
          <w:sz w:val="28"/>
        </w:rPr>
        <w:t>PROG-FERC-P009 - Liczba uruchomionych systemów teleinformatycznych w p</w:t>
      </w:r>
      <w:r>
        <w:rPr>
          <w:sz w:val="28"/>
        </w:rPr>
        <w:t>odmiotach wykonujących zadania publiczne</w:t>
      </w:r>
    </w:p>
    <w:p w14:paraId="082049C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Wskaźniki rezultatu</w:t>
      </w:r>
    </w:p>
    <w:p w14:paraId="59BA9C19" w14:textId="77777777" w:rsidR="00C1163F" w:rsidRDefault="0070024C">
      <w:pPr>
        <w:rPr>
          <w:b/>
          <w:sz w:val="28"/>
        </w:rPr>
      </w:pPr>
      <w:r>
        <w:rPr>
          <w:sz w:val="28"/>
        </w:rPr>
        <w:t>WLWK-RCR011 - Użytkownicy nowych i zmodernizowanych publicznych usług, produktów i procesów cyfrowych</w:t>
      </w:r>
    </w:p>
    <w:p w14:paraId="67035840" w14:textId="77777777" w:rsidR="00C1163F" w:rsidRDefault="00C1163F">
      <w:pPr>
        <w:rPr>
          <w:b/>
          <w:sz w:val="28"/>
        </w:rPr>
      </w:pPr>
    </w:p>
    <w:p w14:paraId="065D820B" w14:textId="77777777" w:rsidR="00C1163F" w:rsidRDefault="0070024C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Działanie FERC.02.02 Wzmocnienie krajowego systemu </w:t>
      </w:r>
      <w:proofErr w:type="spellStart"/>
      <w:r>
        <w:rPr>
          <w:rFonts w:ascii="Calibri" w:hAnsi="Calibri" w:cs="Calibri"/>
          <w:sz w:val="32"/>
        </w:rPr>
        <w:t>cyberbezpieczeństwa</w:t>
      </w:r>
      <w:proofErr w:type="spellEnd"/>
    </w:p>
    <w:p w14:paraId="4C529DF6" w14:textId="77777777" w:rsidR="00C1163F" w:rsidRDefault="00C1163F">
      <w:pPr>
        <w:rPr>
          <w:rFonts w:ascii="Calibri" w:hAnsi="Calibri"/>
          <w:sz w:val="32"/>
        </w:rPr>
      </w:pPr>
    </w:p>
    <w:p w14:paraId="1882C88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szczegółowy</w:t>
      </w:r>
    </w:p>
    <w:p w14:paraId="6C539491" w14:textId="77777777" w:rsidR="00C1163F" w:rsidRDefault="0070024C">
      <w:pPr>
        <w:rPr>
          <w:b/>
          <w:sz w:val="28"/>
        </w:rPr>
      </w:pPr>
      <w:r>
        <w:rPr>
          <w:sz w:val="28"/>
        </w:rPr>
        <w:t>EFRR.CP1.II - Czerpanie korzyści z cyfryzacji dla obywateli, przedsiębiorstw, organizacji badawczych i instytucji publicznych</w:t>
      </w:r>
    </w:p>
    <w:p w14:paraId="5D77815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4CAA2B24" w14:textId="77777777" w:rsidR="00C1163F" w:rsidRDefault="0070024C">
      <w:pPr>
        <w:rPr>
          <w:b/>
          <w:sz w:val="28"/>
        </w:rPr>
      </w:pPr>
      <w:r>
        <w:rPr>
          <w:sz w:val="28"/>
        </w:rPr>
        <w:t>Centrum Projektów Polska Cyfrowa</w:t>
      </w:r>
    </w:p>
    <w:p w14:paraId="3745EEE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10EBD4B0" w14:textId="77777777" w:rsidR="00C1163F" w:rsidRDefault="0070024C">
      <w:pPr>
        <w:rPr>
          <w:b/>
          <w:sz w:val="28"/>
        </w:rPr>
      </w:pPr>
      <w:r>
        <w:rPr>
          <w:sz w:val="28"/>
        </w:rPr>
        <w:t>474 227 091,00</w:t>
      </w:r>
    </w:p>
    <w:p w14:paraId="424B2E9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59464737" w14:textId="77777777" w:rsidR="00C1163F" w:rsidRDefault="0070024C">
      <w:pPr>
        <w:rPr>
          <w:b/>
          <w:sz w:val="28"/>
        </w:rPr>
      </w:pPr>
      <w:r>
        <w:rPr>
          <w:sz w:val="28"/>
        </w:rPr>
        <w:t>378 000 000,00</w:t>
      </w:r>
    </w:p>
    <w:p w14:paraId="78270150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0B6A4F54" w14:textId="77777777" w:rsidR="00C1163F" w:rsidRDefault="0070024C">
      <w:pPr>
        <w:rPr>
          <w:b/>
          <w:sz w:val="28"/>
        </w:rPr>
      </w:pPr>
      <w:r>
        <w:rPr>
          <w:sz w:val="28"/>
        </w:rPr>
        <w:t>016 - Rozwiązania TIK, usługi elektroniczne, aplikacje dla administracji, 172 - Finansowanie krzyżowe w ramach EFRR (wsparcie dla działań typowych dla EFS+ koniecznych do wdrożenia części operacji objętej EFRR i bezpośred</w:t>
      </w:r>
      <w:r>
        <w:rPr>
          <w:sz w:val="28"/>
        </w:rPr>
        <w:t>nio z nią związanych)</w:t>
      </w:r>
    </w:p>
    <w:p w14:paraId="0872075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19901C1A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 xml:space="preserve">W działaniu będą wspierane projekty o oddziaływaniu ogólnokrajowym, których produkty będą mogły być wykorzystywane lokalnie. Projekty zapewnią sprawne i bezpieczne działanie systemów informatycznych oraz lepszą ochronę </w:t>
      </w:r>
      <w:r>
        <w:rPr>
          <w:sz w:val="28"/>
        </w:rPr>
        <w:t>informacji.</w:t>
      </w:r>
    </w:p>
    <w:p w14:paraId="4892CB37" w14:textId="77777777" w:rsidR="00C1163F" w:rsidRDefault="0070024C">
      <w:pPr>
        <w:rPr>
          <w:b/>
          <w:sz w:val="28"/>
        </w:rPr>
      </w:pPr>
      <w:r>
        <w:rPr>
          <w:sz w:val="28"/>
        </w:rPr>
        <w:t>Rozwiązania wdrażane w projektach będą realizowały założenia AIP, zwłaszcza pryncypia zawarte w dokumencie z dn. 25 listopada 2020 r., i Deklaracji tallińskiej, w tym domyślności cyfrowej, jednorazowości, powszechności, dostępności, otwartości,</w:t>
      </w:r>
      <w:r>
        <w:rPr>
          <w:sz w:val="28"/>
        </w:rPr>
        <w:t xml:space="preserve"> przejrzystości, domyślnej </w:t>
      </w:r>
      <w:proofErr w:type="spellStart"/>
      <w:r>
        <w:rPr>
          <w:sz w:val="28"/>
        </w:rPr>
        <w:t>transgraniczności</w:t>
      </w:r>
      <w:proofErr w:type="spellEnd"/>
      <w:r>
        <w:rPr>
          <w:sz w:val="28"/>
        </w:rPr>
        <w:t xml:space="preserve"> i interoperacyjności oraz niezawodności i bezpieczeństwa.</w:t>
      </w:r>
    </w:p>
    <w:p w14:paraId="428AD88B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Wdrażanie Programu będzie zgodne z przepisami krajowymi i europejskimi, w tym dyrektywami (UE) 2019/882  w sprawie wymogów dostępności produktów i usług </w:t>
      </w:r>
      <w:r>
        <w:rPr>
          <w:sz w:val="28"/>
        </w:rPr>
        <w:t>i (UE) 2016/2102 w sprawie dostępności stron internetowych i mobilnych aplikacji organów sektora publicznego.</w:t>
      </w:r>
    </w:p>
    <w:p w14:paraId="63A224FC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 zachowaniem zasad sprzyjających podniesieniu jakości życia i zapewnienia niezależności obywateli, którzy ze względu na</w:t>
      </w:r>
      <w:r>
        <w:rPr>
          <w:sz w:val="28"/>
        </w:rPr>
        <w:t xml:space="preserve"> stan zdrowia, wiek czy niepełnosprawność napotykają na ograniczenia w życiu codziennym. Dostępność będzie realizowana przez stosowanie zasad uniwersalnego projektowania i standardów w zakresie m.in. dostępności cyfrowej produktów.</w:t>
      </w:r>
    </w:p>
    <w:p w14:paraId="5E71C53E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</w:t>
      </w:r>
      <w:r>
        <w:rPr>
          <w:sz w:val="28"/>
        </w:rPr>
        <w:t>e zgodnie z zasadą niedyskryminacji ze względu na płeć, rasę lub pochodzenie etniczne, religię lub światopogląd, niepełnosprawność, wiek, orientację seksualną. Rezultaty projektów, a także produkty projektów nie będą dyskryminacyjne.</w:t>
      </w:r>
    </w:p>
    <w:p w14:paraId="4DA8B25D" w14:textId="77777777" w:rsidR="00C1163F" w:rsidRDefault="0070024C">
      <w:pPr>
        <w:rPr>
          <w:b/>
          <w:sz w:val="28"/>
        </w:rPr>
      </w:pPr>
      <w:r>
        <w:rPr>
          <w:sz w:val="28"/>
        </w:rPr>
        <w:t>Wsparcie będzie udziel</w:t>
      </w:r>
      <w:r>
        <w:rPr>
          <w:sz w:val="28"/>
        </w:rPr>
        <w:t>ane wyłącznie projektom i beneficjentom, którzy przestrzegają przepisów antydyskryminacyjnych, o których mowa w art. 9 ust. 3 Rozporządzenia PE i Rady nr 2021/1060. W przypadku, gdy beneficjentem jest JST (lub podmiot przez nią kontrolowany lub od niej zal</w:t>
      </w:r>
      <w:r>
        <w:rPr>
          <w:sz w:val="28"/>
        </w:rPr>
        <w:t>eżny), która podjęła jakiekolwiek działania dyskryminujące, sprzeczne z zasadami, o których mowa w art. 9 ust. 3 rozporządzenia nr 2021/1060, wsparcie w ramach polityki spójności nie może być udzielone.</w:t>
      </w:r>
    </w:p>
    <w:p w14:paraId="5BCF87A1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Inwestycje w infrastrukturę informatyczną będą uzasad</w:t>
      </w:r>
      <w:r>
        <w:rPr>
          <w:sz w:val="28"/>
        </w:rPr>
        <w:t>nione celami projektu oraz analizą wskazującą na brak wystarczających zasobów w administracji publicznej niezbędnych do tworzenia lub funkcjonowania e-usług publicznych.</w:t>
      </w:r>
    </w:p>
    <w:p w14:paraId="43931044" w14:textId="77777777" w:rsidR="00C1163F" w:rsidRDefault="0070024C">
      <w:pPr>
        <w:rPr>
          <w:b/>
          <w:sz w:val="28"/>
        </w:rPr>
      </w:pPr>
      <w:r>
        <w:rPr>
          <w:sz w:val="28"/>
        </w:rPr>
        <w:t>Preferowana będzie realizacja projektów w trybie konkurencyjnym wskazanym w ustawie Pr</w:t>
      </w:r>
      <w:r>
        <w:rPr>
          <w:sz w:val="28"/>
        </w:rPr>
        <w:t>awo zamówień publicznych.</w:t>
      </w:r>
    </w:p>
    <w:p w14:paraId="7BE3E64D" w14:textId="77777777" w:rsidR="00C1163F" w:rsidRDefault="0070024C">
      <w:pPr>
        <w:rPr>
          <w:b/>
          <w:sz w:val="28"/>
        </w:rPr>
      </w:pPr>
      <w:r>
        <w:rPr>
          <w:sz w:val="28"/>
        </w:rPr>
        <w:t>Możliwa będzie realizacja projektów: łączących różne typy interwencji zaplanowanej w priorytecie; w partnerstwie publiczno-prywatnym.</w:t>
      </w:r>
    </w:p>
    <w:p w14:paraId="710723DC" w14:textId="77777777" w:rsidR="00C1163F" w:rsidRDefault="0070024C">
      <w:pPr>
        <w:rPr>
          <w:b/>
          <w:sz w:val="28"/>
        </w:rPr>
      </w:pPr>
      <w:r>
        <w:rPr>
          <w:sz w:val="28"/>
        </w:rPr>
        <w:t>Interwencja obejmie inwestycje zwiększające poziom bezpieczeństwa informacji poprzez wzmacnianie</w:t>
      </w:r>
      <w:r>
        <w:rPr>
          <w:sz w:val="28"/>
        </w:rPr>
        <w:t xml:space="preserve"> odporności oraz zdolności do skutecznego zapobiegania i reagowania na incydenty w systemach informacyjnych państwa oraz podmiotów mających kluczowe znaczenie dla gospodarki.</w:t>
      </w:r>
    </w:p>
    <w:p w14:paraId="39F7B3EC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Działania będą zgodne z polityką </w:t>
      </w:r>
      <w:proofErr w:type="spellStart"/>
      <w:r>
        <w:rPr>
          <w:sz w:val="28"/>
        </w:rPr>
        <w:t>cyberbezpieczeństwa</w:t>
      </w:r>
      <w:proofErr w:type="spellEnd"/>
      <w:r>
        <w:rPr>
          <w:sz w:val="28"/>
        </w:rPr>
        <w:t xml:space="preserve"> UE i wytycznymi Agencji UE d</w:t>
      </w:r>
      <w:r>
        <w:rPr>
          <w:sz w:val="28"/>
        </w:rPr>
        <w:t xml:space="preserve">s. </w:t>
      </w:r>
      <w:proofErr w:type="spellStart"/>
      <w:r>
        <w:rPr>
          <w:sz w:val="28"/>
        </w:rPr>
        <w:t>cyberbezpieczenstwa</w:t>
      </w:r>
      <w:proofErr w:type="spellEnd"/>
      <w:r>
        <w:rPr>
          <w:sz w:val="28"/>
        </w:rPr>
        <w:t>.</w:t>
      </w:r>
    </w:p>
    <w:p w14:paraId="6EBE2818" w14:textId="77777777" w:rsidR="00C1163F" w:rsidRDefault="0070024C">
      <w:pPr>
        <w:rPr>
          <w:b/>
          <w:sz w:val="28"/>
        </w:rPr>
      </w:pPr>
      <w:r>
        <w:rPr>
          <w:sz w:val="28"/>
        </w:rPr>
        <w:t>Projekty zgłaszane do naborów w tym działaniu będą mogły być realizowane w partnerstwie z zastosowaniem zapisów art. 39 ustawy wdrożeniowej.</w:t>
      </w:r>
    </w:p>
    <w:p w14:paraId="101505E0" w14:textId="77777777" w:rsidR="00C1163F" w:rsidRDefault="0070024C">
      <w:pPr>
        <w:rPr>
          <w:b/>
          <w:sz w:val="28"/>
        </w:rPr>
      </w:pPr>
      <w:r>
        <w:rPr>
          <w:sz w:val="28"/>
        </w:rPr>
        <w:t>Przewidywane typy projektów:</w:t>
      </w:r>
    </w:p>
    <w:p w14:paraId="118F1E3F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1. Projekty na rzecz wzmocnienia krajowego systemu </w:t>
      </w:r>
      <w:proofErr w:type="spellStart"/>
      <w:r>
        <w:rPr>
          <w:sz w:val="28"/>
        </w:rPr>
        <w:t>cyberbezpie</w:t>
      </w:r>
      <w:r>
        <w:rPr>
          <w:sz w:val="28"/>
        </w:rPr>
        <w:t>czeństwa</w:t>
      </w:r>
      <w:proofErr w:type="spellEnd"/>
      <w:r>
        <w:rPr>
          <w:sz w:val="28"/>
        </w:rPr>
        <w:t>.</w:t>
      </w:r>
    </w:p>
    <w:p w14:paraId="3A880F62" w14:textId="77777777" w:rsidR="00C1163F" w:rsidRDefault="0070024C">
      <w:pPr>
        <w:rPr>
          <w:b/>
          <w:sz w:val="28"/>
        </w:rPr>
      </w:pPr>
      <w:r>
        <w:rPr>
          <w:sz w:val="28"/>
        </w:rPr>
        <w:t>2. Wdrażanie rozwiązań łączących różne zakresy interwencji zaplanowanej w II Priorytecie FERC.</w:t>
      </w:r>
    </w:p>
    <w:p w14:paraId="10C2FACC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Potencjalni beneficjenci: jednostki administracji rządowej oraz jednostki im podległe lub przez nie nadzorowane. Ponadto partnerstwa tworzone </w:t>
      </w:r>
      <w:r>
        <w:rPr>
          <w:sz w:val="28"/>
        </w:rPr>
        <w:t>pomiędzy wskazanymi powyżej wnioskodawcami, partnerstwa uprawnionych wnioskodawców z przedsiębiorstwami, organizacjami pozarządowymi.</w:t>
      </w:r>
    </w:p>
    <w:p w14:paraId="231C0F92" w14:textId="77777777" w:rsidR="00C1163F" w:rsidRDefault="0070024C">
      <w:pPr>
        <w:rPr>
          <w:b/>
          <w:sz w:val="28"/>
        </w:rPr>
      </w:pPr>
      <w:r>
        <w:rPr>
          <w:sz w:val="28"/>
        </w:rPr>
        <w:t>Ilekroć Wytyczne dotyczące kwalifikowalności wydatków na lata 2021-2027 stanowią delegację dla IZ lub IP do określenia w S</w:t>
      </w:r>
      <w:r>
        <w:rPr>
          <w:sz w:val="28"/>
        </w:rPr>
        <w:t xml:space="preserve">ZOP podnoszonych w nich zagadnień związanych z kwalifikowalnością wydatków, kwestie te dla II priorytetu FERC są uregulowane w Katalogu wydatków kwalifikowalnych II priorytetu programu Fundusze Europejskie na Rozwój Cyfrowy 2021-2027 dostępnym na </w:t>
      </w:r>
      <w:r>
        <w:rPr>
          <w:sz w:val="28"/>
        </w:rPr>
        <w:lastRenderedPageBreak/>
        <w:t>stronie f</w:t>
      </w:r>
      <w:r>
        <w:rPr>
          <w:sz w:val="28"/>
        </w:rPr>
        <w:t>erc.gov.pl. Dokument ten zawiera także bardziej szczegółowe informacje na temat zastosowania cross-</w:t>
      </w:r>
      <w:proofErr w:type="spellStart"/>
      <w:r>
        <w:rPr>
          <w:sz w:val="28"/>
        </w:rPr>
        <w:t>financingu</w:t>
      </w:r>
      <w:proofErr w:type="spellEnd"/>
      <w:r>
        <w:rPr>
          <w:sz w:val="28"/>
        </w:rPr>
        <w:t xml:space="preserve"> w projektach.</w:t>
      </w:r>
    </w:p>
    <w:p w14:paraId="068E150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14:paraId="13C88D59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0FE35BD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 xml:space="preserve">Maksymalny % poziom dofinansowania całkowitego wydatków </w:t>
      </w:r>
      <w:r>
        <w:rPr>
          <w:b/>
          <w:sz w:val="28"/>
        </w:rPr>
        <w:t>kwalifikowalnych na poziomie projektu (środki UE + współfinansowanie ze środków krajowych przyznane beneficjentowi przez właściwą instytucję)</w:t>
      </w:r>
    </w:p>
    <w:p w14:paraId="2046E5AE" w14:textId="77777777" w:rsidR="00C1163F" w:rsidRDefault="0070024C">
      <w:pPr>
        <w:rPr>
          <w:b/>
          <w:sz w:val="28"/>
        </w:rPr>
      </w:pPr>
      <w:r>
        <w:rPr>
          <w:sz w:val="28"/>
        </w:rPr>
        <w:t>100</w:t>
      </w:r>
    </w:p>
    <w:p w14:paraId="5AE5FBE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14:paraId="43FCE55E" w14:textId="77777777" w:rsidR="00C1163F" w:rsidRDefault="0070024C">
      <w:pPr>
        <w:rPr>
          <w:b/>
          <w:sz w:val="28"/>
        </w:rPr>
      </w:pPr>
      <w:r>
        <w:rPr>
          <w:sz w:val="28"/>
        </w:rPr>
        <w:t>Bez pomocy</w:t>
      </w:r>
    </w:p>
    <w:p w14:paraId="57F81FF0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14:paraId="64EE1D64" w14:textId="77777777" w:rsidR="00C1163F" w:rsidRDefault="0070024C">
      <w:pPr>
        <w:rPr>
          <w:b/>
          <w:sz w:val="28"/>
        </w:rPr>
      </w:pPr>
      <w:r>
        <w:rPr>
          <w:sz w:val="28"/>
        </w:rPr>
        <w:t>Bez pomocy</w:t>
      </w:r>
    </w:p>
    <w:p w14:paraId="1DEA720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Upros</w:t>
      </w:r>
      <w:r>
        <w:rPr>
          <w:b/>
          <w:sz w:val="28"/>
        </w:rPr>
        <w:t>zczone metody rozliczania</w:t>
      </w:r>
    </w:p>
    <w:p w14:paraId="462625B4" w14:textId="77777777" w:rsidR="00C1163F" w:rsidRDefault="0070024C">
      <w:pPr>
        <w:rPr>
          <w:b/>
          <w:sz w:val="28"/>
        </w:rPr>
      </w:pPr>
      <w:r>
        <w:rPr>
          <w:sz w:val="28"/>
        </w:rP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4081411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Forma wspa</w:t>
      </w:r>
      <w:r>
        <w:rPr>
          <w:b/>
          <w:sz w:val="28"/>
        </w:rPr>
        <w:t>rcia</w:t>
      </w:r>
    </w:p>
    <w:p w14:paraId="39AAA28A" w14:textId="77777777" w:rsidR="00C1163F" w:rsidRDefault="0070024C">
      <w:pPr>
        <w:rPr>
          <w:b/>
          <w:sz w:val="28"/>
        </w:rPr>
      </w:pPr>
      <w:r>
        <w:rPr>
          <w:sz w:val="28"/>
        </w:rPr>
        <w:t>Dotacja</w:t>
      </w:r>
    </w:p>
    <w:p w14:paraId="622A4ECA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Dopuszczalny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0C1D803D" w14:textId="77777777" w:rsidR="00C1163F" w:rsidRDefault="0070024C">
      <w:pPr>
        <w:rPr>
          <w:b/>
          <w:sz w:val="28"/>
        </w:rPr>
      </w:pPr>
      <w:r>
        <w:rPr>
          <w:sz w:val="28"/>
        </w:rPr>
        <w:t>15</w:t>
      </w:r>
    </w:p>
    <w:p w14:paraId="62CD6A5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7D76798D" w14:textId="77777777" w:rsidR="00C1163F" w:rsidRDefault="0070024C">
      <w:pPr>
        <w:rPr>
          <w:b/>
          <w:sz w:val="28"/>
        </w:rPr>
      </w:pPr>
      <w:r>
        <w:rPr>
          <w:sz w:val="28"/>
        </w:rPr>
        <w:t>Niekonkurencyjny</w:t>
      </w:r>
    </w:p>
    <w:p w14:paraId="45221B8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48869C8D" w14:textId="77777777" w:rsidR="00C1163F" w:rsidRDefault="0070024C">
      <w:pPr>
        <w:rPr>
          <w:b/>
          <w:sz w:val="28"/>
        </w:rPr>
      </w:pPr>
      <w:r>
        <w:rPr>
          <w:sz w:val="28"/>
        </w:rPr>
        <w:t>Nie dotyczy</w:t>
      </w:r>
    </w:p>
    <w:p w14:paraId="6F30A1E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Typ beneficjenta – ogólny</w:t>
      </w:r>
    </w:p>
    <w:p w14:paraId="37BF8B69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</w:t>
      </w:r>
    </w:p>
    <w:p w14:paraId="4A53FE0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14:paraId="134640CC" w14:textId="77777777" w:rsidR="00C1163F" w:rsidRDefault="0070024C">
      <w:pPr>
        <w:rPr>
          <w:b/>
          <w:sz w:val="28"/>
        </w:rPr>
      </w:pPr>
      <w:r>
        <w:rPr>
          <w:sz w:val="28"/>
        </w:rPr>
        <w:t>Administracja rządowa</w:t>
      </w:r>
    </w:p>
    <w:p w14:paraId="0930803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Grupa docelo</w:t>
      </w:r>
      <w:r>
        <w:rPr>
          <w:b/>
          <w:sz w:val="28"/>
        </w:rPr>
        <w:t>wa</w:t>
      </w:r>
    </w:p>
    <w:p w14:paraId="24B2A67A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administracja publiczna (w tym rządowa) oraz podległe jej organy i jednostki organizacyjne, podmioty kluczowe dla zapewnienia </w:t>
      </w:r>
      <w:proofErr w:type="spellStart"/>
      <w:r>
        <w:rPr>
          <w:sz w:val="28"/>
        </w:rPr>
        <w:t>cyberbezpieczeństwa</w:t>
      </w:r>
      <w:proofErr w:type="spellEnd"/>
    </w:p>
    <w:p w14:paraId="74A9658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21A878EF" w14:textId="77777777" w:rsidR="00C1163F" w:rsidRDefault="0070024C">
      <w:pPr>
        <w:rPr>
          <w:b/>
          <w:sz w:val="28"/>
        </w:rPr>
      </w:pPr>
      <w:proofErr w:type="spellStart"/>
      <w:r>
        <w:rPr>
          <w:sz w:val="28"/>
        </w:rPr>
        <w:t>cyberbezpieczeństwo</w:t>
      </w:r>
      <w:proofErr w:type="spellEnd"/>
      <w:r>
        <w:rPr>
          <w:sz w:val="28"/>
        </w:rPr>
        <w:t xml:space="preserve">, cyfryzacja, TIK, </w:t>
      </w:r>
      <w:proofErr w:type="spellStart"/>
      <w:r>
        <w:rPr>
          <w:sz w:val="28"/>
        </w:rPr>
        <w:t>transformacja_cyfrowa</w:t>
      </w:r>
      <w:proofErr w:type="spellEnd"/>
    </w:p>
    <w:p w14:paraId="5734259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0692F79D" w14:textId="77777777" w:rsidR="00C1163F" w:rsidRDefault="0070024C">
      <w:pPr>
        <w:rPr>
          <w:b/>
          <w:sz w:val="28"/>
        </w:rPr>
      </w:pPr>
      <w:r>
        <w:rPr>
          <w:sz w:val="28"/>
        </w:rPr>
        <w:t>https:</w:t>
      </w:r>
      <w:r>
        <w:rPr>
          <w:sz w:val="28"/>
        </w:rPr>
        <w:t>//www.rozwojcyfrowy.gov.pl/strony/dowiedz-sie-wiecej-o-programie/kryteria-wyboru-projektow</w:t>
      </w:r>
    </w:p>
    <w:p w14:paraId="4F31E8C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48BBCA3F" w14:textId="77777777" w:rsidR="00C1163F" w:rsidRDefault="0070024C">
      <w:pPr>
        <w:rPr>
          <w:b/>
          <w:sz w:val="28"/>
        </w:rPr>
      </w:pPr>
      <w:r>
        <w:rPr>
          <w:sz w:val="28"/>
        </w:rPr>
        <w:t>WLWK-RCO014 - Instytucje publiczne otrzymujące wsparcie na opracowywanie usług, produktów i procesów cyfrowych</w:t>
      </w:r>
    </w:p>
    <w:p w14:paraId="674AB651" w14:textId="77777777" w:rsidR="00C1163F" w:rsidRDefault="0070024C">
      <w:pPr>
        <w:rPr>
          <w:b/>
          <w:sz w:val="28"/>
        </w:rPr>
      </w:pPr>
      <w:r>
        <w:rPr>
          <w:sz w:val="28"/>
        </w:rPr>
        <w:t>WLWK-PLRO014 - Liczba podmiotów wsp</w:t>
      </w:r>
      <w:r>
        <w:rPr>
          <w:sz w:val="28"/>
        </w:rPr>
        <w:t xml:space="preserve">artych w zakresie </w:t>
      </w:r>
      <w:proofErr w:type="spellStart"/>
      <w:r>
        <w:rPr>
          <w:sz w:val="28"/>
        </w:rPr>
        <w:t>cyberbezpieczeństwa</w:t>
      </w:r>
      <w:proofErr w:type="spellEnd"/>
    </w:p>
    <w:p w14:paraId="38411CB0" w14:textId="77777777" w:rsidR="00C1163F" w:rsidRDefault="0070024C">
      <w:pPr>
        <w:rPr>
          <w:b/>
          <w:sz w:val="28"/>
        </w:rPr>
      </w:pPr>
      <w:r>
        <w:rPr>
          <w:sz w:val="28"/>
        </w:rPr>
        <w:t>WLWK-PLRO008 - Liczba podmiotów wspartych w zakresie rozwoju usług, produktów i procesów cyfrowych</w:t>
      </w:r>
    </w:p>
    <w:p w14:paraId="34F66EEB" w14:textId="77777777" w:rsidR="00C1163F" w:rsidRDefault="0070024C">
      <w:pPr>
        <w:rPr>
          <w:b/>
          <w:sz w:val="28"/>
        </w:rPr>
      </w:pPr>
      <w:r>
        <w:rPr>
          <w:sz w:val="28"/>
        </w:rPr>
        <w:t>WLWK-RCO013 - Wartość usług, produktów i procesów cyfrowych opracowanych dla przedsiębiorstw</w:t>
      </w:r>
    </w:p>
    <w:p w14:paraId="6D0A052F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PROG-FERC-P005 - Liczba pracowników IT podmiotów wykonujących zadania publiczne objętych wsparciem szkoleniowym </w:t>
      </w:r>
    </w:p>
    <w:p w14:paraId="3475D7C8" w14:textId="77777777" w:rsidR="00C1163F" w:rsidRDefault="0070024C">
      <w:pPr>
        <w:rPr>
          <w:b/>
          <w:sz w:val="28"/>
        </w:rPr>
      </w:pPr>
      <w:r>
        <w:rPr>
          <w:sz w:val="28"/>
        </w:rPr>
        <w:t>PROG-FERC-P006 - Liczba pracowników IT podmiotów wykonujących zadania publiczne objętych wsparciem szkoleniowym - kobiety</w:t>
      </w:r>
    </w:p>
    <w:p w14:paraId="27E3E94D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PROG-FERC-P007 - Licz</w:t>
      </w:r>
      <w:r>
        <w:rPr>
          <w:sz w:val="28"/>
        </w:rPr>
        <w:t>ba pracowników IT podmiotów wykonujących zadania publiczne objętych wsparciem szkoleniowym - mężczyźni</w:t>
      </w:r>
    </w:p>
    <w:p w14:paraId="6D79FA0C" w14:textId="77777777" w:rsidR="00C1163F" w:rsidRDefault="0070024C">
      <w:pPr>
        <w:rPr>
          <w:b/>
          <w:sz w:val="28"/>
        </w:rPr>
      </w:pPr>
      <w:r>
        <w:rPr>
          <w:sz w:val="28"/>
        </w:rPr>
        <w:t>PROG-FERC-P003 - Liczba pracowników podmiotów wykonujących zadania publiczne nie będących pracownikami IT, objętych wsparciem szkoleniowym - kobiety</w:t>
      </w:r>
    </w:p>
    <w:p w14:paraId="7B7A9EB5" w14:textId="77777777" w:rsidR="00C1163F" w:rsidRDefault="0070024C">
      <w:pPr>
        <w:rPr>
          <w:b/>
          <w:sz w:val="28"/>
        </w:rPr>
      </w:pPr>
      <w:r>
        <w:rPr>
          <w:sz w:val="28"/>
        </w:rPr>
        <w:t>PROG</w:t>
      </w:r>
      <w:r>
        <w:rPr>
          <w:sz w:val="28"/>
        </w:rPr>
        <w:t>-FERC-P004 - Liczba pracowników podmiotów wykonujących zadania publiczne nie będących pracownikami IT, objętych wsparciem szkoleniowym - mężczyźni</w:t>
      </w:r>
    </w:p>
    <w:p w14:paraId="2A278BCD" w14:textId="77777777" w:rsidR="00C1163F" w:rsidRDefault="0070024C">
      <w:pPr>
        <w:rPr>
          <w:b/>
          <w:sz w:val="28"/>
        </w:rPr>
      </w:pPr>
      <w:r>
        <w:rPr>
          <w:sz w:val="28"/>
        </w:rPr>
        <w:t>PROG-FERC-P002 - Liczba pracowników podmiotów wykonujących zadania publiczne nie będących pracownikami IT, ob</w:t>
      </w:r>
      <w:r>
        <w:rPr>
          <w:sz w:val="28"/>
        </w:rPr>
        <w:t>jętych wsparciem szkoleniowym</w:t>
      </w:r>
    </w:p>
    <w:p w14:paraId="4A2B0FAA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PROG-FERC-P001 - Liczba systemów służących zwiększeniu poziomu bezpieczeństwa informacji </w:t>
      </w:r>
    </w:p>
    <w:p w14:paraId="7104BE9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rezultatu</w:t>
      </w:r>
    </w:p>
    <w:p w14:paraId="5E101B17" w14:textId="77777777" w:rsidR="00C1163F" w:rsidRDefault="0070024C">
      <w:pPr>
        <w:rPr>
          <w:b/>
          <w:sz w:val="28"/>
        </w:rPr>
      </w:pPr>
      <w:r>
        <w:rPr>
          <w:sz w:val="28"/>
        </w:rPr>
        <w:t>WLWK-RCR011 - Użytkownicy nowych i zmodernizowanych publicznych usług, produktów i procesów cyfrowych</w:t>
      </w:r>
    </w:p>
    <w:p w14:paraId="2AEC2DC7" w14:textId="77777777" w:rsidR="00C1163F" w:rsidRDefault="0070024C">
      <w:pPr>
        <w:rPr>
          <w:b/>
          <w:sz w:val="28"/>
        </w:rPr>
      </w:pPr>
      <w:r>
        <w:rPr>
          <w:sz w:val="28"/>
        </w:rPr>
        <w:t>WLWK-RCR012 -</w:t>
      </w:r>
      <w:r>
        <w:rPr>
          <w:sz w:val="28"/>
        </w:rPr>
        <w:t xml:space="preserve"> Użytkownicy nowych i zmodernizowanych usług, produktów i procesów cyfrowych opracowanych przez przedsiębiorstwa</w:t>
      </w:r>
    </w:p>
    <w:p w14:paraId="41A4FEC3" w14:textId="77777777" w:rsidR="00C1163F" w:rsidRDefault="00C1163F">
      <w:pPr>
        <w:rPr>
          <w:b/>
          <w:sz w:val="28"/>
        </w:rPr>
      </w:pPr>
    </w:p>
    <w:p w14:paraId="71CE6603" w14:textId="77777777" w:rsidR="00C1163F" w:rsidRDefault="0070024C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Działanie FERC.02.03 Cyfrowa dostępność i ponowne wykorzystanie informacji</w:t>
      </w:r>
    </w:p>
    <w:p w14:paraId="162C85DE" w14:textId="77777777" w:rsidR="00C1163F" w:rsidRDefault="00C1163F">
      <w:pPr>
        <w:rPr>
          <w:rFonts w:ascii="Calibri" w:hAnsi="Calibri"/>
          <w:sz w:val="32"/>
        </w:rPr>
      </w:pPr>
    </w:p>
    <w:p w14:paraId="4518440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szczegółowy</w:t>
      </w:r>
    </w:p>
    <w:p w14:paraId="4EF6AB17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EFRR.CP1.II - Czerpanie korzyści z cyfryzacji dla </w:t>
      </w:r>
      <w:r>
        <w:rPr>
          <w:sz w:val="28"/>
        </w:rPr>
        <w:t>obywateli, przedsiębiorstw, organizacji badawczych i instytucji publicznych</w:t>
      </w:r>
    </w:p>
    <w:p w14:paraId="680E766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0DE25B71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Centrum Projektów Polska Cyfrowa</w:t>
      </w:r>
    </w:p>
    <w:p w14:paraId="3FDAACBB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ogółem (EUR)</w:t>
      </w:r>
    </w:p>
    <w:p w14:paraId="432161FE" w14:textId="77777777" w:rsidR="00C1163F" w:rsidRDefault="0070024C">
      <w:pPr>
        <w:rPr>
          <w:b/>
          <w:sz w:val="28"/>
        </w:rPr>
      </w:pPr>
      <w:r>
        <w:rPr>
          <w:sz w:val="28"/>
        </w:rPr>
        <w:t>326 188 543,00</w:t>
      </w:r>
    </w:p>
    <w:p w14:paraId="72B921D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43551E43" w14:textId="77777777" w:rsidR="00C1163F" w:rsidRDefault="0070024C">
      <w:pPr>
        <w:rPr>
          <w:b/>
          <w:sz w:val="28"/>
        </w:rPr>
      </w:pPr>
      <w:r>
        <w:rPr>
          <w:sz w:val="28"/>
        </w:rPr>
        <w:t>260 000 000,00</w:t>
      </w:r>
    </w:p>
    <w:p w14:paraId="3376B74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6C62B8F8" w14:textId="77777777" w:rsidR="00C1163F" w:rsidRDefault="0070024C">
      <w:pPr>
        <w:rPr>
          <w:b/>
          <w:sz w:val="28"/>
        </w:rPr>
      </w:pPr>
      <w:r>
        <w:rPr>
          <w:sz w:val="28"/>
        </w:rPr>
        <w:t>016 - Rozwiązan</w:t>
      </w:r>
      <w:r>
        <w:rPr>
          <w:sz w:val="28"/>
        </w:rPr>
        <w:t>ia TIK, usługi elektroniczne, aplikacje dla administracji, 172 - Finansowanie krzyżowe w ramach EFRR (wsparcie dla działań typowych dla EFS+ koniecznych do wdrożenia części operacji objętej EFRR i bezpośrednio z nią związanych)</w:t>
      </w:r>
    </w:p>
    <w:p w14:paraId="225F048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323E2B7A" w14:textId="77777777" w:rsidR="00C1163F" w:rsidRDefault="0070024C">
      <w:pPr>
        <w:rPr>
          <w:b/>
          <w:sz w:val="28"/>
        </w:rPr>
      </w:pPr>
      <w:r>
        <w:rPr>
          <w:sz w:val="28"/>
        </w:rPr>
        <w:t>Celem planowa</w:t>
      </w:r>
      <w:r>
        <w:rPr>
          <w:sz w:val="28"/>
        </w:rPr>
        <w:t xml:space="preserve">nego wsparcia jest wzrost wykorzystania wysokiej jakości danych prywatnych i publicznych. W ramach działania wspierane będą projekty o oddziaływaniu ogólnokrajowym, których produkty będą mogły być wykorzystywane lokalnie. </w:t>
      </w:r>
    </w:p>
    <w:p w14:paraId="1616BF24" w14:textId="77777777" w:rsidR="00C1163F" w:rsidRDefault="0070024C">
      <w:pPr>
        <w:rPr>
          <w:b/>
          <w:sz w:val="28"/>
        </w:rPr>
      </w:pPr>
      <w:r>
        <w:rPr>
          <w:sz w:val="28"/>
        </w:rPr>
        <w:t>Cyfrowa dostępność Informacji Sek</w:t>
      </w:r>
      <w:r>
        <w:rPr>
          <w:sz w:val="28"/>
        </w:rPr>
        <w:t>tora Publicznego (ISP)</w:t>
      </w:r>
    </w:p>
    <w:p w14:paraId="01AF7710" w14:textId="77777777" w:rsidR="00C1163F" w:rsidRDefault="0070024C">
      <w:pPr>
        <w:rPr>
          <w:b/>
          <w:sz w:val="28"/>
        </w:rPr>
      </w:pPr>
      <w:r>
        <w:rPr>
          <w:sz w:val="28"/>
        </w:rPr>
        <w:t>Priorytetem działania jest zwiększenie ilości i jakości ISP dostępnych do ponownego wykorzystania, w tym w szczególności danych o wysokiej wartości oraz danych dynamicznych.</w:t>
      </w:r>
    </w:p>
    <w:p w14:paraId="43775004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 działaniu przewiduje się zwiększenie otwartości oraz </w:t>
      </w:r>
      <w:r>
        <w:rPr>
          <w:sz w:val="28"/>
        </w:rPr>
        <w:t>poziomu ponownego wykorzystania danych z zasobów kultury (w tym tych niebędących ISP), nauki i administracji.</w:t>
      </w:r>
    </w:p>
    <w:p w14:paraId="534593ED" w14:textId="77777777" w:rsidR="00C1163F" w:rsidRDefault="0070024C">
      <w:pPr>
        <w:rPr>
          <w:b/>
          <w:sz w:val="28"/>
        </w:rPr>
      </w:pPr>
      <w:r>
        <w:rPr>
          <w:sz w:val="28"/>
        </w:rPr>
        <w:t>Działanie zakłada wsparcie tworzenia narzędzi umożliwiających dostęp do ISP, w tym do budowy API do baz lub rejestrów z danymi publicznymi.</w:t>
      </w:r>
    </w:p>
    <w:p w14:paraId="2F48E036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Wsparc</w:t>
      </w:r>
      <w:r>
        <w:rPr>
          <w:sz w:val="28"/>
        </w:rPr>
        <w:t>ie udzielane będzie także na budowę lub modernizację i udostępnianie rozwiązań informatycznych do prowadzenia zaawansowanej analityki danych z wykorzystaniem nowych technologii.</w:t>
      </w:r>
    </w:p>
    <w:p w14:paraId="19CE4DCA" w14:textId="77777777" w:rsidR="00C1163F" w:rsidRDefault="0070024C">
      <w:pPr>
        <w:rPr>
          <w:b/>
          <w:sz w:val="28"/>
        </w:rPr>
      </w:pPr>
      <w:r>
        <w:rPr>
          <w:sz w:val="28"/>
        </w:rPr>
        <w:t>W ramach wsparcia możliwa będzie realizacja przedsięwzięć polegających na digi</w:t>
      </w:r>
      <w:r>
        <w:rPr>
          <w:sz w:val="28"/>
        </w:rPr>
        <w:t>talizacji zasobów kultury, administracji i nauki, a także ukierunkowanych na poprawie jakości danych, poziomu otwartości i standaryzację wymiany danych udostępnianych również za pośrednictwem API. Interwencja objąć może także budowę i rozbudowę infrastrukt</w:t>
      </w:r>
      <w:r>
        <w:rPr>
          <w:sz w:val="28"/>
        </w:rPr>
        <w:t>ury do przechowywania i udostępniania danych, w tym zapewnienie interoperacyjności systemów udostępniających dane do ponownego wykorzystania, integrację i harmonizację danych.</w:t>
      </w:r>
    </w:p>
    <w:p w14:paraId="1A8AED84" w14:textId="77777777" w:rsidR="00C1163F" w:rsidRDefault="0070024C">
      <w:pPr>
        <w:rPr>
          <w:b/>
          <w:sz w:val="28"/>
        </w:rPr>
      </w:pPr>
      <w:r>
        <w:rPr>
          <w:sz w:val="28"/>
        </w:rPr>
        <w:t>Działanie ma na celu również wsparcie wymiany danych między przedsiębiorcami ora</w:t>
      </w:r>
      <w:r>
        <w:rPr>
          <w:sz w:val="28"/>
        </w:rPr>
        <w:t>z dzielenia się danymi z sektorem publicznym.</w:t>
      </w:r>
    </w:p>
    <w:p w14:paraId="5EC69E18" w14:textId="77777777" w:rsidR="00C1163F" w:rsidRDefault="0070024C">
      <w:pPr>
        <w:rPr>
          <w:b/>
          <w:sz w:val="28"/>
        </w:rPr>
      </w:pPr>
      <w:r>
        <w:rPr>
          <w:sz w:val="28"/>
        </w:rPr>
        <w:t>W ramach realizowanych przedsięwzięć możliwe będzie rozpoznanie potrzeb jak najszerszej grupy interesariuszy, badanie rynku ponownego wykorzystywania danych, a także upowszechnianie wiedzy i informacji nt. otwi</w:t>
      </w:r>
      <w:r>
        <w:rPr>
          <w:sz w:val="28"/>
        </w:rPr>
        <w:t xml:space="preserve">erania i ponownego wykorzystywania otwartych zasobów.  Wspierane będą także działania mające na celu budowanie świadomości nt. korzyści z wymiany danych, budowanie zaufania, promowanie dobrych praktyk dzielenia się danymi oraz rozwój etyki danych. </w:t>
      </w:r>
    </w:p>
    <w:p w14:paraId="04ABE0F4" w14:textId="77777777" w:rsidR="00C1163F" w:rsidRDefault="0070024C">
      <w:pPr>
        <w:rPr>
          <w:b/>
          <w:sz w:val="28"/>
        </w:rPr>
      </w:pPr>
      <w:proofErr w:type="spellStart"/>
      <w:r>
        <w:rPr>
          <w:sz w:val="28"/>
        </w:rPr>
        <w:t>Zdigita</w:t>
      </w:r>
      <w:r>
        <w:rPr>
          <w:sz w:val="28"/>
        </w:rPr>
        <w:t>lizowane</w:t>
      </w:r>
      <w:proofErr w:type="spellEnd"/>
      <w:r>
        <w:rPr>
          <w:sz w:val="28"/>
        </w:rPr>
        <w:t xml:space="preserve"> ze środków FERC obiekty nadawców radiowych i telewizyjnych będą udostępniane także na ogólnodostępnym portalu z otwartymi zasobami kultury i nauki.</w:t>
      </w:r>
    </w:p>
    <w:p w14:paraId="50E1A923" w14:textId="77777777" w:rsidR="00C1163F" w:rsidRDefault="0070024C">
      <w:pPr>
        <w:rPr>
          <w:b/>
          <w:sz w:val="28"/>
        </w:rPr>
      </w:pPr>
      <w:r>
        <w:rPr>
          <w:sz w:val="28"/>
        </w:rPr>
        <w:t>Cyfrowa dostępność i ponowne wykorzystanie informacji przez przedsiębiorstwa</w:t>
      </w:r>
    </w:p>
    <w:p w14:paraId="7C227BE7" w14:textId="77777777" w:rsidR="00C1163F" w:rsidRDefault="0070024C">
      <w:pPr>
        <w:rPr>
          <w:b/>
          <w:sz w:val="28"/>
        </w:rPr>
      </w:pPr>
      <w:r>
        <w:rPr>
          <w:sz w:val="28"/>
        </w:rPr>
        <w:t>Wspierany będzie powsz</w:t>
      </w:r>
      <w:r>
        <w:rPr>
          <w:sz w:val="28"/>
        </w:rPr>
        <w:t>echny dostęp oraz wykorzystanie danych publicznych i prywatnych, który przyczyni się do rozwoju przedsiębiorstw i wzrostu ich konkurencyjności. W działaniu możliwa będzie realizacja projektów zakładających wypracowanie standardów współpracy w zakresie orga</w:t>
      </w:r>
      <w:r>
        <w:rPr>
          <w:sz w:val="28"/>
        </w:rPr>
        <w:t xml:space="preserve">nizacyjnym, technicznym i prawnym. Promowane będzie również udostępnianie danych prywatnych instytucjom publicznym, podmiotom systemu szkolnictwa wyższego i nauki w celu realizacji interesu publicznego. Wspierane będzie rozwijanie e-usług opartych o </w:t>
      </w:r>
      <w:r>
        <w:rPr>
          <w:sz w:val="28"/>
        </w:rPr>
        <w:lastRenderedPageBreak/>
        <w:t>otwart</w:t>
      </w:r>
      <w:r>
        <w:rPr>
          <w:sz w:val="28"/>
        </w:rPr>
        <w:t>e dane m.in. poprzez budowę aplikacji wykorzystujących udostępnione dotychczas ISP oraz wdrożone e-usługi publiczne.</w:t>
      </w:r>
    </w:p>
    <w:p w14:paraId="51F8451A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Planowane wsparcie w zakresie rozwijania infrastruktury wymiany danych nie zakłada dofinansowania działań indywidualnych przedsiębiorców. </w:t>
      </w:r>
    </w:p>
    <w:p w14:paraId="3C7FDDC6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Wsparcie ma na celu intensyfikację udostępniania i wymiany danych między przedsiębiorcami przez utworzenie zaufanego środowiska, które narzędziowo, informacyjnie, organizacyjnie i prawnie wesprze przedsiębiorców w dzieleniu się dostępem do danych w ramach </w:t>
      </w:r>
      <w:r>
        <w:rPr>
          <w:sz w:val="28"/>
        </w:rPr>
        <w:t>wirtualnych składnic (</w:t>
      </w:r>
      <w:proofErr w:type="spellStart"/>
      <w:r>
        <w:rPr>
          <w:sz w:val="28"/>
        </w:rPr>
        <w:t>wspólnic</w:t>
      </w:r>
      <w:proofErr w:type="spellEnd"/>
      <w:r>
        <w:rPr>
          <w:sz w:val="28"/>
        </w:rPr>
        <w:t>) danych oraz pokaże korzyści z wykorzystania danych i technologii opartych o dane.</w:t>
      </w:r>
    </w:p>
    <w:p w14:paraId="106BBAEA" w14:textId="77777777" w:rsidR="00C1163F" w:rsidRDefault="0070024C">
      <w:pPr>
        <w:rPr>
          <w:b/>
          <w:sz w:val="28"/>
        </w:rPr>
      </w:pPr>
      <w:r>
        <w:rPr>
          <w:sz w:val="28"/>
        </w:rPr>
        <w:t>W ramach działania możliwe będzie tworzenie platform oraz partnerstw służących gromadzeniu i wymianie danych między przedsiębiorstwami jako na</w:t>
      </w:r>
      <w:r>
        <w:rPr>
          <w:sz w:val="28"/>
        </w:rPr>
        <w:t xml:space="preserve">rzędzi wspierających dzielenie się danymi. </w:t>
      </w:r>
    </w:p>
    <w:p w14:paraId="0FEE6F83" w14:textId="77777777" w:rsidR="00C1163F" w:rsidRDefault="0070024C">
      <w:pPr>
        <w:rPr>
          <w:b/>
          <w:sz w:val="28"/>
        </w:rPr>
      </w:pPr>
      <w:r>
        <w:rPr>
          <w:sz w:val="28"/>
        </w:rPr>
        <w:t>Wdrażanie Programu będzie zgodne z przepisami krajowymi i europejskimi, w tym dyrektywami (UE) 2019/882 w sprawie wymogów dostępności produktów i usług i (UE) 2016/2102 w sprawie dostępności stron internetowych i</w:t>
      </w:r>
      <w:r>
        <w:rPr>
          <w:sz w:val="28"/>
        </w:rPr>
        <w:t xml:space="preserve"> mobilnych aplikacji organów sektora publicznego.</w:t>
      </w:r>
    </w:p>
    <w:p w14:paraId="4938B986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 zachowaniem zasad sprzyjających podniesieniu jakości życia i zapewnienia niezależności obywateli, którzy ze względu na stan zdrowia, wiek czy niepełnosprawność napotykają na ogra</w:t>
      </w:r>
      <w:r>
        <w:rPr>
          <w:sz w:val="28"/>
        </w:rPr>
        <w:t>niczenia w życiu codziennym. Dostępność będzie realizowana przez stosowanie zasad uniwersalnego projektowania i standardów w zakresie m.in. dostępności cyfrowej produktów.</w:t>
      </w:r>
    </w:p>
    <w:p w14:paraId="203227B8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zgodnie z zasadą niedyskryminacji ze względu na płeć, rasę</w:t>
      </w:r>
      <w:r>
        <w:rPr>
          <w:sz w:val="28"/>
        </w:rPr>
        <w:t xml:space="preserve"> lub pochodzenie etniczne, religię lub światopogląd, niepełnosprawność, wiek, orientację seksualną. Rezultaty projektów, a także produkty projektów nie będą dyskryminacyjne.</w:t>
      </w:r>
    </w:p>
    <w:p w14:paraId="3F2A6FBF" w14:textId="77777777" w:rsidR="00C1163F" w:rsidRDefault="0070024C">
      <w:pPr>
        <w:rPr>
          <w:b/>
          <w:sz w:val="28"/>
        </w:rPr>
      </w:pPr>
      <w:r>
        <w:rPr>
          <w:sz w:val="28"/>
        </w:rPr>
        <w:t>Wsparcie będzie udzielane wyłącznie projektom i beneficjentom, którzy przestrzegaj</w:t>
      </w:r>
      <w:r>
        <w:rPr>
          <w:sz w:val="28"/>
        </w:rPr>
        <w:t xml:space="preserve">ą przepisów antydyskryminacyjnych, o których mowa w art. 9 ust. 3 Rozporządzenia PE i Rady nr 2021/1060. W przypadku, gdy beneficjentem jest JST </w:t>
      </w:r>
      <w:r>
        <w:rPr>
          <w:sz w:val="28"/>
        </w:rPr>
        <w:lastRenderedPageBreak/>
        <w:t xml:space="preserve">(lub podmiot przez nią kontrolowany lub od niej zależny), która podjęła jakiekolwiek działania dyskryminujące, </w:t>
      </w:r>
      <w:r>
        <w:rPr>
          <w:sz w:val="28"/>
        </w:rPr>
        <w:t>sprzeczne z zasadami, o których mowa w art. 9 ust. 3 rozporządzenia nr 2021/1060, wsparcie w ramach polityki spójności nie może być udzielone.</w:t>
      </w:r>
    </w:p>
    <w:p w14:paraId="5A0DCB2D" w14:textId="77777777" w:rsidR="00C1163F" w:rsidRDefault="0070024C">
      <w:pPr>
        <w:rPr>
          <w:b/>
          <w:sz w:val="28"/>
        </w:rPr>
      </w:pPr>
      <w:r>
        <w:rPr>
          <w:sz w:val="28"/>
        </w:rPr>
        <w:t>Inwestycje w infrastrukturę informatyczną będą uzasadnione celami projektu oraz analizą wskazującą na brak wystar</w:t>
      </w:r>
      <w:r>
        <w:rPr>
          <w:sz w:val="28"/>
        </w:rPr>
        <w:t>czających zasobów w administracji publicznej niezbędnych do tworzenia lub funkcjonowania e-usług publicznych.</w:t>
      </w:r>
    </w:p>
    <w:p w14:paraId="5E38608D" w14:textId="77777777" w:rsidR="00C1163F" w:rsidRDefault="0070024C">
      <w:pPr>
        <w:rPr>
          <w:b/>
          <w:sz w:val="28"/>
        </w:rPr>
      </w:pPr>
      <w:r>
        <w:rPr>
          <w:sz w:val="28"/>
        </w:rPr>
        <w:t>Preferowana będzie realizacja projektów w trybie konkurencyjnym wskazanym w ustawie Prawo zamówień publicznych.</w:t>
      </w:r>
    </w:p>
    <w:p w14:paraId="33DCEDF2" w14:textId="77777777" w:rsidR="00C1163F" w:rsidRDefault="0070024C">
      <w:pPr>
        <w:rPr>
          <w:b/>
          <w:sz w:val="28"/>
        </w:rPr>
      </w:pPr>
      <w:r>
        <w:rPr>
          <w:sz w:val="28"/>
        </w:rPr>
        <w:t>Możliwa będzie realizacja projektó</w:t>
      </w:r>
      <w:r>
        <w:rPr>
          <w:sz w:val="28"/>
        </w:rPr>
        <w:t>w: łączących różne typy interwencji zaplanowanej w priorytecie; w partnerstwie publiczno-prywatnym.</w:t>
      </w:r>
    </w:p>
    <w:p w14:paraId="3DA125E5" w14:textId="77777777" w:rsidR="00C1163F" w:rsidRDefault="0070024C">
      <w:pPr>
        <w:rPr>
          <w:b/>
          <w:sz w:val="28"/>
        </w:rPr>
      </w:pPr>
      <w:r>
        <w:rPr>
          <w:sz w:val="28"/>
        </w:rPr>
        <w:t>Projekty zgłaszane do naborów w tym działaniu będą mogły być realizowane w partnerstwie z zastosowaniem zapisów art. 39 ustawy wdrożeniowej.</w:t>
      </w:r>
    </w:p>
    <w:p w14:paraId="6A3798E2" w14:textId="77777777" w:rsidR="00C1163F" w:rsidRDefault="0070024C">
      <w:pPr>
        <w:rPr>
          <w:b/>
          <w:sz w:val="28"/>
        </w:rPr>
      </w:pPr>
      <w:r>
        <w:rPr>
          <w:sz w:val="28"/>
        </w:rPr>
        <w:t>Przewidywane ty</w:t>
      </w:r>
      <w:r>
        <w:rPr>
          <w:sz w:val="28"/>
        </w:rPr>
        <w:t>py projektów:</w:t>
      </w:r>
    </w:p>
    <w:p w14:paraId="71F0F602" w14:textId="77777777" w:rsidR="00C1163F" w:rsidRDefault="0070024C">
      <w:pPr>
        <w:rPr>
          <w:b/>
          <w:sz w:val="28"/>
        </w:rPr>
      </w:pPr>
      <w:r>
        <w:rPr>
          <w:sz w:val="28"/>
        </w:rPr>
        <w:t>1. Cyfrowe udostępnienie ISP ze źródeł administracyjnych.,</w:t>
      </w:r>
    </w:p>
    <w:p w14:paraId="441A97BF" w14:textId="77777777" w:rsidR="00C1163F" w:rsidRDefault="0070024C">
      <w:pPr>
        <w:rPr>
          <w:b/>
          <w:sz w:val="28"/>
        </w:rPr>
      </w:pPr>
      <w:r>
        <w:rPr>
          <w:sz w:val="28"/>
        </w:rPr>
        <w:t>2. Cyfrowe udostępnienie zasobów nauki.,</w:t>
      </w:r>
    </w:p>
    <w:p w14:paraId="4B3C5F51" w14:textId="77777777" w:rsidR="00C1163F" w:rsidRDefault="0070024C">
      <w:pPr>
        <w:rPr>
          <w:b/>
          <w:sz w:val="28"/>
        </w:rPr>
      </w:pPr>
      <w:r>
        <w:rPr>
          <w:sz w:val="28"/>
        </w:rPr>
        <w:t>3. Cyfrowe udostępnienie zasobów kultury.</w:t>
      </w:r>
    </w:p>
    <w:p w14:paraId="6621739A" w14:textId="77777777" w:rsidR="00C1163F" w:rsidRDefault="0070024C">
      <w:pPr>
        <w:rPr>
          <w:b/>
          <w:sz w:val="28"/>
        </w:rPr>
      </w:pPr>
      <w:r>
        <w:rPr>
          <w:sz w:val="28"/>
        </w:rPr>
        <w:t>4. Cyfrowe dane przedsiębiorców.</w:t>
      </w:r>
    </w:p>
    <w:p w14:paraId="2C5CB83C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5. Wdrażanie rozwiązań łączących różne zakresy </w:t>
      </w:r>
      <w:r>
        <w:rPr>
          <w:sz w:val="28"/>
        </w:rPr>
        <w:t>interwencji zaplanowanej w II Priorytecie FERC.</w:t>
      </w:r>
    </w:p>
    <w:p w14:paraId="7C148EBD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Potencjalni beneficjenci: jednostki administracji rządowej oraz jednostki im podległe lub przez nie nadzorowane, państwowe lub współprowadzone z </w:t>
      </w:r>
      <w:proofErr w:type="spellStart"/>
      <w:r>
        <w:rPr>
          <w:sz w:val="28"/>
        </w:rPr>
        <w:t>MKiDN</w:t>
      </w:r>
      <w:proofErr w:type="spellEnd"/>
      <w:r>
        <w:rPr>
          <w:sz w:val="28"/>
        </w:rPr>
        <w:t xml:space="preserve"> instytucje kultury, archiwa państwowe, ogólnokrajowi nada</w:t>
      </w:r>
      <w:r>
        <w:rPr>
          <w:sz w:val="28"/>
        </w:rPr>
        <w:t>wcy radiowi i telewizyjni, instytucje tworzące system szkolnictwa wyższego i nauki. Ponadto partnerstwa tworzone pomiędzy wskazanymi powyżej wnioskodawcami, partnerstwa uprawnionych wnioskodawców z przedsiębiorstwami, organizacjami pozarządowymi.</w:t>
      </w:r>
    </w:p>
    <w:p w14:paraId="3BB4EAA9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Ilekroć W</w:t>
      </w:r>
      <w:r>
        <w:rPr>
          <w:sz w:val="28"/>
        </w:rPr>
        <w:t>ytyczne dotyczące kwalifikowalności wydatków na lata 2021-2027 stanowią delegację dla IZ lub IP do określenia w SZOP podnoszonych w nich zagadnień związanych z kwalifikowalnością wydatków, kwestie te dla II priorytetu FERC są uregulowane w Katalogu wydatkó</w:t>
      </w:r>
      <w:r>
        <w:rPr>
          <w:sz w:val="28"/>
        </w:rPr>
        <w:t>w kwalifikowalnych II priorytetu programu Fundusze Europejskie na Rozwój Cyfrowy 2021-2027 dostępnym na stronie ferc.gov.pl. Dokument ten zawiera także bardziej szczegółowe informacje na temat zastosowania cross-</w:t>
      </w:r>
      <w:proofErr w:type="spellStart"/>
      <w:r>
        <w:rPr>
          <w:sz w:val="28"/>
        </w:rPr>
        <w:t>financingu</w:t>
      </w:r>
      <w:proofErr w:type="spellEnd"/>
      <w:r>
        <w:rPr>
          <w:sz w:val="28"/>
        </w:rPr>
        <w:t xml:space="preserve"> w projektach.</w:t>
      </w:r>
    </w:p>
    <w:p w14:paraId="269B34E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</w:t>
      </w:r>
      <w:r>
        <w:rPr>
          <w:b/>
          <w:sz w:val="28"/>
        </w:rPr>
        <w:t xml:space="preserve"> dofinansowania UE w projekcie</w:t>
      </w:r>
    </w:p>
    <w:p w14:paraId="2B4A58A4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5E375EA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0D37D730" w14:textId="77777777" w:rsidR="00C1163F" w:rsidRDefault="0070024C">
      <w:pPr>
        <w:rPr>
          <w:b/>
          <w:sz w:val="28"/>
        </w:rPr>
      </w:pPr>
      <w:r>
        <w:rPr>
          <w:sz w:val="28"/>
        </w:rPr>
        <w:t>100</w:t>
      </w:r>
    </w:p>
    <w:p w14:paraId="3246F2BA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 xml:space="preserve">Pomoc </w:t>
      </w:r>
      <w:r>
        <w:rPr>
          <w:b/>
          <w:sz w:val="28"/>
        </w:rPr>
        <w:t>publiczna – unijna podstawa prawna</w:t>
      </w:r>
    </w:p>
    <w:p w14:paraId="66DA9C70" w14:textId="77777777" w:rsidR="00C1163F" w:rsidRDefault="0070024C">
      <w:pPr>
        <w:rPr>
          <w:b/>
          <w:sz w:val="28"/>
        </w:rPr>
      </w:pPr>
      <w:r>
        <w:rPr>
          <w:sz w:val="28"/>
        </w:rPr>
        <w:t>Rozporządzenie Komisji (UE) nr 651/2014 z dnia 17 czerwca 2014 r. uznające niektóre rodzaje pomocy za zgodne z rynkiem wewnętrznym w zastosowaniu art. 107 i 108 Traktatu</w:t>
      </w:r>
    </w:p>
    <w:p w14:paraId="6BB070D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14:paraId="6AE5E77B" w14:textId="77777777" w:rsidR="00C1163F" w:rsidRDefault="0070024C">
      <w:pPr>
        <w:rPr>
          <w:b/>
          <w:sz w:val="28"/>
        </w:rPr>
      </w:pPr>
      <w:r>
        <w:rPr>
          <w:sz w:val="28"/>
        </w:rPr>
        <w:t>W przygot</w:t>
      </w:r>
      <w:r>
        <w:rPr>
          <w:sz w:val="28"/>
        </w:rPr>
        <w:t>owaniu</w:t>
      </w:r>
    </w:p>
    <w:p w14:paraId="10EE51CC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Uproszczone metody rozliczania</w:t>
      </w:r>
    </w:p>
    <w:p w14:paraId="21C4B92E" w14:textId="77777777" w:rsidR="00C1163F" w:rsidRDefault="0070024C">
      <w:pPr>
        <w:rPr>
          <w:b/>
          <w:sz w:val="28"/>
        </w:rPr>
      </w:pPr>
      <w:r>
        <w:rPr>
          <w:sz w:val="28"/>
        </w:rPr>
        <w:t>do 15% stawka ryczałtowa na koszty pośrednie (podstawa wyliczenia: koszty bezpośrednie personelu) [art. 54(b) CPR], do 7% stawka ryczałtowa na koszty pośrednie (podstawa wyliczenia: koszty bezpośrednie) [art. 54(a) CPR</w:t>
      </w:r>
      <w:r>
        <w:rPr>
          <w:sz w:val="28"/>
        </w:rPr>
        <w:t>]</w:t>
      </w:r>
    </w:p>
    <w:p w14:paraId="1300EAC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Forma wsparcia</w:t>
      </w:r>
    </w:p>
    <w:p w14:paraId="253BE907" w14:textId="77777777" w:rsidR="00C1163F" w:rsidRDefault="0070024C">
      <w:pPr>
        <w:rPr>
          <w:b/>
          <w:sz w:val="28"/>
        </w:rPr>
      </w:pPr>
      <w:r>
        <w:rPr>
          <w:sz w:val="28"/>
        </w:rPr>
        <w:t>Dotacja</w:t>
      </w:r>
    </w:p>
    <w:p w14:paraId="06677A6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Dopuszczalny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4ACE7DA1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15</w:t>
      </w:r>
    </w:p>
    <w:p w14:paraId="6EB671A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6832667C" w14:textId="77777777" w:rsidR="00C1163F" w:rsidRDefault="0070024C">
      <w:pPr>
        <w:rPr>
          <w:b/>
          <w:sz w:val="28"/>
        </w:rPr>
      </w:pPr>
      <w:r>
        <w:rPr>
          <w:sz w:val="28"/>
        </w:rPr>
        <w:t>Konkurencyjny, Niekonkurencyjny</w:t>
      </w:r>
    </w:p>
    <w:p w14:paraId="70928F0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418582D7" w14:textId="77777777" w:rsidR="00C1163F" w:rsidRDefault="0070024C">
      <w:pPr>
        <w:rPr>
          <w:b/>
          <w:sz w:val="28"/>
        </w:rPr>
      </w:pPr>
      <w:r>
        <w:rPr>
          <w:sz w:val="28"/>
        </w:rPr>
        <w:t>Nie dotyczy</w:t>
      </w:r>
    </w:p>
    <w:p w14:paraId="39F94BA5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14:paraId="2BD7D51B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publiczna, Służby publiczne</w:t>
      </w:r>
    </w:p>
    <w:p w14:paraId="1217305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s</w:t>
      </w:r>
      <w:r>
        <w:rPr>
          <w:b/>
          <w:sz w:val="28"/>
        </w:rPr>
        <w:t>zczegółowy</w:t>
      </w:r>
    </w:p>
    <w:p w14:paraId="1EA58685" w14:textId="77777777" w:rsidR="00C1163F" w:rsidRDefault="0070024C">
      <w:pPr>
        <w:rPr>
          <w:b/>
          <w:sz w:val="28"/>
        </w:rPr>
      </w:pPr>
      <w:r>
        <w:rPr>
          <w:sz w:val="28"/>
        </w:rPr>
        <w:t>Administracja rządowa, Instytucje kultury</w:t>
      </w:r>
    </w:p>
    <w:p w14:paraId="4F264FCB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Grupa docelowa</w:t>
      </w:r>
    </w:p>
    <w:p w14:paraId="0BCFF06C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 (w tym rządowa) oraz podległe jej organy i jednostki organizacyjne, archiwa państwowe, instytucje kultury, nadawcy radiowi i telewizyjni, obywatele, organizacje poz</w:t>
      </w:r>
      <w:r>
        <w:rPr>
          <w:sz w:val="28"/>
        </w:rPr>
        <w:t>arządowe, podmioty lecznicze, przedsiębiorcy, samorządy zawodowe, uczelnie i inne podmioty systemu szkolnictwa wyższego i nauki</w:t>
      </w:r>
    </w:p>
    <w:p w14:paraId="4347124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18946291" w14:textId="77777777" w:rsidR="00C1163F" w:rsidRDefault="0070024C">
      <w:pPr>
        <w:rPr>
          <w:b/>
          <w:sz w:val="28"/>
        </w:rPr>
      </w:pPr>
      <w:proofErr w:type="spellStart"/>
      <w:r>
        <w:rPr>
          <w:sz w:val="28"/>
        </w:rPr>
        <w:t>bigdata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cyfrowa_administracja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cyfrowa_kultura</w:t>
      </w:r>
      <w:proofErr w:type="spellEnd"/>
      <w:r>
        <w:rPr>
          <w:sz w:val="28"/>
        </w:rPr>
        <w:t xml:space="preserve">, cyfryzacja, dane, digitalizacja, </w:t>
      </w:r>
      <w:proofErr w:type="spellStart"/>
      <w:r>
        <w:rPr>
          <w:sz w:val="28"/>
        </w:rPr>
        <w:t>digitalizacja_zasobow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sztuczna</w:t>
      </w:r>
      <w:r>
        <w:rPr>
          <w:sz w:val="28"/>
        </w:rPr>
        <w:t>_inteligencja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transformacja_cyfrowa</w:t>
      </w:r>
      <w:proofErr w:type="spellEnd"/>
    </w:p>
    <w:p w14:paraId="0F96206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0D66E7F1" w14:textId="77777777" w:rsidR="00C1163F" w:rsidRDefault="0070024C">
      <w:pPr>
        <w:rPr>
          <w:b/>
          <w:sz w:val="28"/>
        </w:rPr>
      </w:pPr>
      <w:r>
        <w:rPr>
          <w:sz w:val="28"/>
        </w:rPr>
        <w:t>https://www.rozwojcyfrowy.gov.pl/strony/dowiedz-sie-wiecej-o-programie/kryteria-wyboru-projektow</w:t>
      </w:r>
    </w:p>
    <w:p w14:paraId="3FDCC31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13345E10" w14:textId="77777777" w:rsidR="00C1163F" w:rsidRDefault="0070024C">
      <w:pPr>
        <w:rPr>
          <w:b/>
          <w:sz w:val="28"/>
        </w:rPr>
      </w:pPr>
      <w:r>
        <w:rPr>
          <w:sz w:val="28"/>
        </w:rPr>
        <w:t>WLWK-RCO014 - Instytucje publiczne otrzymujące wsparcie na opracowywanie usłu</w:t>
      </w:r>
      <w:r>
        <w:rPr>
          <w:sz w:val="28"/>
        </w:rPr>
        <w:t>g, produktów i procesów cyfrowych</w:t>
      </w:r>
    </w:p>
    <w:p w14:paraId="5B093B17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WLWK-PLRO010 - Liczba podmiotów, które udostępniły informacje sektora publicznego/dane prywatne on-line</w:t>
      </w:r>
    </w:p>
    <w:p w14:paraId="0C2CD2CD" w14:textId="77777777" w:rsidR="00C1163F" w:rsidRDefault="0070024C">
      <w:pPr>
        <w:rPr>
          <w:b/>
          <w:sz w:val="28"/>
        </w:rPr>
      </w:pPr>
      <w:r>
        <w:rPr>
          <w:sz w:val="28"/>
        </w:rPr>
        <w:t>WLWK-PLRO008 - Liczba podmiotów wspartych w zakresie rozwoju usług, produktów i procesów cyfrowych</w:t>
      </w:r>
    </w:p>
    <w:p w14:paraId="2E9FB61A" w14:textId="77777777" w:rsidR="00C1163F" w:rsidRDefault="0070024C">
      <w:pPr>
        <w:rPr>
          <w:b/>
          <w:sz w:val="28"/>
        </w:rPr>
      </w:pPr>
      <w:r>
        <w:rPr>
          <w:sz w:val="28"/>
        </w:rPr>
        <w:t>WLWK-PLRO160 - Liczba rozwiązań wykorzystujących informacje sektora publicznego/dane prywatne</w:t>
      </w:r>
    </w:p>
    <w:p w14:paraId="4019BCB1" w14:textId="77777777" w:rsidR="00C1163F" w:rsidRDefault="0070024C">
      <w:pPr>
        <w:rPr>
          <w:b/>
          <w:sz w:val="28"/>
        </w:rPr>
      </w:pPr>
      <w:r>
        <w:rPr>
          <w:sz w:val="28"/>
        </w:rPr>
        <w:t>WLWK-RCO013 - Wartość usług, produktów i procesów cyfrowych opracowanych dla przedsiębiorstw</w:t>
      </w:r>
    </w:p>
    <w:p w14:paraId="3668A37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rezultatu</w:t>
      </w:r>
    </w:p>
    <w:p w14:paraId="675341C0" w14:textId="77777777" w:rsidR="00C1163F" w:rsidRDefault="0070024C">
      <w:pPr>
        <w:rPr>
          <w:b/>
          <w:sz w:val="28"/>
        </w:rPr>
      </w:pPr>
      <w:r>
        <w:rPr>
          <w:sz w:val="28"/>
        </w:rPr>
        <w:t>WLWK-RCR011 - Użytkownicy nowych i zmodernizowany</w:t>
      </w:r>
      <w:r>
        <w:rPr>
          <w:sz w:val="28"/>
        </w:rPr>
        <w:t>ch publicznych usług, produktów i procesów cyfrowych</w:t>
      </w:r>
    </w:p>
    <w:p w14:paraId="000E4DD4" w14:textId="77777777" w:rsidR="00C1163F" w:rsidRDefault="0070024C">
      <w:pPr>
        <w:rPr>
          <w:b/>
          <w:sz w:val="28"/>
        </w:rPr>
      </w:pPr>
      <w:r>
        <w:rPr>
          <w:sz w:val="28"/>
        </w:rPr>
        <w:t>WLWK-RCR012 - Użytkownicy nowych i zmodernizowanych usług, produktów i procesów cyfrowych opracowanych przez przedsiębiorstwa</w:t>
      </w:r>
    </w:p>
    <w:p w14:paraId="3FCC60C8" w14:textId="77777777" w:rsidR="00C1163F" w:rsidRDefault="00C1163F">
      <w:pPr>
        <w:rPr>
          <w:b/>
          <w:sz w:val="28"/>
        </w:rPr>
      </w:pPr>
    </w:p>
    <w:p w14:paraId="1EA9BD4A" w14:textId="77777777" w:rsidR="00C1163F" w:rsidRDefault="0070024C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 xml:space="preserve">Działanie FERC.02.04 Współpraca międzysektorowa na rzecz cyfrowych </w:t>
      </w:r>
      <w:r>
        <w:rPr>
          <w:rFonts w:ascii="Calibri" w:hAnsi="Calibri" w:cs="Calibri"/>
          <w:sz w:val="32"/>
        </w:rPr>
        <w:t>rozwiązań problemów społeczno-gospodarczych</w:t>
      </w:r>
    </w:p>
    <w:p w14:paraId="70CF7ED2" w14:textId="77777777" w:rsidR="00C1163F" w:rsidRDefault="00C1163F">
      <w:pPr>
        <w:rPr>
          <w:rFonts w:ascii="Calibri" w:hAnsi="Calibri"/>
          <w:sz w:val="32"/>
        </w:rPr>
      </w:pPr>
    </w:p>
    <w:p w14:paraId="63412E4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szczegółowy</w:t>
      </w:r>
    </w:p>
    <w:p w14:paraId="569A5574" w14:textId="77777777" w:rsidR="00C1163F" w:rsidRDefault="0070024C">
      <w:pPr>
        <w:rPr>
          <w:b/>
          <w:sz w:val="28"/>
        </w:rPr>
      </w:pPr>
      <w:r>
        <w:rPr>
          <w:sz w:val="28"/>
        </w:rPr>
        <w:t>EFRR.CP1.II - Czerpanie korzyści z cyfryzacji dla obywateli, przedsiębiorstw, organizacji badawczych i instytucji publicznych</w:t>
      </w:r>
    </w:p>
    <w:p w14:paraId="79CD2B4A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4F02A227" w14:textId="77777777" w:rsidR="00C1163F" w:rsidRDefault="0070024C">
      <w:pPr>
        <w:rPr>
          <w:b/>
          <w:sz w:val="28"/>
        </w:rPr>
      </w:pPr>
      <w:r>
        <w:rPr>
          <w:sz w:val="28"/>
        </w:rPr>
        <w:t>Centrum Projektów Polska Cyfrowa</w:t>
      </w:r>
    </w:p>
    <w:p w14:paraId="33139E2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</w:t>
      </w:r>
      <w:r>
        <w:rPr>
          <w:b/>
          <w:sz w:val="28"/>
        </w:rPr>
        <w:t>okacji ogółem (EUR)</w:t>
      </w:r>
    </w:p>
    <w:p w14:paraId="12A69B1B" w14:textId="77777777" w:rsidR="00C1163F" w:rsidRDefault="0070024C">
      <w:pPr>
        <w:rPr>
          <w:b/>
          <w:sz w:val="28"/>
        </w:rPr>
      </w:pPr>
      <w:r>
        <w:rPr>
          <w:sz w:val="28"/>
        </w:rPr>
        <w:t>50 182 852,00</w:t>
      </w:r>
    </w:p>
    <w:p w14:paraId="1C990DF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Wysokość alokacji UE (EUR)</w:t>
      </w:r>
    </w:p>
    <w:p w14:paraId="36BA58B6" w14:textId="77777777" w:rsidR="00C1163F" w:rsidRDefault="0070024C">
      <w:pPr>
        <w:rPr>
          <w:b/>
          <w:sz w:val="28"/>
        </w:rPr>
      </w:pPr>
      <w:r>
        <w:rPr>
          <w:sz w:val="28"/>
        </w:rPr>
        <w:t>40 000 000,00</w:t>
      </w:r>
    </w:p>
    <w:p w14:paraId="25EA01A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1D4D4A38" w14:textId="77777777" w:rsidR="00C1163F" w:rsidRDefault="0070024C">
      <w:pPr>
        <w:rPr>
          <w:b/>
          <w:sz w:val="28"/>
        </w:rPr>
      </w:pPr>
      <w:r>
        <w:rPr>
          <w:sz w:val="28"/>
        </w:rPr>
        <w:t>016 - Rozwiązania TIK, usługi elektroniczne, aplikacje dla administracji, 172 - Finansowanie krzyżowe w ramach EFRR (wsparcie dla działań typowych dla EFS+ koniec</w:t>
      </w:r>
      <w:r>
        <w:rPr>
          <w:sz w:val="28"/>
        </w:rPr>
        <w:t>znych do wdrożenia części operacji objętej EFRR i bezpośrednio z nią związanych)</w:t>
      </w:r>
    </w:p>
    <w:p w14:paraId="3924F9D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5A90BEF6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Planowane jest wsparcie skalowalnych cyfrowych przedsięwzięć w zakresie wyzwań społeczno-gospodarczych w różnych obszarach. Przewiduje się w tym celu wdrożenie </w:t>
      </w:r>
      <w:r>
        <w:rPr>
          <w:sz w:val="28"/>
        </w:rPr>
        <w:t xml:space="preserve">nowoczesnych rozwiązań informatycznych i technicznych w ramach współpracy międzysektorowej, obejmującej w szczególności administrację publiczną, przedsiębiorców, uczelnie i podmioty nauki. </w:t>
      </w:r>
    </w:p>
    <w:p w14:paraId="7DFABCC1" w14:textId="77777777" w:rsidR="00C1163F" w:rsidRDefault="0070024C">
      <w:pPr>
        <w:rPr>
          <w:b/>
          <w:sz w:val="28"/>
        </w:rPr>
      </w:pPr>
      <w:r>
        <w:rPr>
          <w:sz w:val="28"/>
        </w:rPr>
        <w:t>Zakłada się, że w wyniku wsparcia powstaną skalowalne cyfrowe rozw</w:t>
      </w:r>
      <w:r>
        <w:rPr>
          <w:sz w:val="28"/>
        </w:rPr>
        <w:t xml:space="preserve">iązania, na przykład: </w:t>
      </w:r>
    </w:p>
    <w:p w14:paraId="17282CB4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- udostępnianie gotowych rozwiązań informatycznych (aplikacji, narzędzi, usług) wspomagających transformację cyfrową jednostek samorządu terytorialnego do wykorzystania w lokalnych projektach smart </w:t>
      </w:r>
      <w:proofErr w:type="spellStart"/>
      <w:r>
        <w:rPr>
          <w:sz w:val="28"/>
        </w:rPr>
        <w:t>city</w:t>
      </w:r>
      <w:proofErr w:type="spellEnd"/>
      <w:r>
        <w:rPr>
          <w:sz w:val="28"/>
        </w:rPr>
        <w:t xml:space="preserve">/ smart </w:t>
      </w:r>
      <w:proofErr w:type="spellStart"/>
      <w:r>
        <w:rPr>
          <w:sz w:val="28"/>
        </w:rPr>
        <w:t>village</w:t>
      </w:r>
      <w:proofErr w:type="spellEnd"/>
      <w:r>
        <w:rPr>
          <w:sz w:val="28"/>
        </w:rPr>
        <w:t>, wykorzystujący</w:t>
      </w:r>
      <w:r>
        <w:rPr>
          <w:sz w:val="28"/>
        </w:rPr>
        <w:t xml:space="preserve">ch sztuczną inteligencję (AI), </w:t>
      </w:r>
      <w:proofErr w:type="spellStart"/>
      <w:r>
        <w:rPr>
          <w:sz w:val="28"/>
        </w:rPr>
        <w:t>internet</w:t>
      </w:r>
      <w:proofErr w:type="spellEnd"/>
      <w:r>
        <w:rPr>
          <w:sz w:val="28"/>
        </w:rPr>
        <w:t xml:space="preserve"> rzeczy (</w:t>
      </w:r>
      <w:proofErr w:type="spellStart"/>
      <w:r>
        <w:rPr>
          <w:sz w:val="28"/>
        </w:rPr>
        <w:t>IoT</w:t>
      </w:r>
      <w:proofErr w:type="spellEnd"/>
      <w:r>
        <w:rPr>
          <w:sz w:val="28"/>
        </w:rPr>
        <w:t xml:space="preserve">), wielkie zbiory danych (big data), </w:t>
      </w:r>
      <w:proofErr w:type="spellStart"/>
      <w:r>
        <w:rPr>
          <w:sz w:val="28"/>
        </w:rPr>
        <w:t>blockchain</w:t>
      </w:r>
      <w:proofErr w:type="spellEnd"/>
      <w:r>
        <w:rPr>
          <w:sz w:val="28"/>
        </w:rPr>
        <w:t xml:space="preserve"> i inne technologie przełomowe;</w:t>
      </w:r>
    </w:p>
    <w:p w14:paraId="7B47C124" w14:textId="77777777" w:rsidR="00C1163F" w:rsidRDefault="0070024C">
      <w:pPr>
        <w:rPr>
          <w:b/>
          <w:sz w:val="28"/>
        </w:rPr>
      </w:pPr>
      <w:r>
        <w:rPr>
          <w:sz w:val="28"/>
        </w:rPr>
        <w:t>- realizacja innowacyjnych projektów wykorzystujących technologie przełomowe dla rozwiązywania lokalnych i regionalnych proble</w:t>
      </w:r>
      <w:r>
        <w:rPr>
          <w:sz w:val="28"/>
        </w:rPr>
        <w:t xml:space="preserve">mów społecznych i gospodarczych, np. w zarządzaniu inteligentnymi miastami (transport publiczny, edukacja, ciepłownictwo i energetyka); </w:t>
      </w:r>
    </w:p>
    <w:p w14:paraId="0AC9746C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- platforma umożliwiająca stworzenie cyfrowego bliźniaka (ang. </w:t>
      </w:r>
      <w:proofErr w:type="spellStart"/>
      <w:r>
        <w:rPr>
          <w:sz w:val="28"/>
        </w:rPr>
        <w:t>digital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twin</w:t>
      </w:r>
      <w:proofErr w:type="spellEnd"/>
      <w:r>
        <w:rPr>
          <w:sz w:val="28"/>
        </w:rPr>
        <w:t>), który zapewni inteligentny model działani</w:t>
      </w:r>
      <w:r>
        <w:rPr>
          <w:sz w:val="28"/>
        </w:rPr>
        <w:t xml:space="preserve">a miast i gmin; </w:t>
      </w:r>
    </w:p>
    <w:p w14:paraId="6D840DE7" w14:textId="77777777" w:rsidR="00C1163F" w:rsidRDefault="0070024C">
      <w:pPr>
        <w:rPr>
          <w:b/>
          <w:sz w:val="28"/>
        </w:rPr>
      </w:pPr>
      <w:r>
        <w:rPr>
          <w:sz w:val="28"/>
        </w:rPr>
        <w:t>- wirtualne sieci telekomunikacyjne służące świadczeniu usług cyfrowych, oparte w możliwie największym zakresie na istniejącej lub planowanej infrastrukturze;</w:t>
      </w:r>
    </w:p>
    <w:p w14:paraId="7E16395F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- usługi i aplikacje dla konkretnych grup odbiorców oraz inteligentne rozwiązani</w:t>
      </w:r>
      <w:r>
        <w:rPr>
          <w:sz w:val="28"/>
        </w:rPr>
        <w:t>a wykorzystywane na potrzeby implementacji m.in. inteligentnych miast, wsi oraz rolnictwa.</w:t>
      </w:r>
    </w:p>
    <w:p w14:paraId="35A3E56D" w14:textId="77777777" w:rsidR="00C1163F" w:rsidRDefault="0070024C">
      <w:pPr>
        <w:rPr>
          <w:b/>
          <w:sz w:val="28"/>
        </w:rPr>
      </w:pPr>
      <w:r>
        <w:rPr>
          <w:sz w:val="28"/>
        </w:rPr>
        <w:t>Wdrażanie Programu będzie zgodne z przepisami krajowymi i europejskimi, w tym dyrektywami (UE) 2019/882  w sprawie wymogów dostępności produktów i usług i (UE) 2016/</w:t>
      </w:r>
      <w:r>
        <w:rPr>
          <w:sz w:val="28"/>
        </w:rPr>
        <w:t>2102 w sprawie dostępności stron internetowych i mobilnych aplikacji organów sektora publicznego.</w:t>
      </w:r>
    </w:p>
    <w:p w14:paraId="6BA5606F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Projekty będą realizowane z zachowaniem zasad sprzyjających podniesieniu jakości życia i zapewnienia niezależności obywateli, którzy ze względu na stan </w:t>
      </w:r>
      <w:r>
        <w:rPr>
          <w:sz w:val="28"/>
        </w:rPr>
        <w:t>zdrowia, wiek czy niepełnosprawność napotykają na ograniczenia w życiu codziennym. Dostępność będzie realizowana przez stosowanie zasad uniwersalnego projektowania i standardów w zakresie m.in. dostępności cyfrowej produktów.</w:t>
      </w:r>
    </w:p>
    <w:p w14:paraId="42717A5C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zgod</w:t>
      </w:r>
      <w:r>
        <w:rPr>
          <w:sz w:val="28"/>
        </w:rPr>
        <w:t>nie z zasadą niedyskryminacji ze względu na płeć, rasę lub pochodzenie etniczne, religię lub światopogląd, niepełnosprawność, wiek, orientację seksualną. Rezultaty projektów, a także produkty projektów nie będą dyskryminacyjne.</w:t>
      </w:r>
    </w:p>
    <w:p w14:paraId="166FF4F7" w14:textId="77777777" w:rsidR="00C1163F" w:rsidRDefault="0070024C">
      <w:pPr>
        <w:rPr>
          <w:b/>
          <w:sz w:val="28"/>
        </w:rPr>
      </w:pPr>
      <w:r>
        <w:rPr>
          <w:sz w:val="28"/>
        </w:rPr>
        <w:t>Wsparcie będzie udzielane wy</w:t>
      </w:r>
      <w:r>
        <w:rPr>
          <w:sz w:val="28"/>
        </w:rPr>
        <w:t>łącznie projektom i beneficjentom, którzy przestrzegają przepisów antydyskryminacyjnych, o których mowa w art. 9 ust. 3 Rozporządzenia PE i Rady nr 2021/1060. W przypadku, gdy beneficjentem jest JST (lub podmiot przez nią kontrolowany lub od niej zależny),</w:t>
      </w:r>
      <w:r>
        <w:rPr>
          <w:sz w:val="28"/>
        </w:rPr>
        <w:t xml:space="preserve"> która podjęła jakiekolwiek działania dyskryminujące, sprzeczne z zasadami, o których mowa w art. 9 ust. 3 rozporządzenia nr 2021/1060, wsparcie w ramach polityki spójności nie może być udzielone.</w:t>
      </w:r>
    </w:p>
    <w:p w14:paraId="60155D87" w14:textId="77777777" w:rsidR="00C1163F" w:rsidRDefault="0070024C">
      <w:pPr>
        <w:rPr>
          <w:b/>
          <w:sz w:val="28"/>
        </w:rPr>
      </w:pPr>
      <w:r>
        <w:rPr>
          <w:sz w:val="28"/>
        </w:rPr>
        <w:t>Preferowana będzie realizacja projektów w trybie konkurency</w:t>
      </w:r>
      <w:r>
        <w:rPr>
          <w:sz w:val="28"/>
        </w:rPr>
        <w:t>jnym wskazanym w ustawie Prawo zamówień publicznych.</w:t>
      </w:r>
    </w:p>
    <w:p w14:paraId="2EB1EDEB" w14:textId="77777777" w:rsidR="00C1163F" w:rsidRDefault="0070024C">
      <w:pPr>
        <w:rPr>
          <w:b/>
          <w:sz w:val="28"/>
        </w:rPr>
      </w:pPr>
      <w:r>
        <w:rPr>
          <w:sz w:val="28"/>
        </w:rPr>
        <w:t>Możliwa będzie realizacja projektów: łączących różne typy interwencji zaplanowanej w priorytecie; w partnerstwie publiczno-prywatnym.</w:t>
      </w:r>
    </w:p>
    <w:p w14:paraId="7B011D18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Projekty zgłaszane do naborów w tym działaniu będą mogły być realizow</w:t>
      </w:r>
      <w:r>
        <w:rPr>
          <w:sz w:val="28"/>
        </w:rPr>
        <w:t>ane w partnerstwie z zastosowaniem zapisów art. 39 ustawy wdrożeniowej.</w:t>
      </w:r>
    </w:p>
    <w:p w14:paraId="74C621EB" w14:textId="77777777" w:rsidR="00C1163F" w:rsidRDefault="0070024C">
      <w:pPr>
        <w:rPr>
          <w:b/>
          <w:sz w:val="28"/>
        </w:rPr>
      </w:pPr>
      <w:r>
        <w:rPr>
          <w:sz w:val="28"/>
        </w:rPr>
        <w:t>Przewidywane typy projektów:</w:t>
      </w:r>
    </w:p>
    <w:p w14:paraId="70102C7B" w14:textId="77777777" w:rsidR="00C1163F" w:rsidRDefault="0070024C">
      <w:pPr>
        <w:rPr>
          <w:b/>
          <w:sz w:val="28"/>
        </w:rPr>
      </w:pPr>
      <w:r>
        <w:rPr>
          <w:sz w:val="28"/>
        </w:rPr>
        <w:t>1. Cyfrowe rozwiązania na rzecz wyzwań społeczno-gospodarczych</w:t>
      </w:r>
    </w:p>
    <w:p w14:paraId="37874B1E" w14:textId="77777777" w:rsidR="00C1163F" w:rsidRDefault="0070024C">
      <w:pPr>
        <w:rPr>
          <w:b/>
          <w:sz w:val="28"/>
        </w:rPr>
      </w:pPr>
      <w:r>
        <w:rPr>
          <w:sz w:val="28"/>
        </w:rPr>
        <w:t>2. Tworzenie lub rozwój wirtualnych sieci telekomunikacyjnych służących świadczeniu usług cy</w:t>
      </w:r>
      <w:r>
        <w:rPr>
          <w:sz w:val="28"/>
        </w:rPr>
        <w:t>frowych</w:t>
      </w:r>
    </w:p>
    <w:p w14:paraId="5C598F0B" w14:textId="77777777" w:rsidR="00C1163F" w:rsidRDefault="0070024C">
      <w:pPr>
        <w:rPr>
          <w:b/>
          <w:sz w:val="28"/>
        </w:rPr>
      </w:pPr>
      <w:r>
        <w:rPr>
          <w:sz w:val="28"/>
        </w:rPr>
        <w:t>3. Wdrażanie rozwiązań łączących różne zakresy interwencji zaplanowanej w II Priorytecie FERC.</w:t>
      </w:r>
    </w:p>
    <w:p w14:paraId="72D18E55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Potencjalni beneficjenci: jednostki administracji publicznej oraz jednostki im podległe lub przez nie nadzorowane. Ponadto partnerstwa tworzone pomiędzy </w:t>
      </w:r>
      <w:r>
        <w:rPr>
          <w:sz w:val="28"/>
        </w:rPr>
        <w:t>wskazanymi powyżej wnioskodawcami, partnerstwa uprawnionych wnioskodawców z przedsiębiorstwami, organizacjami pozarządowymi.</w:t>
      </w:r>
    </w:p>
    <w:p w14:paraId="6C4E3DF3" w14:textId="77777777" w:rsidR="00C1163F" w:rsidRDefault="0070024C">
      <w:pPr>
        <w:rPr>
          <w:b/>
          <w:sz w:val="28"/>
        </w:rPr>
      </w:pPr>
      <w:r>
        <w:rPr>
          <w:sz w:val="28"/>
        </w:rPr>
        <w:t>Ilekroć Wytyczne dotyczące kwalifikowalności wydatków na lata 2021-2027 stanowią delegację dla IZ lub IP do określenia w SZOP podno</w:t>
      </w:r>
      <w:r>
        <w:rPr>
          <w:sz w:val="28"/>
        </w:rPr>
        <w:t>szonych w nich zagadnień związanych z kwalifikowalnością wydatków, kwestie te dla II priorytetu FERC są uregulowane w Katalogu wydatków kwalifikowalnych II priorytetu programu Fundusze Europejskie na Rozwój Cyfrowy 2021-2027 dostępnym na stronie ferc.gov.p</w:t>
      </w:r>
      <w:r>
        <w:rPr>
          <w:sz w:val="28"/>
        </w:rPr>
        <w:t>l. Dokument ten zawiera także bardziej szczegółowe informacje na temat zastosowania cross-</w:t>
      </w:r>
      <w:proofErr w:type="spellStart"/>
      <w:r>
        <w:rPr>
          <w:sz w:val="28"/>
        </w:rPr>
        <w:t>financingu</w:t>
      </w:r>
      <w:proofErr w:type="spellEnd"/>
      <w:r>
        <w:rPr>
          <w:sz w:val="28"/>
        </w:rPr>
        <w:t xml:space="preserve"> w projektach.</w:t>
      </w:r>
    </w:p>
    <w:p w14:paraId="10AB82D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UE w projekcie</w:t>
      </w:r>
    </w:p>
    <w:p w14:paraId="1EC78425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6725339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 xml:space="preserve">Maksymalny % poziom dofinansowania całkowitego wydatków kwalifikowalnych na poziomie </w:t>
      </w:r>
      <w:r>
        <w:rPr>
          <w:b/>
          <w:sz w:val="28"/>
        </w:rPr>
        <w:t>projektu (środki UE + współfinansowanie ze środków krajowych przyznane beneficjentowi przez właściwą instytucję)</w:t>
      </w:r>
    </w:p>
    <w:p w14:paraId="193911E2" w14:textId="77777777" w:rsidR="00C1163F" w:rsidRDefault="0070024C">
      <w:pPr>
        <w:rPr>
          <w:b/>
          <w:sz w:val="28"/>
        </w:rPr>
      </w:pPr>
      <w:r>
        <w:rPr>
          <w:sz w:val="28"/>
        </w:rPr>
        <w:t>100</w:t>
      </w:r>
    </w:p>
    <w:p w14:paraId="3D6FBF6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unijna podstawa prawna</w:t>
      </w:r>
    </w:p>
    <w:p w14:paraId="030EA405" w14:textId="77777777" w:rsidR="00C1163F" w:rsidRDefault="0070024C">
      <w:pPr>
        <w:rPr>
          <w:b/>
          <w:sz w:val="28"/>
        </w:rPr>
      </w:pPr>
      <w:r>
        <w:rPr>
          <w:sz w:val="28"/>
        </w:rPr>
        <w:t>Bez pomocy</w:t>
      </w:r>
    </w:p>
    <w:p w14:paraId="63B6FFD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lastRenderedPageBreak/>
        <w:t>Pomoc publiczna – krajowa podstawa prawna</w:t>
      </w:r>
    </w:p>
    <w:p w14:paraId="7E8306B8" w14:textId="77777777" w:rsidR="00C1163F" w:rsidRDefault="0070024C">
      <w:pPr>
        <w:rPr>
          <w:b/>
          <w:sz w:val="28"/>
        </w:rPr>
      </w:pPr>
      <w:r>
        <w:rPr>
          <w:sz w:val="28"/>
        </w:rPr>
        <w:t>Bez pomocy</w:t>
      </w:r>
    </w:p>
    <w:p w14:paraId="03A5C99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 xml:space="preserve">Uproszczone metody </w:t>
      </w:r>
      <w:r>
        <w:rPr>
          <w:b/>
          <w:sz w:val="28"/>
        </w:rPr>
        <w:t>rozliczania</w:t>
      </w:r>
    </w:p>
    <w:p w14:paraId="0A336C5E" w14:textId="77777777" w:rsidR="00C1163F" w:rsidRDefault="0070024C">
      <w:pPr>
        <w:rPr>
          <w:b/>
          <w:sz w:val="28"/>
        </w:rPr>
      </w:pPr>
      <w:r>
        <w:rPr>
          <w:sz w:val="28"/>
        </w:rPr>
        <w:t>do 15% stawka ryczałtowa na koszty pośrednie (podstawa wyliczenia: koszty bezpośrednie personelu) [art. 54(b) CPR], do 7% stawka ryczałtowa na koszty pośrednie (podstawa wyliczenia: koszty bezpośrednie) [art. 54(a) CPR]</w:t>
      </w:r>
    </w:p>
    <w:p w14:paraId="71D102B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Forma wsparcia</w:t>
      </w:r>
    </w:p>
    <w:p w14:paraId="7A6181D6" w14:textId="77777777" w:rsidR="00C1163F" w:rsidRDefault="0070024C">
      <w:pPr>
        <w:rPr>
          <w:b/>
          <w:sz w:val="28"/>
        </w:rPr>
      </w:pPr>
      <w:r>
        <w:rPr>
          <w:sz w:val="28"/>
        </w:rPr>
        <w:t>Dotacja</w:t>
      </w:r>
    </w:p>
    <w:p w14:paraId="09BEF5D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D</w:t>
      </w:r>
      <w:r>
        <w:rPr>
          <w:b/>
          <w:sz w:val="28"/>
        </w:rPr>
        <w:t>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7DE9FFC2" w14:textId="77777777" w:rsidR="00C1163F" w:rsidRDefault="0070024C">
      <w:pPr>
        <w:rPr>
          <w:b/>
          <w:sz w:val="28"/>
        </w:rPr>
      </w:pPr>
      <w:r>
        <w:rPr>
          <w:sz w:val="28"/>
        </w:rPr>
        <w:t>15</w:t>
      </w:r>
    </w:p>
    <w:p w14:paraId="1505C0B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18BE3306" w14:textId="77777777" w:rsidR="00C1163F" w:rsidRDefault="0070024C">
      <w:pPr>
        <w:rPr>
          <w:b/>
          <w:sz w:val="28"/>
        </w:rPr>
      </w:pPr>
      <w:r>
        <w:rPr>
          <w:sz w:val="28"/>
        </w:rPr>
        <w:t>Konkurencyjny, Niekonkurencyjny</w:t>
      </w:r>
    </w:p>
    <w:p w14:paraId="53B8362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5D029996" w14:textId="77777777" w:rsidR="00C1163F" w:rsidRDefault="0070024C">
      <w:pPr>
        <w:rPr>
          <w:b/>
          <w:sz w:val="28"/>
        </w:rPr>
      </w:pPr>
      <w:r>
        <w:rPr>
          <w:sz w:val="28"/>
        </w:rPr>
        <w:t>Nie dotyczy</w:t>
      </w:r>
    </w:p>
    <w:p w14:paraId="47CAEF66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14:paraId="4F4F0913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</w:t>
      </w:r>
    </w:p>
    <w:p w14:paraId="261C02C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14:paraId="1BA292B0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Administracja rządowa, </w:t>
      </w:r>
      <w:r>
        <w:rPr>
          <w:sz w:val="28"/>
        </w:rPr>
        <w:t>Jednostki Samorządu Terytorialnego</w:t>
      </w:r>
    </w:p>
    <w:p w14:paraId="46E224FB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Grupa docelowa</w:t>
      </w:r>
    </w:p>
    <w:p w14:paraId="6CB1901E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 (w tym rządowa) oraz podległe jej organy i jednostki organizacyjne</w:t>
      </w:r>
    </w:p>
    <w:p w14:paraId="72F2AE0E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630C434C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 xml:space="preserve">cyfryzacja, dostępność, </w:t>
      </w:r>
      <w:proofErr w:type="spellStart"/>
      <w:r>
        <w:rPr>
          <w:sz w:val="28"/>
        </w:rPr>
        <w:t>dostępność_cyfrowa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smartcity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smartvillage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systemy_informatyczne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sztuczna</w:t>
      </w:r>
      <w:r>
        <w:rPr>
          <w:sz w:val="28"/>
        </w:rPr>
        <w:t>_inteligencja</w:t>
      </w:r>
      <w:proofErr w:type="spellEnd"/>
      <w:r>
        <w:rPr>
          <w:sz w:val="28"/>
        </w:rPr>
        <w:t xml:space="preserve">, TIK, </w:t>
      </w:r>
      <w:proofErr w:type="spellStart"/>
      <w:r>
        <w:rPr>
          <w:sz w:val="28"/>
        </w:rPr>
        <w:t>transformacja_cyfrowa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uczenie_maszynowe</w:t>
      </w:r>
      <w:proofErr w:type="spellEnd"/>
    </w:p>
    <w:p w14:paraId="687EB05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5F3F2157" w14:textId="77777777" w:rsidR="00C1163F" w:rsidRDefault="0070024C">
      <w:pPr>
        <w:rPr>
          <w:b/>
          <w:sz w:val="28"/>
        </w:rPr>
      </w:pPr>
      <w:r>
        <w:rPr>
          <w:sz w:val="28"/>
        </w:rPr>
        <w:t>https://www.rozwojcyfrowy.gov.pl/strony/dowiedz-sie-wiecej-o-programie/kryteria-wyboru-projektow</w:t>
      </w:r>
    </w:p>
    <w:p w14:paraId="13EEE17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4E4D8546" w14:textId="77777777" w:rsidR="00C1163F" w:rsidRDefault="0070024C">
      <w:pPr>
        <w:rPr>
          <w:b/>
          <w:sz w:val="28"/>
        </w:rPr>
      </w:pPr>
      <w:r>
        <w:rPr>
          <w:sz w:val="28"/>
        </w:rPr>
        <w:t>WLWK-RCO014 - Instytucje publiczne otrzymujące wsparc</w:t>
      </w:r>
      <w:r>
        <w:rPr>
          <w:sz w:val="28"/>
        </w:rPr>
        <w:t>ie na opracowywanie usług, produktów i procesów cyfrowych</w:t>
      </w:r>
    </w:p>
    <w:p w14:paraId="0EFEBADB" w14:textId="77777777" w:rsidR="00C1163F" w:rsidRDefault="0070024C">
      <w:pPr>
        <w:rPr>
          <w:b/>
          <w:sz w:val="28"/>
        </w:rPr>
      </w:pPr>
      <w:r>
        <w:rPr>
          <w:sz w:val="28"/>
        </w:rPr>
        <w:t>WLWK-PLRO008 - Liczba podmiotów wspartych w zakresie rozwoju usług, produktów i procesów cyfrowych</w:t>
      </w:r>
    </w:p>
    <w:p w14:paraId="5D5310AA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rezultatu</w:t>
      </w:r>
    </w:p>
    <w:p w14:paraId="56B330EF" w14:textId="77777777" w:rsidR="00C1163F" w:rsidRDefault="0070024C">
      <w:pPr>
        <w:rPr>
          <w:b/>
          <w:sz w:val="28"/>
        </w:rPr>
      </w:pPr>
      <w:r>
        <w:rPr>
          <w:sz w:val="28"/>
        </w:rPr>
        <w:t>WLWK-PLRR007 - Liczba rozwiązań informatycznych i technologicznych w ramach wsp</w:t>
      </w:r>
      <w:r>
        <w:rPr>
          <w:sz w:val="28"/>
        </w:rPr>
        <w:t>ółpracy międzysektorowej</w:t>
      </w:r>
    </w:p>
    <w:p w14:paraId="33691F3C" w14:textId="77777777" w:rsidR="00C1163F" w:rsidRDefault="0070024C">
      <w:pPr>
        <w:rPr>
          <w:b/>
          <w:sz w:val="28"/>
        </w:rPr>
      </w:pPr>
      <w:r>
        <w:rPr>
          <w:sz w:val="28"/>
        </w:rPr>
        <w:t>WLWK-RCR011 - Użytkownicy nowych i zmodernizowanych publicznych usług, produktów i procesów cyfrowych</w:t>
      </w:r>
    </w:p>
    <w:p w14:paraId="62E0158A" w14:textId="77777777" w:rsidR="00C1163F" w:rsidRDefault="0070024C">
      <w:pPr>
        <w:rPr>
          <w:b/>
          <w:sz w:val="28"/>
        </w:rPr>
      </w:pPr>
      <w:r>
        <w:rPr>
          <w:sz w:val="28"/>
        </w:rPr>
        <w:t>WLWK-RCR012 - Użytkownicy nowych i zmodernizowanych usług, produktów i procesów cyfrowych opracowanych przez przedsiębiorstwa</w:t>
      </w:r>
    </w:p>
    <w:p w14:paraId="49A739AE" w14:textId="77777777" w:rsidR="00C1163F" w:rsidRDefault="00C1163F">
      <w:pPr>
        <w:rPr>
          <w:b/>
          <w:sz w:val="28"/>
        </w:rPr>
      </w:pPr>
    </w:p>
    <w:p w14:paraId="2F5CAD4A" w14:textId="77777777" w:rsidR="00C1163F" w:rsidRDefault="0070024C">
      <w:pPr>
        <w:pStyle w:val="Nagwek3"/>
        <w:rPr>
          <w:rFonts w:ascii="Calibri" w:hAnsi="Calibri" w:cs="Calibri"/>
          <w:sz w:val="32"/>
        </w:rPr>
      </w:pPr>
      <w:r>
        <w:rPr>
          <w:rFonts w:ascii="Calibri" w:hAnsi="Calibri" w:cs="Calibri"/>
          <w:sz w:val="32"/>
        </w:rPr>
        <w:t>Dz</w:t>
      </w:r>
      <w:r>
        <w:rPr>
          <w:rFonts w:ascii="Calibri" w:hAnsi="Calibri" w:cs="Calibri"/>
          <w:sz w:val="32"/>
        </w:rPr>
        <w:t>iałanie FERC.02.05 Wsparcie umiejętności cyfrowych</w:t>
      </w:r>
    </w:p>
    <w:p w14:paraId="1170CB00" w14:textId="77777777" w:rsidR="00C1163F" w:rsidRDefault="00C1163F">
      <w:pPr>
        <w:rPr>
          <w:rFonts w:ascii="Calibri" w:hAnsi="Calibri"/>
          <w:sz w:val="32"/>
        </w:rPr>
      </w:pPr>
    </w:p>
    <w:p w14:paraId="2F286DA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Cel szczegółowy</w:t>
      </w:r>
    </w:p>
    <w:p w14:paraId="3D048C45" w14:textId="77777777" w:rsidR="00C1163F" w:rsidRDefault="0070024C">
      <w:pPr>
        <w:rPr>
          <w:b/>
          <w:sz w:val="28"/>
        </w:rPr>
      </w:pPr>
      <w:r>
        <w:rPr>
          <w:sz w:val="28"/>
        </w:rPr>
        <w:t>EFRR.CP1.II - Czerpanie korzyści z cyfryzacji dla obywateli, przedsiębiorstw, organizacji badawczych i instytucji publicznych</w:t>
      </w:r>
    </w:p>
    <w:p w14:paraId="728607A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Instytucja Pośrednicząca</w:t>
      </w:r>
    </w:p>
    <w:p w14:paraId="1AE0BB02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Centrum Projektów Polska Cyfrowa</w:t>
      </w:r>
    </w:p>
    <w:p w14:paraId="3A7302A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</w:t>
      </w:r>
      <w:r>
        <w:rPr>
          <w:b/>
          <w:sz w:val="28"/>
        </w:rPr>
        <w:t>kość alokacji ogółem (EUR)</w:t>
      </w:r>
    </w:p>
    <w:p w14:paraId="693ACDF0" w14:textId="77777777" w:rsidR="00C1163F" w:rsidRDefault="0070024C">
      <w:pPr>
        <w:rPr>
          <w:b/>
          <w:sz w:val="28"/>
        </w:rPr>
      </w:pPr>
      <w:r>
        <w:rPr>
          <w:sz w:val="28"/>
        </w:rPr>
        <w:t>62 730 014,00</w:t>
      </w:r>
    </w:p>
    <w:p w14:paraId="0FFB4C4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Wysokość alokacji UE (EUR)</w:t>
      </w:r>
    </w:p>
    <w:p w14:paraId="36A9FC56" w14:textId="77777777" w:rsidR="00C1163F" w:rsidRDefault="0070024C">
      <w:pPr>
        <w:rPr>
          <w:b/>
          <w:sz w:val="28"/>
        </w:rPr>
      </w:pPr>
      <w:r>
        <w:rPr>
          <w:sz w:val="28"/>
        </w:rPr>
        <w:t>50 000 000,00</w:t>
      </w:r>
    </w:p>
    <w:p w14:paraId="3242401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Zakres interwencji</w:t>
      </w:r>
    </w:p>
    <w:p w14:paraId="32A18BD2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016 - Rozwiązania TIK, usługi elektroniczne, aplikacje dla administracji, 172 - Finansowanie krzyżowe w ramach EFRR (wsparcie dla działań typowych dla </w:t>
      </w:r>
      <w:r>
        <w:rPr>
          <w:sz w:val="28"/>
        </w:rPr>
        <w:t>EFS+ koniecznych do wdrożenia części operacji objętej EFRR i bezpośrednio z nią związanych)</w:t>
      </w:r>
    </w:p>
    <w:p w14:paraId="7A7DCC7B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Opis działania</w:t>
      </w:r>
    </w:p>
    <w:p w14:paraId="471A78AE" w14:textId="77777777" w:rsidR="00C1163F" w:rsidRDefault="0070024C">
      <w:pPr>
        <w:rPr>
          <w:b/>
          <w:sz w:val="28"/>
        </w:rPr>
      </w:pPr>
      <w:r>
        <w:rPr>
          <w:sz w:val="28"/>
        </w:rPr>
        <w:t>W działaniu będą wspierane projekty o oddziaływaniu ogólnokrajowym, których produkty będą mogły być wykorzystywane lokalnie. W działaniu przewidziano</w:t>
      </w:r>
      <w:r>
        <w:rPr>
          <w:sz w:val="28"/>
        </w:rPr>
        <w:t xml:space="preserve"> realizację projektów mających na celu podnoszenie kompetencji kadr zaangażowanych w świadczenie usług, produktów lub procesów cyfrowych, w tym m.in. wsparcie zaawansowanych kompetencji specjalistycznych z zakresu </w:t>
      </w:r>
      <w:proofErr w:type="spellStart"/>
      <w:r>
        <w:rPr>
          <w:sz w:val="28"/>
        </w:rPr>
        <w:t>cyberbezpieczeństwa</w:t>
      </w:r>
      <w:proofErr w:type="spellEnd"/>
      <w:r>
        <w:rPr>
          <w:sz w:val="28"/>
        </w:rPr>
        <w:t xml:space="preserve"> i gospodarki danych, j</w:t>
      </w:r>
      <w:r>
        <w:rPr>
          <w:sz w:val="28"/>
        </w:rPr>
        <w:t>ak również dostępności cyfrowej.</w:t>
      </w:r>
    </w:p>
    <w:p w14:paraId="5D947790" w14:textId="77777777" w:rsidR="00C1163F" w:rsidRDefault="0070024C">
      <w:pPr>
        <w:rPr>
          <w:b/>
          <w:sz w:val="28"/>
        </w:rPr>
      </w:pPr>
      <w:r>
        <w:rPr>
          <w:sz w:val="28"/>
        </w:rPr>
        <w:t>Realizowane będą działania na rzecz rozwoju EDIH dla administracji w celu m.in. wymiany doświadczeń, dostosowania się do zmian wynikających z rozwoju cyfrowego, a także usprawnienia jej działania.</w:t>
      </w:r>
    </w:p>
    <w:p w14:paraId="23BBACAD" w14:textId="77777777" w:rsidR="00C1163F" w:rsidRDefault="0070024C">
      <w:pPr>
        <w:rPr>
          <w:b/>
          <w:sz w:val="28"/>
        </w:rPr>
      </w:pPr>
      <w:r>
        <w:rPr>
          <w:sz w:val="28"/>
        </w:rPr>
        <w:t>Przewidziano także prowadz</w:t>
      </w:r>
      <w:r>
        <w:rPr>
          <w:sz w:val="28"/>
        </w:rPr>
        <w:t>enie kampanii edukacyjno-informacyjnych, których celem będzie podnoszenie świadomości publicznej na temat korzyści płynących ze stosowania technologii cyfrowych, w tym e-usług publicznych. Działanie ma budować i utrwalać wśród obywateli motywacje do korzys</w:t>
      </w:r>
      <w:r>
        <w:rPr>
          <w:sz w:val="28"/>
        </w:rPr>
        <w:t>tania z TIK, promować rozwój niezbędnych umiejętności oraz likwidować stereotypy wpływające na brak zainteresowania TIK. Podejmowane działania będą dotyczyć TIK w zakresie szerszym niż interwencja FERC, będąc odpowiedzią na zmieniające się trendy społeczne</w:t>
      </w:r>
      <w:r>
        <w:rPr>
          <w:sz w:val="28"/>
        </w:rPr>
        <w:t>, innowacje technologiczne czy efekty demograficzne.</w:t>
      </w:r>
    </w:p>
    <w:p w14:paraId="71DC28C2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Wdrażanie Programu będzie zgodne z przepisami krajowymi i europejskimi, w tym dyrektywami (UE) 2019/882  w sprawie wymogów dostępności produktów i usług i (UE) 2016/2102 w sprawie dostępności stron inter</w:t>
      </w:r>
      <w:r>
        <w:rPr>
          <w:sz w:val="28"/>
        </w:rPr>
        <w:t>netowych i mobilnych aplikacji organów sektora publicznego.</w:t>
      </w:r>
    </w:p>
    <w:p w14:paraId="2614985C" w14:textId="77777777" w:rsidR="00C1163F" w:rsidRDefault="0070024C">
      <w:pPr>
        <w:rPr>
          <w:b/>
          <w:sz w:val="28"/>
        </w:rPr>
      </w:pPr>
      <w:r>
        <w:rPr>
          <w:sz w:val="28"/>
        </w:rPr>
        <w:t>Projekty będą realizowane z zachowaniem zasad sprzyjających podniesieniu jakości życia i zapewnienia niezależności obywateli, którzy ze względu na stan zdrowia, wiek czy niepełnosprawność napotyka</w:t>
      </w:r>
      <w:r>
        <w:rPr>
          <w:sz w:val="28"/>
        </w:rPr>
        <w:t>ją na ograniczenia w życiu codziennym. Dostępność będzie realizowana przez stosowanie zasad uniwersalnego projektowania i standardów w zakresie m.in. dostępności cyfrowej produktów.</w:t>
      </w:r>
    </w:p>
    <w:p w14:paraId="7F25BAE3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Projekty będą realizowane zgodnie z zasadą niedyskryminacji ze względu na </w:t>
      </w:r>
      <w:r>
        <w:rPr>
          <w:sz w:val="28"/>
        </w:rPr>
        <w:t>płeć, rasę lub pochodzenie etniczne, religię lub światopogląd, niepełnosprawność, wiek, orientację seksualną. Rezultaty projektów, a także produkty projektów nie będą dyskryminacyjne.</w:t>
      </w:r>
    </w:p>
    <w:p w14:paraId="657FA2E1" w14:textId="77777777" w:rsidR="00C1163F" w:rsidRDefault="0070024C">
      <w:pPr>
        <w:rPr>
          <w:b/>
          <w:sz w:val="28"/>
        </w:rPr>
      </w:pPr>
      <w:r>
        <w:rPr>
          <w:sz w:val="28"/>
        </w:rPr>
        <w:t>Wsparcie będzie udzielane wyłącznie projektom i beneficjentom, którzy pr</w:t>
      </w:r>
      <w:r>
        <w:rPr>
          <w:sz w:val="28"/>
        </w:rPr>
        <w:t>zestrzegają przepisów antydyskryminacyjnych, o których mowa w art. 9 ust. 3 Rozporządzenia PE i Rady nr 2021/1060. W przypadku, gdy beneficjentem jest JST (lub podmiot przez nią kontrolowany lub od niej zależny), która podjęła jakiekolwiek działania dyskry</w:t>
      </w:r>
      <w:r>
        <w:rPr>
          <w:sz w:val="28"/>
        </w:rPr>
        <w:t>minujące, sprzeczne z zasadami, o których mowa w art. 9 ust. 3 rozporządzenia nr 2021/1060, wsparcie w ramach polityki spójności nie może być udzielone.</w:t>
      </w:r>
    </w:p>
    <w:p w14:paraId="6C987ADC" w14:textId="77777777" w:rsidR="00C1163F" w:rsidRDefault="0070024C">
      <w:pPr>
        <w:rPr>
          <w:b/>
          <w:sz w:val="28"/>
        </w:rPr>
      </w:pPr>
      <w:r>
        <w:rPr>
          <w:sz w:val="28"/>
        </w:rPr>
        <w:t>Preferowana będzie realizacja projektów w trybie konkurencyjnym wskazanym w ustawie Prawo zamówień publ</w:t>
      </w:r>
      <w:r>
        <w:rPr>
          <w:sz w:val="28"/>
        </w:rPr>
        <w:t>icznych.</w:t>
      </w:r>
    </w:p>
    <w:p w14:paraId="30AE440E" w14:textId="77777777" w:rsidR="00C1163F" w:rsidRDefault="0070024C">
      <w:pPr>
        <w:rPr>
          <w:b/>
          <w:sz w:val="28"/>
        </w:rPr>
      </w:pPr>
      <w:r>
        <w:rPr>
          <w:sz w:val="28"/>
        </w:rPr>
        <w:t>Możliwa będzie realizacja projektów: łączących różne typy interwencji zaplanowanej w priorytecie; w partnerstwie publiczno-prywatnym.</w:t>
      </w:r>
    </w:p>
    <w:p w14:paraId="2875A9ED" w14:textId="77777777" w:rsidR="00C1163F" w:rsidRDefault="0070024C">
      <w:pPr>
        <w:rPr>
          <w:b/>
          <w:sz w:val="28"/>
        </w:rPr>
      </w:pPr>
      <w:r>
        <w:rPr>
          <w:sz w:val="28"/>
        </w:rPr>
        <w:t>Projekty zgłaszane do naborów w tym działaniu będą mogły być realizowane w partnerstwie z zastosowaniem zapisów a</w:t>
      </w:r>
      <w:r>
        <w:rPr>
          <w:sz w:val="28"/>
        </w:rPr>
        <w:t>rt. 39 ustawy wdrożeniowej.</w:t>
      </w:r>
    </w:p>
    <w:p w14:paraId="45049E99" w14:textId="77777777" w:rsidR="00C1163F" w:rsidRDefault="0070024C">
      <w:pPr>
        <w:rPr>
          <w:b/>
          <w:sz w:val="28"/>
        </w:rPr>
      </w:pPr>
      <w:r>
        <w:rPr>
          <w:sz w:val="28"/>
        </w:rPr>
        <w:t>Przewidywane typy projektów:</w:t>
      </w:r>
    </w:p>
    <w:p w14:paraId="5D452195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1. Działania szkoleniowe ukierunkowane na wsparcie rozwoju kompetencji cyfrowych pracowników,</w:t>
      </w:r>
    </w:p>
    <w:p w14:paraId="40262E57" w14:textId="77777777" w:rsidR="00C1163F" w:rsidRDefault="0070024C">
      <w:pPr>
        <w:rPr>
          <w:b/>
          <w:sz w:val="28"/>
        </w:rPr>
      </w:pPr>
      <w:r>
        <w:rPr>
          <w:sz w:val="28"/>
        </w:rPr>
        <w:t>2. Kampanie edukacyjno-informacyjne na rzecz m.in. promowania podnoszenia kompetencji cyfrowych, korzyści</w:t>
      </w:r>
      <w:r>
        <w:rPr>
          <w:sz w:val="28"/>
        </w:rPr>
        <w:t xml:space="preserve"> wynikających z korzystania z nowoczesnych technologii i e-usług publicznych, rozwijania świadomości dotyczących dostępności cyfrowej i </w:t>
      </w:r>
      <w:proofErr w:type="spellStart"/>
      <w:r>
        <w:rPr>
          <w:sz w:val="28"/>
        </w:rPr>
        <w:t>cyberbezpieczeństwa</w:t>
      </w:r>
      <w:proofErr w:type="spellEnd"/>
      <w:r>
        <w:rPr>
          <w:sz w:val="28"/>
        </w:rPr>
        <w:t>, prowadzone w oparciu o uprzednio zidentyfikowane obszary tematyczne, grupy docelowe i narzędzia prz</w:t>
      </w:r>
      <w:r>
        <w:rPr>
          <w:sz w:val="28"/>
        </w:rPr>
        <w:t>ekazu skierowanego do ww. grup docelowych,</w:t>
      </w:r>
    </w:p>
    <w:p w14:paraId="13CC97F3" w14:textId="77777777" w:rsidR="00C1163F" w:rsidRDefault="0070024C">
      <w:pPr>
        <w:rPr>
          <w:b/>
          <w:sz w:val="28"/>
        </w:rPr>
      </w:pPr>
      <w:r>
        <w:rPr>
          <w:sz w:val="28"/>
        </w:rPr>
        <w:t>3. Działania na rzecz rozwoju EDIH, DIH  dla administracji,</w:t>
      </w:r>
    </w:p>
    <w:p w14:paraId="2AEDFEAD" w14:textId="77777777" w:rsidR="00C1163F" w:rsidRDefault="0070024C">
      <w:pPr>
        <w:rPr>
          <w:b/>
          <w:sz w:val="28"/>
        </w:rPr>
      </w:pPr>
      <w:r>
        <w:rPr>
          <w:sz w:val="28"/>
        </w:rPr>
        <w:t>4. Wdrażanie rozwiązań łączących różne zakresy interwencji zaplanowanej w II Priorytecie FERC.</w:t>
      </w:r>
    </w:p>
    <w:p w14:paraId="074FEB92" w14:textId="77777777" w:rsidR="00C1163F" w:rsidRDefault="0070024C">
      <w:pPr>
        <w:rPr>
          <w:b/>
          <w:sz w:val="28"/>
        </w:rPr>
      </w:pPr>
      <w:r>
        <w:rPr>
          <w:sz w:val="28"/>
        </w:rPr>
        <w:t>Potencjalni beneficjenci: jednostki administracji rządowej</w:t>
      </w:r>
      <w:r>
        <w:rPr>
          <w:sz w:val="28"/>
        </w:rPr>
        <w:t xml:space="preserve"> oraz jednostki im podległe lub przez nie nadzorowane, sądy i jednostki prokuratury. Ponadto partnerstwa tworzone pomiędzy wskazanymi powyżej wnioskodawcami, partnerstwa uprawnionych wnioskodawców z przedsiębiorstwami, organizacjami pozarządowymi.</w:t>
      </w:r>
    </w:p>
    <w:p w14:paraId="200D06C6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Ilekroć </w:t>
      </w:r>
      <w:r>
        <w:rPr>
          <w:sz w:val="28"/>
        </w:rPr>
        <w:t>Wytyczne dotyczące kwalifikowalności wydatków na lata 2021-2027 stanowią delegację dla IZ lub IP do określenia w SZOP podnoszonych w nich zagadnień związanych z kwalifikowalnością wydatków, kwestie te dla II priorytetu FERC są uregulowane w Katalogu wydatk</w:t>
      </w:r>
      <w:r>
        <w:rPr>
          <w:sz w:val="28"/>
        </w:rPr>
        <w:t>ów kwalifikowalnych II priorytetu programu Fundusze Europejskie na Rozwój Cyfrowy 2021-2027 dostępnym na stronie https://ferc.gov.pl/. Dokument ten zawiera także bardziej szczegółowe informacje na temat zastosowania cross-</w:t>
      </w:r>
      <w:proofErr w:type="spellStart"/>
      <w:r>
        <w:rPr>
          <w:sz w:val="28"/>
        </w:rPr>
        <w:t>financingu</w:t>
      </w:r>
      <w:proofErr w:type="spellEnd"/>
      <w:r>
        <w:rPr>
          <w:sz w:val="28"/>
        </w:rPr>
        <w:t xml:space="preserve"> w projektach.</w:t>
      </w:r>
    </w:p>
    <w:p w14:paraId="2EC99F6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</w:t>
      </w:r>
      <w:r>
        <w:rPr>
          <w:b/>
          <w:sz w:val="28"/>
        </w:rPr>
        <w:t>y % poziom dofinansowania UE w projekcie</w:t>
      </w:r>
    </w:p>
    <w:p w14:paraId="07F4816B" w14:textId="77777777" w:rsidR="00C1163F" w:rsidRDefault="0070024C">
      <w:pPr>
        <w:rPr>
          <w:b/>
          <w:sz w:val="28"/>
        </w:rPr>
      </w:pPr>
      <w:r>
        <w:rPr>
          <w:sz w:val="28"/>
        </w:rPr>
        <w:t>79.71</w:t>
      </w:r>
    </w:p>
    <w:p w14:paraId="4A15A14A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Maksymalny % poziom dofinansowania całkowitego wydatków kwalifikowalnych na poziomie projektu (środki UE + współfinansowanie ze środków krajowych przyznane beneficjentowi przez właściwą instytucję)</w:t>
      </w:r>
    </w:p>
    <w:p w14:paraId="3AD96F4C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100</w:t>
      </w:r>
    </w:p>
    <w:p w14:paraId="428F812A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</w:t>
      </w:r>
      <w:r>
        <w:rPr>
          <w:b/>
          <w:sz w:val="28"/>
        </w:rPr>
        <w:t>ubliczna – unijna podstawa prawna</w:t>
      </w:r>
    </w:p>
    <w:p w14:paraId="165AF7D6" w14:textId="77777777" w:rsidR="00C1163F" w:rsidRDefault="0070024C">
      <w:pPr>
        <w:rPr>
          <w:b/>
          <w:sz w:val="28"/>
        </w:rPr>
      </w:pPr>
      <w:r>
        <w:rPr>
          <w:sz w:val="28"/>
        </w:rPr>
        <w:t>Bez pomocy</w:t>
      </w:r>
    </w:p>
    <w:p w14:paraId="3AE27C79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Pomoc publiczna – krajowa podstawa prawna</w:t>
      </w:r>
    </w:p>
    <w:p w14:paraId="1DCDFC7C" w14:textId="77777777" w:rsidR="00C1163F" w:rsidRDefault="0070024C">
      <w:pPr>
        <w:rPr>
          <w:b/>
          <w:sz w:val="28"/>
        </w:rPr>
      </w:pPr>
      <w:r>
        <w:rPr>
          <w:sz w:val="28"/>
        </w:rPr>
        <w:t>Bez pomocy</w:t>
      </w:r>
    </w:p>
    <w:p w14:paraId="025BE250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Uproszczone metody rozliczania</w:t>
      </w:r>
    </w:p>
    <w:p w14:paraId="1A05D28F" w14:textId="77777777" w:rsidR="00C1163F" w:rsidRDefault="0070024C">
      <w:pPr>
        <w:rPr>
          <w:b/>
          <w:sz w:val="28"/>
        </w:rPr>
      </w:pPr>
      <w:r>
        <w:rPr>
          <w:sz w:val="28"/>
        </w:rPr>
        <w:t xml:space="preserve">do 15% stawka ryczałtowa na koszty pośrednie (podstawa wyliczenia: koszty bezpośrednie personelu) [art. 54(b) CPR], do 7% </w:t>
      </w:r>
      <w:r>
        <w:rPr>
          <w:sz w:val="28"/>
        </w:rPr>
        <w:t>stawka ryczałtowa na koszty pośrednie (podstawa wyliczenia: koszty bezpośrednie) [art. 54(a) CPR]</w:t>
      </w:r>
    </w:p>
    <w:p w14:paraId="6C6B73F7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Forma wsparcia</w:t>
      </w:r>
    </w:p>
    <w:p w14:paraId="714CCE87" w14:textId="77777777" w:rsidR="00C1163F" w:rsidRDefault="0070024C">
      <w:pPr>
        <w:rPr>
          <w:b/>
          <w:sz w:val="28"/>
        </w:rPr>
      </w:pPr>
      <w:r>
        <w:rPr>
          <w:sz w:val="28"/>
        </w:rPr>
        <w:t>Dotacja</w:t>
      </w:r>
    </w:p>
    <w:p w14:paraId="2A9BFE5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Dopuszczalny cross-</w:t>
      </w:r>
      <w:proofErr w:type="spellStart"/>
      <w:r>
        <w:rPr>
          <w:b/>
          <w:sz w:val="28"/>
        </w:rPr>
        <w:t>financing</w:t>
      </w:r>
      <w:proofErr w:type="spellEnd"/>
      <w:r>
        <w:rPr>
          <w:b/>
          <w:sz w:val="28"/>
        </w:rPr>
        <w:t xml:space="preserve"> (%)</w:t>
      </w:r>
    </w:p>
    <w:p w14:paraId="3D7A1039" w14:textId="77777777" w:rsidR="00C1163F" w:rsidRDefault="0070024C">
      <w:pPr>
        <w:rPr>
          <w:b/>
          <w:sz w:val="28"/>
        </w:rPr>
      </w:pPr>
      <w:r>
        <w:rPr>
          <w:sz w:val="28"/>
        </w:rPr>
        <w:t>100</w:t>
      </w:r>
    </w:p>
    <w:p w14:paraId="0ECD3DC4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Sposób wyboru projektów</w:t>
      </w:r>
    </w:p>
    <w:p w14:paraId="72C7409F" w14:textId="77777777" w:rsidR="00C1163F" w:rsidRDefault="0070024C">
      <w:pPr>
        <w:rPr>
          <w:b/>
          <w:sz w:val="28"/>
        </w:rPr>
      </w:pPr>
      <w:r>
        <w:rPr>
          <w:sz w:val="28"/>
        </w:rPr>
        <w:t>Konkurencyjny, Niekonkurencyjny</w:t>
      </w:r>
    </w:p>
    <w:p w14:paraId="61070B5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Realizacja instrumentów terytorialnych</w:t>
      </w:r>
    </w:p>
    <w:p w14:paraId="664B2B46" w14:textId="77777777" w:rsidR="00C1163F" w:rsidRDefault="0070024C">
      <w:pPr>
        <w:rPr>
          <w:b/>
          <w:sz w:val="28"/>
        </w:rPr>
      </w:pPr>
      <w:r>
        <w:rPr>
          <w:sz w:val="28"/>
        </w:rPr>
        <w:t>Nie</w:t>
      </w:r>
      <w:r>
        <w:rPr>
          <w:sz w:val="28"/>
        </w:rPr>
        <w:t xml:space="preserve"> dotyczy</w:t>
      </w:r>
    </w:p>
    <w:p w14:paraId="6CC80361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ogólny</w:t>
      </w:r>
    </w:p>
    <w:p w14:paraId="5036901B" w14:textId="77777777" w:rsidR="00C1163F" w:rsidRDefault="0070024C">
      <w:pPr>
        <w:rPr>
          <w:b/>
          <w:sz w:val="28"/>
        </w:rPr>
      </w:pPr>
      <w:r>
        <w:rPr>
          <w:sz w:val="28"/>
        </w:rPr>
        <w:t>Administracja publiczna, Służby publiczne</w:t>
      </w:r>
    </w:p>
    <w:p w14:paraId="58433CFD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Typ beneficjenta – szczegółowy</w:t>
      </w:r>
    </w:p>
    <w:p w14:paraId="2687A64E" w14:textId="77777777" w:rsidR="00C1163F" w:rsidRDefault="0070024C">
      <w:pPr>
        <w:rPr>
          <w:b/>
          <w:sz w:val="28"/>
        </w:rPr>
      </w:pPr>
      <w:r>
        <w:rPr>
          <w:sz w:val="28"/>
        </w:rPr>
        <w:t>Administracja rządowa, Prokuratura, Wymiar sprawiedliwości</w:t>
      </w:r>
    </w:p>
    <w:p w14:paraId="3D03C37F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Grupa docelowa</w:t>
      </w:r>
    </w:p>
    <w:p w14:paraId="546FABB6" w14:textId="77777777" w:rsidR="00C1163F" w:rsidRDefault="0070024C">
      <w:pPr>
        <w:rPr>
          <w:b/>
          <w:sz w:val="28"/>
        </w:rPr>
      </w:pPr>
      <w:r>
        <w:rPr>
          <w:sz w:val="28"/>
        </w:rPr>
        <w:lastRenderedPageBreak/>
        <w:t>administracja publiczna (w tym rządowa) oraz podległe jej organy i jednost</w:t>
      </w:r>
      <w:r>
        <w:rPr>
          <w:sz w:val="28"/>
        </w:rPr>
        <w:t xml:space="preserve">ki organizacyjne, instytucje kultury, jednostki sektora finansów publicznych, obywatele, podmioty kluczowe dla zapewnienia </w:t>
      </w:r>
      <w:proofErr w:type="spellStart"/>
      <w:r>
        <w:rPr>
          <w:sz w:val="28"/>
        </w:rPr>
        <w:t>cyberbezpieczeństwa</w:t>
      </w:r>
      <w:proofErr w:type="spellEnd"/>
      <w:r>
        <w:rPr>
          <w:sz w:val="28"/>
        </w:rPr>
        <w:t>, podmioty lecznicze, pracownicy, przedsiębiorcy</w:t>
      </w:r>
    </w:p>
    <w:p w14:paraId="5B1B5762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Słowa kluczowe</w:t>
      </w:r>
    </w:p>
    <w:p w14:paraId="42F42484" w14:textId="77777777" w:rsidR="00C1163F" w:rsidRDefault="0070024C">
      <w:pPr>
        <w:rPr>
          <w:b/>
          <w:sz w:val="28"/>
        </w:rPr>
      </w:pPr>
      <w:proofErr w:type="spellStart"/>
      <w:r>
        <w:rPr>
          <w:sz w:val="28"/>
        </w:rPr>
        <w:t>cyfrowa_administracja</w:t>
      </w:r>
      <w:proofErr w:type="spellEnd"/>
      <w:r>
        <w:rPr>
          <w:sz w:val="28"/>
        </w:rPr>
        <w:t xml:space="preserve">, cyfryzacja, DIH, </w:t>
      </w:r>
      <w:proofErr w:type="spellStart"/>
      <w:r>
        <w:rPr>
          <w:sz w:val="28"/>
        </w:rPr>
        <w:t>dostępność</w:t>
      </w:r>
      <w:r>
        <w:rPr>
          <w:sz w:val="28"/>
        </w:rPr>
        <w:t>_cyfrowa</w:t>
      </w:r>
      <w:proofErr w:type="spellEnd"/>
      <w:r>
        <w:rPr>
          <w:sz w:val="28"/>
        </w:rPr>
        <w:t xml:space="preserve">, e-administracja, </w:t>
      </w:r>
      <w:proofErr w:type="spellStart"/>
      <w:r>
        <w:rPr>
          <w:sz w:val="28"/>
        </w:rPr>
        <w:t>kampanie_edukacyjno</w:t>
      </w:r>
      <w:proofErr w:type="spellEnd"/>
      <w:r>
        <w:rPr>
          <w:sz w:val="28"/>
        </w:rPr>
        <w:t xml:space="preserve">-informacyjne, </w:t>
      </w:r>
      <w:proofErr w:type="spellStart"/>
      <w:r>
        <w:rPr>
          <w:sz w:val="28"/>
        </w:rPr>
        <w:t>kompetencje_cyfrowe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kształcenie_kadr</w:t>
      </w:r>
      <w:proofErr w:type="spellEnd"/>
    </w:p>
    <w:p w14:paraId="2B29B498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Kryteria wyboru projektów</w:t>
      </w:r>
    </w:p>
    <w:p w14:paraId="7A02007C" w14:textId="77777777" w:rsidR="00C1163F" w:rsidRDefault="0070024C">
      <w:pPr>
        <w:rPr>
          <w:b/>
          <w:sz w:val="28"/>
        </w:rPr>
      </w:pPr>
      <w:r>
        <w:rPr>
          <w:sz w:val="28"/>
        </w:rPr>
        <w:t>https://www.rozwojcyfrowy.gov.pl/strony/dowiedz-sie-wiecej-o-programie/kryteria-wyboru-projektow</w:t>
      </w:r>
    </w:p>
    <w:p w14:paraId="39D98A0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produktu</w:t>
      </w:r>
    </w:p>
    <w:p w14:paraId="69905D65" w14:textId="77777777" w:rsidR="00C1163F" w:rsidRDefault="0070024C">
      <w:pPr>
        <w:rPr>
          <w:b/>
          <w:sz w:val="28"/>
        </w:rPr>
      </w:pPr>
      <w:r>
        <w:rPr>
          <w:sz w:val="28"/>
        </w:rPr>
        <w:t>WLWK-PLRO161 - Liczba kampanii edukacyjno-informacyjnych dotyczących TIK</w:t>
      </w:r>
    </w:p>
    <w:p w14:paraId="625BD065" w14:textId="77777777" w:rsidR="00C1163F" w:rsidRDefault="0070024C">
      <w:pPr>
        <w:rPr>
          <w:b/>
          <w:sz w:val="28"/>
        </w:rPr>
      </w:pPr>
      <w:r>
        <w:rPr>
          <w:sz w:val="28"/>
        </w:rPr>
        <w:t>WLWK-PLRO013 - Liczba osób objętych szkoleniami w zakresie kompeten</w:t>
      </w:r>
      <w:r>
        <w:rPr>
          <w:sz w:val="28"/>
        </w:rPr>
        <w:t>cji cyfrowych</w:t>
      </w:r>
    </w:p>
    <w:p w14:paraId="77569153" w14:textId="77777777" w:rsidR="00C1163F" w:rsidRDefault="0070024C">
      <w:pPr>
        <w:rPr>
          <w:b/>
          <w:sz w:val="28"/>
        </w:rPr>
      </w:pPr>
      <w:r>
        <w:rPr>
          <w:b/>
          <w:sz w:val="28"/>
        </w:rPr>
        <w:t>Wskaźniki rezultatu</w:t>
      </w:r>
    </w:p>
    <w:p w14:paraId="4F1206CD" w14:textId="77777777" w:rsidR="00C1163F" w:rsidRDefault="0070024C">
      <w:pPr>
        <w:rPr>
          <w:b/>
          <w:sz w:val="28"/>
        </w:rPr>
      </w:pPr>
      <w:r>
        <w:rPr>
          <w:sz w:val="28"/>
        </w:rPr>
        <w:t>WLWK-PLRR007 - Liczba rozwiązań informatycznych i technologicznych w ramach współpracy międzysektorowej</w:t>
      </w:r>
    </w:p>
    <w:p w14:paraId="019BC4D0" w14:textId="77777777" w:rsidR="00C1163F" w:rsidRDefault="00C1163F">
      <w:pPr>
        <w:rPr>
          <w:b/>
          <w:sz w:val="28"/>
        </w:rPr>
      </w:pPr>
    </w:p>
    <w:p w14:paraId="4FDA06F9" w14:textId="77777777" w:rsidR="00C1163F" w:rsidRDefault="00C1163F">
      <w:pPr>
        <w:rPr>
          <w:b/>
          <w:i/>
          <w:sz w:val="44"/>
          <w:highlight w:val="magenta"/>
        </w:rPr>
      </w:pPr>
    </w:p>
    <w:sectPr w:rsidR="00C1163F">
      <w:footerReference w:type="default" r:id="rId8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9323D" w14:textId="77777777" w:rsidR="00000000" w:rsidRDefault="0070024C">
      <w:pPr>
        <w:spacing w:after="0" w:line="240" w:lineRule="auto"/>
      </w:pPr>
      <w:r>
        <w:separator/>
      </w:r>
    </w:p>
  </w:endnote>
  <w:endnote w:type="continuationSeparator" w:id="0">
    <w:p w14:paraId="6896E6A9" w14:textId="77777777" w:rsidR="00000000" w:rsidRDefault="0070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1168" w14:textId="77777777" w:rsidR="00C1163F" w:rsidRDefault="0070024C">
    <w:pPr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6D20" w14:textId="77777777" w:rsidR="00000000" w:rsidRDefault="0070024C">
      <w:pPr>
        <w:spacing w:after="0" w:line="240" w:lineRule="auto"/>
      </w:pPr>
      <w:r>
        <w:separator/>
      </w:r>
    </w:p>
  </w:footnote>
  <w:footnote w:type="continuationSeparator" w:id="0">
    <w:p w14:paraId="5C46C670" w14:textId="77777777" w:rsidR="00000000" w:rsidRDefault="0070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63F"/>
    <w:rsid w:val="0070024C"/>
    <w:rsid w:val="00C11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2C1D"/>
  <w15:docId w15:val="{6D0F81D1-E6DC-47FB-B893-535703EF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Calibri"/>
        <w:sz w:val="22"/>
        <w:lang w:val="pl-PL" w:eastAsia="pl-PL" w:bidi="ar-SA"/>
      </w:rPr>
    </w:rPrDefault>
    <w:pPrDefault>
      <w:pPr>
        <w:spacing w:after="1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/>
    </w:p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240" w:after="0"/>
      <w:outlineLvl w:val="0"/>
    </w:pPr>
    <w:rPr>
      <w:rFonts w:asciiTheme="majorHAnsi" w:hAnsiTheme="majorHAnsi" w:cs="Cambria"/>
      <w:color w:val="365F91" w:themeColor="accent1" w:themeShade="BF"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spacing w:before="240" w:after="60"/>
      <w:outlineLvl w:val="1"/>
    </w:pPr>
    <w:rPr>
      <w:rFonts w:ascii="Calibri Light" w:hAnsi="Calibri Light" w:cs="Calibri Light"/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spacing w:before="240" w:after="60"/>
      <w:outlineLvl w:val="2"/>
    </w:pPr>
    <w:rPr>
      <w:rFonts w:ascii="Calibri Light" w:hAnsi="Calibri Light" w:cs="Calibri Light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rPr>
      <w:sz w:val="16"/>
    </w:rPr>
  </w:style>
  <w:style w:type="paragraph" w:styleId="Tekstkomentarza">
    <w:name w:val="annotation text"/>
    <w:basedOn w:val="Normalny"/>
    <w:link w:val="TekstkomentarzaZnak"/>
    <w:uiPriority w:val="99"/>
    <w:rPr>
      <w:sz w:val="20"/>
    </w:rPr>
  </w:style>
  <w:style w:type="character" w:customStyle="1" w:styleId="TekstkomentarzaZnak">
    <w:name w:val="Tekst komentarza Znak"/>
    <w:link w:val="Tekstkomentarza"/>
    <w:uiPriority w:val="99"/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</w:rPr>
  </w:style>
  <w:style w:type="character" w:customStyle="1" w:styleId="TematkomentarzaZnak">
    <w:name w:val="Temat komentarza Znak"/>
    <w:link w:val="Tematkomentarza"/>
    <w:uiPriority w:val="99"/>
    <w:rPr>
      <w:b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ahoma"/>
      <w:sz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</w:rPr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hAnsiTheme="majorHAnsi" w:cs="Cambria"/>
      <w:color w:val="365F91" w:themeColor="accent1" w:themeShade="BF"/>
      <w:sz w:val="32"/>
    </w:rPr>
  </w:style>
  <w:style w:type="paragraph" w:styleId="Nagwekspisutreci">
    <w:name w:val="TOC Heading"/>
    <w:basedOn w:val="Nagwek1"/>
    <w:next w:val="Normalny"/>
    <w:uiPriority w:val="39"/>
    <w:qFormat/>
    <w:pPr>
      <w:spacing w:line="259" w:lineRule="auto"/>
      <w:outlineLvl w:val="9"/>
    </w:pPr>
    <w:rPr>
      <w:rFonts w:ascii="Calibri Light" w:hAnsi="Calibri Light" w:cs="Calibri Light"/>
      <w:color w:val="2E74B5"/>
    </w:rPr>
  </w:style>
  <w:style w:type="paragraph" w:styleId="Spistreci1">
    <w:name w:val="toc 1"/>
    <w:basedOn w:val="Normalny"/>
    <w:next w:val="Normalny"/>
    <w:uiPriority w:val="39"/>
    <w:rPr>
      <w:sz w:val="28"/>
    </w:rPr>
  </w:style>
  <w:style w:type="paragraph" w:styleId="Spistreci2">
    <w:name w:val="toc 2"/>
    <w:basedOn w:val="Normalny"/>
    <w:next w:val="Normalny"/>
    <w:uiPriority w:val="39"/>
    <w:pPr>
      <w:ind w:left="220"/>
    </w:pPr>
    <w:rPr>
      <w:sz w:val="28"/>
    </w:rPr>
  </w:style>
  <w:style w:type="character" w:styleId="Hipercze">
    <w:name w:val="Hyperlink"/>
    <w:uiPriority w:val="99"/>
    <w:rPr>
      <w:color w:val="0563C1"/>
      <w:u w:val="single"/>
    </w:rPr>
  </w:style>
  <w:style w:type="paragraph" w:styleId="Spistreci3">
    <w:name w:val="toc 3"/>
    <w:basedOn w:val="Normalny"/>
    <w:next w:val="Normalny"/>
    <w:uiPriority w:val="39"/>
    <w:pPr>
      <w:spacing w:after="100"/>
      <w:ind w:left="440"/>
    </w:pPr>
    <w:rPr>
      <w:sz w:val="28"/>
    </w:rPr>
  </w:style>
  <w:style w:type="character" w:customStyle="1" w:styleId="Nagwek2Znak">
    <w:name w:val="Nagłówek 2 Znak"/>
    <w:link w:val="Nagwek2"/>
    <w:uiPriority w:val="9"/>
    <w:rPr>
      <w:rFonts w:ascii="Calibri Light" w:hAnsi="Calibri Light" w:cs="Calibri Light"/>
      <w:b/>
      <w:i/>
      <w:sz w:val="28"/>
    </w:rPr>
  </w:style>
  <w:style w:type="character" w:customStyle="1" w:styleId="Nagwek3Znak">
    <w:name w:val="Nagłówek 3 Znak"/>
    <w:link w:val="Nagwek3"/>
    <w:uiPriority w:val="9"/>
    <w:rPr>
      <w:rFonts w:ascii="Calibri Light" w:hAnsi="Calibri Light" w:cs="Calibri Light"/>
      <w:b/>
      <w:sz w:val="26"/>
    </w:rPr>
  </w:style>
  <w:style w:type="paragraph" w:customStyle="1" w:styleId="Normalny1">
    <w:name w:val="Normalny1"/>
    <w:qFormat/>
    <w:pPr>
      <w:spacing w:after="200"/>
    </w:pPr>
  </w:style>
  <w:style w:type="character" w:customStyle="1" w:styleId="Domylnaczcionkaakapitu1">
    <w:name w:val="Domyślna czcionka akapitu1"/>
    <w:uiPriority w:val="1"/>
  </w:style>
  <w:style w:type="table" w:customStyle="1" w:styleId="Standardowy1">
    <w:name w:val="Standardowy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">
    <w:name w:val="Bez listy1"/>
    <w:uiPriority w:val="99"/>
  </w:style>
  <w:style w:type="paragraph" w:customStyle="1" w:styleId="Normalny2">
    <w:name w:val="Normalny2"/>
    <w:qFormat/>
    <w:pPr>
      <w:spacing w:after="200"/>
    </w:pPr>
  </w:style>
  <w:style w:type="character" w:customStyle="1" w:styleId="Domylnaczcionkaakapitu2">
    <w:name w:val="Domyślna czcionka akapitu2"/>
    <w:uiPriority w:val="1"/>
  </w:style>
  <w:style w:type="table" w:customStyle="1" w:styleId="Standardowy2">
    <w:name w:val="Standardowy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">
    <w:name w:val="Bez listy2"/>
    <w:uiPriority w:val="99"/>
  </w:style>
  <w:style w:type="paragraph" w:customStyle="1" w:styleId="Normalny3">
    <w:name w:val="Normalny3"/>
    <w:qFormat/>
    <w:pPr>
      <w:spacing w:after="200"/>
    </w:pPr>
  </w:style>
  <w:style w:type="character" w:customStyle="1" w:styleId="Domylnaczcionkaakapitu3">
    <w:name w:val="Domyślna czcionka akapitu3"/>
    <w:uiPriority w:val="1"/>
  </w:style>
  <w:style w:type="table" w:customStyle="1" w:styleId="Standardowy3">
    <w:name w:val="Standardowy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">
    <w:name w:val="Bez listy3"/>
    <w:uiPriority w:val="99"/>
  </w:style>
  <w:style w:type="paragraph" w:customStyle="1" w:styleId="Normalny4">
    <w:name w:val="Normalny4"/>
    <w:qFormat/>
    <w:pPr>
      <w:spacing w:after="200"/>
    </w:pPr>
  </w:style>
  <w:style w:type="character" w:customStyle="1" w:styleId="Domylnaczcionkaakapitu4">
    <w:name w:val="Domyślna czcionka akapitu4"/>
    <w:uiPriority w:val="1"/>
  </w:style>
  <w:style w:type="table" w:customStyle="1" w:styleId="Standardowy4">
    <w:name w:val="Standardowy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">
    <w:name w:val="Bez listy4"/>
    <w:uiPriority w:val="99"/>
  </w:style>
  <w:style w:type="paragraph" w:customStyle="1" w:styleId="Normalny5">
    <w:name w:val="Normalny5"/>
    <w:qFormat/>
    <w:pPr>
      <w:spacing w:after="200"/>
    </w:pPr>
  </w:style>
  <w:style w:type="character" w:customStyle="1" w:styleId="Domylnaczcionkaakapitu5">
    <w:name w:val="Domyślna czcionka akapitu5"/>
    <w:uiPriority w:val="1"/>
  </w:style>
  <w:style w:type="table" w:customStyle="1" w:styleId="Standardowy5">
    <w:name w:val="Standardowy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">
    <w:name w:val="Bez listy5"/>
    <w:uiPriority w:val="99"/>
  </w:style>
  <w:style w:type="paragraph" w:customStyle="1" w:styleId="Normalny6">
    <w:name w:val="Normalny6"/>
    <w:qFormat/>
    <w:pPr>
      <w:spacing w:after="200"/>
    </w:pPr>
  </w:style>
  <w:style w:type="character" w:customStyle="1" w:styleId="Domylnaczcionkaakapitu6">
    <w:name w:val="Domyślna czcionka akapitu6"/>
    <w:uiPriority w:val="1"/>
  </w:style>
  <w:style w:type="table" w:customStyle="1" w:styleId="Standardowy6">
    <w:name w:val="Standardowy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">
    <w:name w:val="Bez listy6"/>
    <w:uiPriority w:val="99"/>
  </w:style>
  <w:style w:type="paragraph" w:customStyle="1" w:styleId="Normalny7">
    <w:name w:val="Normalny7"/>
    <w:qFormat/>
    <w:pPr>
      <w:spacing w:after="200"/>
    </w:pPr>
  </w:style>
  <w:style w:type="character" w:customStyle="1" w:styleId="Domylnaczcionkaakapitu7">
    <w:name w:val="Domyślna czcionka akapitu7"/>
    <w:uiPriority w:val="1"/>
  </w:style>
  <w:style w:type="table" w:customStyle="1" w:styleId="Standardowy7">
    <w:name w:val="Standardowy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">
    <w:name w:val="Bez listy7"/>
    <w:uiPriority w:val="99"/>
  </w:style>
  <w:style w:type="paragraph" w:customStyle="1" w:styleId="Normalny8">
    <w:name w:val="Normalny8"/>
    <w:qFormat/>
    <w:pPr>
      <w:spacing w:after="200"/>
    </w:pPr>
  </w:style>
  <w:style w:type="character" w:customStyle="1" w:styleId="Domylnaczcionkaakapitu8">
    <w:name w:val="Domyślna czcionka akapitu8"/>
    <w:uiPriority w:val="1"/>
  </w:style>
  <w:style w:type="table" w:customStyle="1" w:styleId="Standardowy8">
    <w:name w:val="Standardowy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">
    <w:name w:val="Bez listy8"/>
    <w:uiPriority w:val="99"/>
  </w:style>
  <w:style w:type="paragraph" w:customStyle="1" w:styleId="Normalny9">
    <w:name w:val="Normalny9"/>
    <w:qFormat/>
    <w:pPr>
      <w:spacing w:after="200"/>
    </w:pPr>
  </w:style>
  <w:style w:type="character" w:customStyle="1" w:styleId="Domylnaczcionkaakapitu9">
    <w:name w:val="Domyślna czcionka akapitu9"/>
    <w:uiPriority w:val="1"/>
  </w:style>
  <w:style w:type="table" w:customStyle="1" w:styleId="Standardowy9">
    <w:name w:val="Standardowy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">
    <w:name w:val="Bez listy9"/>
    <w:uiPriority w:val="99"/>
  </w:style>
  <w:style w:type="paragraph" w:customStyle="1" w:styleId="Normalny10">
    <w:name w:val="Normalny10"/>
    <w:qFormat/>
    <w:pPr>
      <w:spacing w:after="200"/>
    </w:pPr>
  </w:style>
  <w:style w:type="character" w:customStyle="1" w:styleId="Domylnaczcionkaakapitu10">
    <w:name w:val="Domyślna czcionka akapitu10"/>
    <w:uiPriority w:val="1"/>
  </w:style>
  <w:style w:type="table" w:customStyle="1" w:styleId="Standardowy10">
    <w:name w:val="Standardowy1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">
    <w:name w:val="Bez listy10"/>
    <w:uiPriority w:val="99"/>
  </w:style>
  <w:style w:type="paragraph" w:customStyle="1" w:styleId="Normalny11">
    <w:name w:val="Normalny11"/>
    <w:qFormat/>
    <w:pPr>
      <w:spacing w:after="200"/>
    </w:pPr>
  </w:style>
  <w:style w:type="character" w:customStyle="1" w:styleId="Domylnaczcionkaakapitu11">
    <w:name w:val="Domyślna czcionka akapitu11"/>
    <w:uiPriority w:val="1"/>
  </w:style>
  <w:style w:type="table" w:customStyle="1" w:styleId="Standardowy11">
    <w:name w:val="Standardowy1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">
    <w:name w:val="Bez listy11"/>
    <w:uiPriority w:val="99"/>
  </w:style>
  <w:style w:type="paragraph" w:customStyle="1" w:styleId="Normalny12">
    <w:name w:val="Normalny12"/>
    <w:qFormat/>
    <w:pPr>
      <w:spacing w:after="200"/>
    </w:pPr>
  </w:style>
  <w:style w:type="character" w:customStyle="1" w:styleId="Domylnaczcionkaakapitu12">
    <w:name w:val="Domyślna czcionka akapitu12"/>
    <w:uiPriority w:val="1"/>
  </w:style>
  <w:style w:type="table" w:customStyle="1" w:styleId="Standardowy12">
    <w:name w:val="Standardowy1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">
    <w:name w:val="Bez listy12"/>
    <w:uiPriority w:val="99"/>
  </w:style>
  <w:style w:type="paragraph" w:customStyle="1" w:styleId="Normalny13">
    <w:name w:val="Normalny13"/>
    <w:qFormat/>
    <w:pPr>
      <w:spacing w:after="200"/>
    </w:pPr>
  </w:style>
  <w:style w:type="character" w:customStyle="1" w:styleId="Domylnaczcionkaakapitu13">
    <w:name w:val="Domyślna czcionka akapitu13"/>
    <w:uiPriority w:val="1"/>
  </w:style>
  <w:style w:type="table" w:customStyle="1" w:styleId="Standardowy13">
    <w:name w:val="Standardowy1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3">
    <w:name w:val="Bez listy13"/>
    <w:uiPriority w:val="99"/>
  </w:style>
  <w:style w:type="paragraph" w:customStyle="1" w:styleId="Normalny14">
    <w:name w:val="Normalny14"/>
    <w:qFormat/>
    <w:pPr>
      <w:spacing w:after="200"/>
    </w:pPr>
  </w:style>
  <w:style w:type="character" w:customStyle="1" w:styleId="Domylnaczcionkaakapitu14">
    <w:name w:val="Domyślna czcionka akapitu14"/>
    <w:uiPriority w:val="1"/>
  </w:style>
  <w:style w:type="table" w:customStyle="1" w:styleId="Standardowy14">
    <w:name w:val="Standardowy1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4">
    <w:name w:val="Bez listy14"/>
    <w:uiPriority w:val="99"/>
  </w:style>
  <w:style w:type="paragraph" w:customStyle="1" w:styleId="Normalny15">
    <w:name w:val="Normalny15"/>
    <w:qFormat/>
    <w:pPr>
      <w:spacing w:after="200"/>
    </w:pPr>
  </w:style>
  <w:style w:type="character" w:customStyle="1" w:styleId="Domylnaczcionkaakapitu15">
    <w:name w:val="Domyślna czcionka akapitu15"/>
    <w:uiPriority w:val="1"/>
  </w:style>
  <w:style w:type="table" w:customStyle="1" w:styleId="Standardowy15">
    <w:name w:val="Standardowy1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5">
    <w:name w:val="Bez listy15"/>
    <w:uiPriority w:val="99"/>
  </w:style>
  <w:style w:type="paragraph" w:customStyle="1" w:styleId="Normalny16">
    <w:name w:val="Normalny16"/>
    <w:qFormat/>
    <w:pPr>
      <w:spacing w:after="200"/>
    </w:pPr>
  </w:style>
  <w:style w:type="character" w:customStyle="1" w:styleId="Domylnaczcionkaakapitu16">
    <w:name w:val="Domyślna czcionka akapitu16"/>
    <w:uiPriority w:val="1"/>
  </w:style>
  <w:style w:type="table" w:customStyle="1" w:styleId="Standardowy16">
    <w:name w:val="Standardowy1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6">
    <w:name w:val="Bez listy16"/>
    <w:uiPriority w:val="99"/>
  </w:style>
  <w:style w:type="paragraph" w:customStyle="1" w:styleId="Normalny17">
    <w:name w:val="Normalny17"/>
    <w:qFormat/>
    <w:pPr>
      <w:spacing w:after="200"/>
    </w:pPr>
  </w:style>
  <w:style w:type="character" w:customStyle="1" w:styleId="Domylnaczcionkaakapitu17">
    <w:name w:val="Domyślna czcionka akapitu17"/>
    <w:uiPriority w:val="1"/>
  </w:style>
  <w:style w:type="table" w:customStyle="1" w:styleId="Standardowy17">
    <w:name w:val="Standardowy1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7">
    <w:name w:val="Bez listy17"/>
    <w:uiPriority w:val="99"/>
  </w:style>
  <w:style w:type="paragraph" w:customStyle="1" w:styleId="Normalny18">
    <w:name w:val="Normalny18"/>
    <w:qFormat/>
    <w:pPr>
      <w:spacing w:after="200"/>
    </w:pPr>
  </w:style>
  <w:style w:type="character" w:customStyle="1" w:styleId="Domylnaczcionkaakapitu18">
    <w:name w:val="Domyślna czcionka akapitu18"/>
    <w:uiPriority w:val="1"/>
  </w:style>
  <w:style w:type="table" w:customStyle="1" w:styleId="Standardowy18">
    <w:name w:val="Standardowy1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8">
    <w:name w:val="Bez listy18"/>
    <w:uiPriority w:val="99"/>
  </w:style>
  <w:style w:type="paragraph" w:customStyle="1" w:styleId="Normalny19">
    <w:name w:val="Normalny19"/>
    <w:qFormat/>
    <w:pPr>
      <w:spacing w:after="200"/>
    </w:pPr>
  </w:style>
  <w:style w:type="character" w:customStyle="1" w:styleId="Domylnaczcionkaakapitu19">
    <w:name w:val="Domyślna czcionka akapitu19"/>
    <w:uiPriority w:val="1"/>
  </w:style>
  <w:style w:type="table" w:customStyle="1" w:styleId="Standardowy19">
    <w:name w:val="Standardowy1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9">
    <w:name w:val="Bez listy19"/>
    <w:uiPriority w:val="99"/>
  </w:style>
  <w:style w:type="paragraph" w:customStyle="1" w:styleId="Normalny20">
    <w:name w:val="Normalny20"/>
    <w:qFormat/>
    <w:pPr>
      <w:spacing w:after="200"/>
    </w:pPr>
  </w:style>
  <w:style w:type="character" w:customStyle="1" w:styleId="Domylnaczcionkaakapitu20">
    <w:name w:val="Domyślna czcionka akapitu20"/>
    <w:uiPriority w:val="1"/>
  </w:style>
  <w:style w:type="table" w:customStyle="1" w:styleId="Standardowy20">
    <w:name w:val="Standardowy2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0">
    <w:name w:val="Bez listy20"/>
    <w:uiPriority w:val="99"/>
  </w:style>
  <w:style w:type="paragraph" w:customStyle="1" w:styleId="Normalny21">
    <w:name w:val="Normalny21"/>
    <w:qFormat/>
    <w:pPr>
      <w:spacing w:after="200"/>
    </w:pPr>
  </w:style>
  <w:style w:type="character" w:customStyle="1" w:styleId="Domylnaczcionkaakapitu21">
    <w:name w:val="Domyślna czcionka akapitu21"/>
    <w:uiPriority w:val="1"/>
  </w:style>
  <w:style w:type="table" w:customStyle="1" w:styleId="Standardowy21">
    <w:name w:val="Standardowy2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1">
    <w:name w:val="Bez listy21"/>
    <w:uiPriority w:val="99"/>
  </w:style>
  <w:style w:type="paragraph" w:customStyle="1" w:styleId="Normalny22">
    <w:name w:val="Normalny22"/>
    <w:qFormat/>
    <w:pPr>
      <w:spacing w:after="200"/>
    </w:pPr>
  </w:style>
  <w:style w:type="character" w:customStyle="1" w:styleId="Domylnaczcionkaakapitu22">
    <w:name w:val="Domyślna czcionka akapitu22"/>
    <w:uiPriority w:val="1"/>
  </w:style>
  <w:style w:type="table" w:customStyle="1" w:styleId="Standardowy22">
    <w:name w:val="Standardowy2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2">
    <w:name w:val="Bez listy22"/>
    <w:uiPriority w:val="99"/>
  </w:style>
  <w:style w:type="paragraph" w:customStyle="1" w:styleId="Normalny23">
    <w:name w:val="Normalny23"/>
    <w:qFormat/>
    <w:pPr>
      <w:spacing w:after="200"/>
    </w:pPr>
  </w:style>
  <w:style w:type="character" w:customStyle="1" w:styleId="Domylnaczcionkaakapitu23">
    <w:name w:val="Domyślna czcionka akapitu23"/>
    <w:uiPriority w:val="1"/>
  </w:style>
  <w:style w:type="table" w:customStyle="1" w:styleId="Standardowy23">
    <w:name w:val="Standardowy2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3">
    <w:name w:val="Bez listy23"/>
    <w:uiPriority w:val="99"/>
  </w:style>
  <w:style w:type="paragraph" w:customStyle="1" w:styleId="Normalny24">
    <w:name w:val="Normalny24"/>
    <w:qFormat/>
    <w:pPr>
      <w:spacing w:after="200"/>
    </w:pPr>
  </w:style>
  <w:style w:type="character" w:customStyle="1" w:styleId="Domylnaczcionkaakapitu24">
    <w:name w:val="Domyślna czcionka akapitu24"/>
    <w:uiPriority w:val="1"/>
  </w:style>
  <w:style w:type="table" w:customStyle="1" w:styleId="Standardowy24">
    <w:name w:val="Standardowy2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4">
    <w:name w:val="Bez listy24"/>
    <w:uiPriority w:val="99"/>
  </w:style>
  <w:style w:type="paragraph" w:customStyle="1" w:styleId="Normalny25">
    <w:name w:val="Normalny25"/>
    <w:qFormat/>
    <w:pPr>
      <w:spacing w:after="200"/>
    </w:pPr>
  </w:style>
  <w:style w:type="character" w:customStyle="1" w:styleId="Domylnaczcionkaakapitu25">
    <w:name w:val="Domyślna czcionka akapitu25"/>
    <w:uiPriority w:val="1"/>
  </w:style>
  <w:style w:type="table" w:customStyle="1" w:styleId="Standardowy25">
    <w:name w:val="Standardowy2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5">
    <w:name w:val="Bez listy25"/>
    <w:uiPriority w:val="99"/>
  </w:style>
  <w:style w:type="paragraph" w:customStyle="1" w:styleId="Normalny26">
    <w:name w:val="Normalny26"/>
    <w:qFormat/>
    <w:pPr>
      <w:spacing w:after="200"/>
    </w:pPr>
  </w:style>
  <w:style w:type="character" w:customStyle="1" w:styleId="Domylnaczcionkaakapitu26">
    <w:name w:val="Domyślna czcionka akapitu26"/>
    <w:uiPriority w:val="1"/>
  </w:style>
  <w:style w:type="table" w:customStyle="1" w:styleId="Standardowy26">
    <w:name w:val="Standardowy2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6">
    <w:name w:val="Bez listy26"/>
    <w:uiPriority w:val="99"/>
  </w:style>
  <w:style w:type="paragraph" w:customStyle="1" w:styleId="Normalny27">
    <w:name w:val="Normalny27"/>
    <w:qFormat/>
    <w:pPr>
      <w:spacing w:after="200"/>
    </w:pPr>
  </w:style>
  <w:style w:type="character" w:customStyle="1" w:styleId="Domylnaczcionkaakapitu27">
    <w:name w:val="Domyślna czcionka akapitu27"/>
    <w:uiPriority w:val="1"/>
  </w:style>
  <w:style w:type="table" w:customStyle="1" w:styleId="Standardowy27">
    <w:name w:val="Standardowy2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7">
    <w:name w:val="Bez listy27"/>
    <w:uiPriority w:val="99"/>
  </w:style>
  <w:style w:type="paragraph" w:customStyle="1" w:styleId="Normalny28">
    <w:name w:val="Normalny28"/>
    <w:qFormat/>
    <w:pPr>
      <w:spacing w:after="200"/>
    </w:pPr>
  </w:style>
  <w:style w:type="character" w:customStyle="1" w:styleId="Domylnaczcionkaakapitu28">
    <w:name w:val="Domyślna czcionka akapitu28"/>
    <w:uiPriority w:val="1"/>
  </w:style>
  <w:style w:type="table" w:customStyle="1" w:styleId="Standardowy28">
    <w:name w:val="Standardowy2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8">
    <w:name w:val="Bez listy28"/>
    <w:uiPriority w:val="99"/>
  </w:style>
  <w:style w:type="paragraph" w:customStyle="1" w:styleId="Normalny29">
    <w:name w:val="Normalny29"/>
    <w:qFormat/>
    <w:pPr>
      <w:spacing w:after="200"/>
    </w:pPr>
  </w:style>
  <w:style w:type="character" w:customStyle="1" w:styleId="Domylnaczcionkaakapitu29">
    <w:name w:val="Domyślna czcionka akapitu29"/>
    <w:uiPriority w:val="1"/>
  </w:style>
  <w:style w:type="table" w:customStyle="1" w:styleId="Standardowy29">
    <w:name w:val="Standardowy2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29">
    <w:name w:val="Bez listy29"/>
    <w:uiPriority w:val="99"/>
  </w:style>
  <w:style w:type="paragraph" w:customStyle="1" w:styleId="Normalny30">
    <w:name w:val="Normalny30"/>
    <w:qFormat/>
    <w:pPr>
      <w:spacing w:after="200"/>
    </w:pPr>
  </w:style>
  <w:style w:type="character" w:customStyle="1" w:styleId="Domylnaczcionkaakapitu30">
    <w:name w:val="Domyślna czcionka akapitu30"/>
    <w:uiPriority w:val="1"/>
  </w:style>
  <w:style w:type="table" w:customStyle="1" w:styleId="Standardowy30">
    <w:name w:val="Standardowy3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0">
    <w:name w:val="Bez listy30"/>
    <w:uiPriority w:val="99"/>
  </w:style>
  <w:style w:type="paragraph" w:customStyle="1" w:styleId="Normalny31">
    <w:name w:val="Normalny31"/>
    <w:qFormat/>
    <w:pPr>
      <w:spacing w:after="200"/>
    </w:pPr>
  </w:style>
  <w:style w:type="character" w:customStyle="1" w:styleId="Domylnaczcionkaakapitu31">
    <w:name w:val="Domyślna czcionka akapitu31"/>
    <w:uiPriority w:val="1"/>
  </w:style>
  <w:style w:type="table" w:customStyle="1" w:styleId="Standardowy31">
    <w:name w:val="Standardowy3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1">
    <w:name w:val="Bez listy31"/>
    <w:uiPriority w:val="99"/>
  </w:style>
  <w:style w:type="paragraph" w:customStyle="1" w:styleId="Normalny32">
    <w:name w:val="Normalny32"/>
    <w:qFormat/>
    <w:pPr>
      <w:spacing w:after="200"/>
    </w:pPr>
  </w:style>
  <w:style w:type="character" w:customStyle="1" w:styleId="Domylnaczcionkaakapitu32">
    <w:name w:val="Domyślna czcionka akapitu32"/>
    <w:uiPriority w:val="1"/>
  </w:style>
  <w:style w:type="table" w:customStyle="1" w:styleId="Standardowy32">
    <w:name w:val="Standardowy3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2">
    <w:name w:val="Bez listy32"/>
    <w:uiPriority w:val="99"/>
  </w:style>
  <w:style w:type="paragraph" w:customStyle="1" w:styleId="Normalny33">
    <w:name w:val="Normalny33"/>
    <w:qFormat/>
    <w:pPr>
      <w:spacing w:after="200"/>
    </w:pPr>
  </w:style>
  <w:style w:type="character" w:customStyle="1" w:styleId="Domylnaczcionkaakapitu33">
    <w:name w:val="Domyślna czcionka akapitu33"/>
    <w:uiPriority w:val="1"/>
  </w:style>
  <w:style w:type="table" w:customStyle="1" w:styleId="Standardowy33">
    <w:name w:val="Standardowy3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3">
    <w:name w:val="Bez listy33"/>
    <w:uiPriority w:val="99"/>
  </w:style>
  <w:style w:type="paragraph" w:customStyle="1" w:styleId="Normalny34">
    <w:name w:val="Normalny34"/>
    <w:qFormat/>
    <w:pPr>
      <w:spacing w:after="200"/>
    </w:pPr>
  </w:style>
  <w:style w:type="character" w:customStyle="1" w:styleId="Domylnaczcionkaakapitu34">
    <w:name w:val="Domyślna czcionka akapitu34"/>
    <w:uiPriority w:val="1"/>
  </w:style>
  <w:style w:type="table" w:customStyle="1" w:styleId="Standardowy34">
    <w:name w:val="Standardowy3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4">
    <w:name w:val="Bez listy34"/>
    <w:uiPriority w:val="99"/>
  </w:style>
  <w:style w:type="paragraph" w:customStyle="1" w:styleId="Normalny35">
    <w:name w:val="Normalny35"/>
    <w:qFormat/>
    <w:pPr>
      <w:spacing w:after="200"/>
    </w:pPr>
  </w:style>
  <w:style w:type="character" w:customStyle="1" w:styleId="Domylnaczcionkaakapitu35">
    <w:name w:val="Domyślna czcionka akapitu35"/>
    <w:uiPriority w:val="1"/>
  </w:style>
  <w:style w:type="table" w:customStyle="1" w:styleId="Standardowy35">
    <w:name w:val="Standardowy3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5">
    <w:name w:val="Bez listy35"/>
    <w:uiPriority w:val="99"/>
  </w:style>
  <w:style w:type="paragraph" w:customStyle="1" w:styleId="Normalny36">
    <w:name w:val="Normalny36"/>
    <w:qFormat/>
    <w:pPr>
      <w:spacing w:after="200"/>
    </w:pPr>
  </w:style>
  <w:style w:type="character" w:customStyle="1" w:styleId="Domylnaczcionkaakapitu36">
    <w:name w:val="Domyślna czcionka akapitu36"/>
    <w:uiPriority w:val="1"/>
  </w:style>
  <w:style w:type="table" w:customStyle="1" w:styleId="Standardowy36">
    <w:name w:val="Standardowy3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6">
    <w:name w:val="Bez listy36"/>
    <w:uiPriority w:val="99"/>
  </w:style>
  <w:style w:type="paragraph" w:customStyle="1" w:styleId="Normalny37">
    <w:name w:val="Normalny37"/>
    <w:qFormat/>
    <w:pPr>
      <w:spacing w:after="200"/>
    </w:pPr>
  </w:style>
  <w:style w:type="character" w:customStyle="1" w:styleId="Domylnaczcionkaakapitu37">
    <w:name w:val="Domyślna czcionka akapitu37"/>
    <w:uiPriority w:val="1"/>
  </w:style>
  <w:style w:type="table" w:customStyle="1" w:styleId="Standardowy37">
    <w:name w:val="Standardowy3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7">
    <w:name w:val="Bez listy37"/>
    <w:uiPriority w:val="99"/>
  </w:style>
  <w:style w:type="paragraph" w:customStyle="1" w:styleId="Normalny38">
    <w:name w:val="Normalny38"/>
    <w:qFormat/>
    <w:pPr>
      <w:spacing w:after="200"/>
    </w:pPr>
  </w:style>
  <w:style w:type="character" w:customStyle="1" w:styleId="Domylnaczcionkaakapitu38">
    <w:name w:val="Domyślna czcionka akapitu38"/>
    <w:uiPriority w:val="1"/>
  </w:style>
  <w:style w:type="table" w:customStyle="1" w:styleId="Standardowy38">
    <w:name w:val="Standardowy3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8">
    <w:name w:val="Bez listy38"/>
    <w:uiPriority w:val="99"/>
  </w:style>
  <w:style w:type="paragraph" w:customStyle="1" w:styleId="Normalny39">
    <w:name w:val="Normalny39"/>
    <w:qFormat/>
    <w:pPr>
      <w:spacing w:after="200"/>
    </w:pPr>
  </w:style>
  <w:style w:type="character" w:customStyle="1" w:styleId="Domylnaczcionkaakapitu39">
    <w:name w:val="Domyślna czcionka akapitu39"/>
    <w:uiPriority w:val="1"/>
  </w:style>
  <w:style w:type="table" w:customStyle="1" w:styleId="Standardowy39">
    <w:name w:val="Standardowy3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39">
    <w:name w:val="Bez listy39"/>
    <w:uiPriority w:val="99"/>
  </w:style>
  <w:style w:type="paragraph" w:customStyle="1" w:styleId="Normalny40">
    <w:name w:val="Normalny40"/>
    <w:qFormat/>
    <w:pPr>
      <w:spacing w:after="200"/>
    </w:pPr>
  </w:style>
  <w:style w:type="character" w:customStyle="1" w:styleId="Domylnaczcionkaakapitu40">
    <w:name w:val="Domyślna czcionka akapitu40"/>
    <w:uiPriority w:val="1"/>
  </w:style>
  <w:style w:type="table" w:customStyle="1" w:styleId="Standardowy40">
    <w:name w:val="Standardowy4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0">
    <w:name w:val="Bez listy40"/>
    <w:uiPriority w:val="99"/>
  </w:style>
  <w:style w:type="paragraph" w:customStyle="1" w:styleId="Normalny41">
    <w:name w:val="Normalny41"/>
    <w:qFormat/>
    <w:pPr>
      <w:spacing w:after="200"/>
    </w:pPr>
  </w:style>
  <w:style w:type="character" w:customStyle="1" w:styleId="Domylnaczcionkaakapitu41">
    <w:name w:val="Domyślna czcionka akapitu41"/>
    <w:uiPriority w:val="1"/>
  </w:style>
  <w:style w:type="table" w:customStyle="1" w:styleId="Standardowy41">
    <w:name w:val="Standardowy4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1">
    <w:name w:val="Bez listy41"/>
    <w:uiPriority w:val="99"/>
  </w:style>
  <w:style w:type="paragraph" w:customStyle="1" w:styleId="Normalny42">
    <w:name w:val="Normalny42"/>
    <w:qFormat/>
    <w:pPr>
      <w:spacing w:after="200"/>
    </w:pPr>
  </w:style>
  <w:style w:type="character" w:customStyle="1" w:styleId="Domylnaczcionkaakapitu42">
    <w:name w:val="Domyślna czcionka akapitu42"/>
    <w:uiPriority w:val="1"/>
  </w:style>
  <w:style w:type="table" w:customStyle="1" w:styleId="Standardowy42">
    <w:name w:val="Standardowy4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2">
    <w:name w:val="Bez listy42"/>
    <w:uiPriority w:val="99"/>
  </w:style>
  <w:style w:type="paragraph" w:customStyle="1" w:styleId="Normalny43">
    <w:name w:val="Normalny43"/>
    <w:qFormat/>
    <w:pPr>
      <w:spacing w:after="200"/>
    </w:pPr>
  </w:style>
  <w:style w:type="character" w:customStyle="1" w:styleId="Domylnaczcionkaakapitu43">
    <w:name w:val="Domyślna czcionka akapitu43"/>
    <w:uiPriority w:val="1"/>
  </w:style>
  <w:style w:type="table" w:customStyle="1" w:styleId="Standardowy43">
    <w:name w:val="Standardowy4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3">
    <w:name w:val="Bez listy43"/>
    <w:uiPriority w:val="99"/>
  </w:style>
  <w:style w:type="paragraph" w:customStyle="1" w:styleId="Normalny44">
    <w:name w:val="Normalny44"/>
    <w:qFormat/>
    <w:pPr>
      <w:spacing w:after="200"/>
    </w:pPr>
  </w:style>
  <w:style w:type="character" w:customStyle="1" w:styleId="Domylnaczcionkaakapitu44">
    <w:name w:val="Domyślna czcionka akapitu44"/>
    <w:uiPriority w:val="1"/>
  </w:style>
  <w:style w:type="table" w:customStyle="1" w:styleId="Standardowy44">
    <w:name w:val="Standardowy4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4">
    <w:name w:val="Bez listy44"/>
    <w:uiPriority w:val="99"/>
  </w:style>
  <w:style w:type="paragraph" w:customStyle="1" w:styleId="Normalny45">
    <w:name w:val="Normalny45"/>
    <w:qFormat/>
    <w:pPr>
      <w:spacing w:after="200"/>
    </w:pPr>
  </w:style>
  <w:style w:type="character" w:customStyle="1" w:styleId="Domylnaczcionkaakapitu45">
    <w:name w:val="Domyślna czcionka akapitu45"/>
    <w:uiPriority w:val="1"/>
  </w:style>
  <w:style w:type="table" w:customStyle="1" w:styleId="Standardowy45">
    <w:name w:val="Standardowy4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5">
    <w:name w:val="Bez listy45"/>
    <w:uiPriority w:val="99"/>
  </w:style>
  <w:style w:type="paragraph" w:customStyle="1" w:styleId="Normalny46">
    <w:name w:val="Normalny46"/>
    <w:qFormat/>
    <w:pPr>
      <w:spacing w:after="200"/>
    </w:pPr>
  </w:style>
  <w:style w:type="character" w:customStyle="1" w:styleId="Domylnaczcionkaakapitu46">
    <w:name w:val="Domyślna czcionka akapitu46"/>
    <w:uiPriority w:val="1"/>
  </w:style>
  <w:style w:type="table" w:customStyle="1" w:styleId="Standardowy46">
    <w:name w:val="Standardowy4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6">
    <w:name w:val="Bez listy46"/>
    <w:uiPriority w:val="99"/>
  </w:style>
  <w:style w:type="paragraph" w:customStyle="1" w:styleId="Normalny47">
    <w:name w:val="Normalny47"/>
    <w:qFormat/>
    <w:pPr>
      <w:spacing w:after="200"/>
    </w:pPr>
  </w:style>
  <w:style w:type="character" w:customStyle="1" w:styleId="Domylnaczcionkaakapitu47">
    <w:name w:val="Domyślna czcionka akapitu47"/>
    <w:uiPriority w:val="1"/>
  </w:style>
  <w:style w:type="table" w:customStyle="1" w:styleId="Standardowy47">
    <w:name w:val="Standardowy4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7">
    <w:name w:val="Bez listy47"/>
    <w:uiPriority w:val="99"/>
  </w:style>
  <w:style w:type="paragraph" w:customStyle="1" w:styleId="Normalny48">
    <w:name w:val="Normalny48"/>
    <w:qFormat/>
    <w:pPr>
      <w:spacing w:after="200"/>
    </w:pPr>
  </w:style>
  <w:style w:type="character" w:customStyle="1" w:styleId="Domylnaczcionkaakapitu48">
    <w:name w:val="Domyślna czcionka akapitu48"/>
    <w:uiPriority w:val="1"/>
  </w:style>
  <w:style w:type="table" w:customStyle="1" w:styleId="Standardowy48">
    <w:name w:val="Standardowy4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8">
    <w:name w:val="Bez listy48"/>
    <w:uiPriority w:val="99"/>
  </w:style>
  <w:style w:type="paragraph" w:customStyle="1" w:styleId="Normalny49">
    <w:name w:val="Normalny49"/>
    <w:qFormat/>
    <w:pPr>
      <w:spacing w:after="200"/>
    </w:pPr>
  </w:style>
  <w:style w:type="character" w:customStyle="1" w:styleId="Domylnaczcionkaakapitu49">
    <w:name w:val="Domyślna czcionka akapitu49"/>
    <w:uiPriority w:val="1"/>
  </w:style>
  <w:style w:type="table" w:customStyle="1" w:styleId="Standardowy49">
    <w:name w:val="Standardowy4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49">
    <w:name w:val="Bez listy49"/>
    <w:uiPriority w:val="99"/>
  </w:style>
  <w:style w:type="paragraph" w:customStyle="1" w:styleId="Normalny50">
    <w:name w:val="Normalny50"/>
    <w:qFormat/>
    <w:pPr>
      <w:spacing w:after="200"/>
    </w:pPr>
  </w:style>
  <w:style w:type="character" w:customStyle="1" w:styleId="Domylnaczcionkaakapitu50">
    <w:name w:val="Domyślna czcionka akapitu50"/>
    <w:uiPriority w:val="1"/>
  </w:style>
  <w:style w:type="table" w:customStyle="1" w:styleId="Standardowy50">
    <w:name w:val="Standardowy5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0">
    <w:name w:val="Bez listy50"/>
    <w:uiPriority w:val="99"/>
  </w:style>
  <w:style w:type="paragraph" w:customStyle="1" w:styleId="Normalny51">
    <w:name w:val="Normalny51"/>
    <w:qFormat/>
    <w:pPr>
      <w:spacing w:after="200"/>
    </w:pPr>
  </w:style>
  <w:style w:type="character" w:customStyle="1" w:styleId="Domylnaczcionkaakapitu51">
    <w:name w:val="Domyślna czcionka akapitu51"/>
    <w:uiPriority w:val="1"/>
  </w:style>
  <w:style w:type="table" w:customStyle="1" w:styleId="Standardowy51">
    <w:name w:val="Standardowy5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1">
    <w:name w:val="Bez listy51"/>
    <w:uiPriority w:val="99"/>
  </w:style>
  <w:style w:type="paragraph" w:customStyle="1" w:styleId="Normalny52">
    <w:name w:val="Normalny52"/>
    <w:qFormat/>
    <w:pPr>
      <w:spacing w:after="200"/>
    </w:pPr>
  </w:style>
  <w:style w:type="character" w:customStyle="1" w:styleId="Domylnaczcionkaakapitu52">
    <w:name w:val="Domyślna czcionka akapitu52"/>
    <w:uiPriority w:val="1"/>
  </w:style>
  <w:style w:type="table" w:customStyle="1" w:styleId="Standardowy52">
    <w:name w:val="Standardowy5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2">
    <w:name w:val="Bez listy52"/>
    <w:uiPriority w:val="99"/>
  </w:style>
  <w:style w:type="paragraph" w:customStyle="1" w:styleId="Normalny53">
    <w:name w:val="Normalny53"/>
    <w:qFormat/>
    <w:pPr>
      <w:spacing w:after="200"/>
    </w:pPr>
  </w:style>
  <w:style w:type="character" w:customStyle="1" w:styleId="Domylnaczcionkaakapitu53">
    <w:name w:val="Domyślna czcionka akapitu53"/>
    <w:uiPriority w:val="1"/>
  </w:style>
  <w:style w:type="table" w:customStyle="1" w:styleId="Standardowy53">
    <w:name w:val="Standardowy5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3">
    <w:name w:val="Bez listy53"/>
    <w:uiPriority w:val="99"/>
  </w:style>
  <w:style w:type="paragraph" w:customStyle="1" w:styleId="Normalny54">
    <w:name w:val="Normalny54"/>
    <w:qFormat/>
    <w:pPr>
      <w:spacing w:after="200"/>
    </w:pPr>
  </w:style>
  <w:style w:type="character" w:customStyle="1" w:styleId="Domylnaczcionkaakapitu54">
    <w:name w:val="Domyślna czcionka akapitu54"/>
    <w:uiPriority w:val="1"/>
  </w:style>
  <w:style w:type="table" w:customStyle="1" w:styleId="Standardowy54">
    <w:name w:val="Standardowy5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4">
    <w:name w:val="Bez listy54"/>
    <w:uiPriority w:val="99"/>
  </w:style>
  <w:style w:type="paragraph" w:customStyle="1" w:styleId="Normalny55">
    <w:name w:val="Normalny55"/>
    <w:qFormat/>
    <w:pPr>
      <w:spacing w:after="200"/>
    </w:pPr>
  </w:style>
  <w:style w:type="character" w:customStyle="1" w:styleId="Domylnaczcionkaakapitu55">
    <w:name w:val="Domyślna czcionka akapitu55"/>
    <w:uiPriority w:val="1"/>
  </w:style>
  <w:style w:type="table" w:customStyle="1" w:styleId="Standardowy55">
    <w:name w:val="Standardowy5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5">
    <w:name w:val="Bez listy55"/>
    <w:uiPriority w:val="99"/>
  </w:style>
  <w:style w:type="paragraph" w:customStyle="1" w:styleId="Normalny56">
    <w:name w:val="Normalny56"/>
    <w:qFormat/>
    <w:pPr>
      <w:spacing w:after="200"/>
    </w:pPr>
  </w:style>
  <w:style w:type="character" w:customStyle="1" w:styleId="Domylnaczcionkaakapitu56">
    <w:name w:val="Domyślna czcionka akapitu56"/>
    <w:uiPriority w:val="1"/>
  </w:style>
  <w:style w:type="table" w:customStyle="1" w:styleId="Standardowy56">
    <w:name w:val="Standardowy5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6">
    <w:name w:val="Bez listy56"/>
    <w:uiPriority w:val="99"/>
  </w:style>
  <w:style w:type="paragraph" w:customStyle="1" w:styleId="Normalny57">
    <w:name w:val="Normalny57"/>
    <w:qFormat/>
    <w:pPr>
      <w:spacing w:after="200"/>
    </w:pPr>
  </w:style>
  <w:style w:type="character" w:customStyle="1" w:styleId="Domylnaczcionkaakapitu57">
    <w:name w:val="Domyślna czcionka akapitu57"/>
    <w:uiPriority w:val="1"/>
  </w:style>
  <w:style w:type="table" w:customStyle="1" w:styleId="Standardowy57">
    <w:name w:val="Standardowy5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7">
    <w:name w:val="Bez listy57"/>
    <w:uiPriority w:val="99"/>
  </w:style>
  <w:style w:type="paragraph" w:customStyle="1" w:styleId="Normalny58">
    <w:name w:val="Normalny58"/>
    <w:qFormat/>
    <w:pPr>
      <w:spacing w:after="200"/>
    </w:pPr>
  </w:style>
  <w:style w:type="character" w:customStyle="1" w:styleId="Domylnaczcionkaakapitu58">
    <w:name w:val="Domyślna czcionka akapitu58"/>
    <w:uiPriority w:val="1"/>
  </w:style>
  <w:style w:type="table" w:customStyle="1" w:styleId="Standardowy58">
    <w:name w:val="Standardowy5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8">
    <w:name w:val="Bez listy58"/>
    <w:uiPriority w:val="99"/>
  </w:style>
  <w:style w:type="paragraph" w:customStyle="1" w:styleId="Normalny59">
    <w:name w:val="Normalny59"/>
    <w:qFormat/>
    <w:pPr>
      <w:spacing w:after="200"/>
    </w:pPr>
  </w:style>
  <w:style w:type="character" w:customStyle="1" w:styleId="Domylnaczcionkaakapitu59">
    <w:name w:val="Domyślna czcionka akapitu59"/>
    <w:uiPriority w:val="1"/>
  </w:style>
  <w:style w:type="table" w:customStyle="1" w:styleId="Standardowy59">
    <w:name w:val="Standardowy5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59">
    <w:name w:val="Bez listy59"/>
    <w:uiPriority w:val="99"/>
  </w:style>
  <w:style w:type="paragraph" w:customStyle="1" w:styleId="Normalny60">
    <w:name w:val="Normalny60"/>
    <w:qFormat/>
    <w:pPr>
      <w:spacing w:after="200"/>
    </w:pPr>
  </w:style>
  <w:style w:type="character" w:customStyle="1" w:styleId="Domylnaczcionkaakapitu60">
    <w:name w:val="Domyślna czcionka akapitu60"/>
    <w:uiPriority w:val="1"/>
  </w:style>
  <w:style w:type="table" w:customStyle="1" w:styleId="Standardowy60">
    <w:name w:val="Standardowy6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0">
    <w:name w:val="Bez listy60"/>
    <w:uiPriority w:val="99"/>
  </w:style>
  <w:style w:type="paragraph" w:customStyle="1" w:styleId="Normalny61">
    <w:name w:val="Normalny61"/>
    <w:qFormat/>
    <w:pPr>
      <w:spacing w:after="200"/>
    </w:pPr>
  </w:style>
  <w:style w:type="character" w:customStyle="1" w:styleId="Domylnaczcionkaakapitu61">
    <w:name w:val="Domyślna czcionka akapitu61"/>
    <w:uiPriority w:val="1"/>
  </w:style>
  <w:style w:type="table" w:customStyle="1" w:styleId="Standardowy61">
    <w:name w:val="Standardowy6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1">
    <w:name w:val="Bez listy61"/>
    <w:uiPriority w:val="99"/>
  </w:style>
  <w:style w:type="paragraph" w:customStyle="1" w:styleId="Normalny62">
    <w:name w:val="Normalny62"/>
    <w:qFormat/>
    <w:pPr>
      <w:spacing w:after="200"/>
    </w:pPr>
  </w:style>
  <w:style w:type="character" w:customStyle="1" w:styleId="Domylnaczcionkaakapitu62">
    <w:name w:val="Domyślna czcionka akapitu62"/>
    <w:uiPriority w:val="1"/>
  </w:style>
  <w:style w:type="table" w:customStyle="1" w:styleId="Standardowy62">
    <w:name w:val="Standardowy6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2">
    <w:name w:val="Bez listy62"/>
    <w:uiPriority w:val="99"/>
  </w:style>
  <w:style w:type="paragraph" w:customStyle="1" w:styleId="Normalny63">
    <w:name w:val="Normalny63"/>
    <w:qFormat/>
    <w:pPr>
      <w:spacing w:after="200"/>
    </w:pPr>
  </w:style>
  <w:style w:type="character" w:customStyle="1" w:styleId="Domylnaczcionkaakapitu63">
    <w:name w:val="Domyślna czcionka akapitu63"/>
    <w:uiPriority w:val="1"/>
  </w:style>
  <w:style w:type="table" w:customStyle="1" w:styleId="Standardowy63">
    <w:name w:val="Standardowy6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3">
    <w:name w:val="Bez listy63"/>
    <w:uiPriority w:val="99"/>
  </w:style>
  <w:style w:type="paragraph" w:customStyle="1" w:styleId="Normalny64">
    <w:name w:val="Normalny64"/>
    <w:qFormat/>
    <w:pPr>
      <w:spacing w:after="200"/>
    </w:pPr>
  </w:style>
  <w:style w:type="character" w:customStyle="1" w:styleId="Domylnaczcionkaakapitu64">
    <w:name w:val="Domyślna czcionka akapitu64"/>
    <w:uiPriority w:val="1"/>
  </w:style>
  <w:style w:type="table" w:customStyle="1" w:styleId="Standardowy64">
    <w:name w:val="Standardowy6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4">
    <w:name w:val="Bez listy64"/>
    <w:uiPriority w:val="99"/>
  </w:style>
  <w:style w:type="paragraph" w:customStyle="1" w:styleId="Normalny65">
    <w:name w:val="Normalny65"/>
    <w:qFormat/>
    <w:pPr>
      <w:spacing w:after="200"/>
    </w:pPr>
  </w:style>
  <w:style w:type="character" w:customStyle="1" w:styleId="Domylnaczcionkaakapitu65">
    <w:name w:val="Domyślna czcionka akapitu65"/>
    <w:uiPriority w:val="1"/>
  </w:style>
  <w:style w:type="table" w:customStyle="1" w:styleId="Standardowy65">
    <w:name w:val="Standardowy6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5">
    <w:name w:val="Bez listy65"/>
    <w:uiPriority w:val="99"/>
  </w:style>
  <w:style w:type="paragraph" w:customStyle="1" w:styleId="Normalny66">
    <w:name w:val="Normalny66"/>
    <w:qFormat/>
    <w:pPr>
      <w:spacing w:after="200"/>
    </w:pPr>
  </w:style>
  <w:style w:type="character" w:customStyle="1" w:styleId="Domylnaczcionkaakapitu66">
    <w:name w:val="Domyślna czcionka akapitu66"/>
    <w:uiPriority w:val="1"/>
  </w:style>
  <w:style w:type="table" w:customStyle="1" w:styleId="Standardowy66">
    <w:name w:val="Standardowy6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6">
    <w:name w:val="Bez listy66"/>
    <w:uiPriority w:val="99"/>
  </w:style>
  <w:style w:type="paragraph" w:customStyle="1" w:styleId="Normalny67">
    <w:name w:val="Normalny67"/>
    <w:qFormat/>
    <w:pPr>
      <w:spacing w:after="200"/>
    </w:pPr>
  </w:style>
  <w:style w:type="character" w:customStyle="1" w:styleId="Domylnaczcionkaakapitu67">
    <w:name w:val="Domyślna czcionka akapitu67"/>
    <w:uiPriority w:val="1"/>
  </w:style>
  <w:style w:type="table" w:customStyle="1" w:styleId="Standardowy67">
    <w:name w:val="Standardowy6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7">
    <w:name w:val="Bez listy67"/>
    <w:uiPriority w:val="99"/>
  </w:style>
  <w:style w:type="paragraph" w:customStyle="1" w:styleId="Normalny68">
    <w:name w:val="Normalny68"/>
    <w:qFormat/>
    <w:pPr>
      <w:spacing w:after="200"/>
    </w:pPr>
  </w:style>
  <w:style w:type="character" w:customStyle="1" w:styleId="Domylnaczcionkaakapitu68">
    <w:name w:val="Domyślna czcionka akapitu68"/>
    <w:uiPriority w:val="1"/>
  </w:style>
  <w:style w:type="table" w:customStyle="1" w:styleId="Standardowy68">
    <w:name w:val="Standardowy6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8">
    <w:name w:val="Bez listy68"/>
    <w:uiPriority w:val="99"/>
  </w:style>
  <w:style w:type="paragraph" w:customStyle="1" w:styleId="Normalny69">
    <w:name w:val="Normalny69"/>
    <w:qFormat/>
    <w:pPr>
      <w:spacing w:after="200"/>
    </w:pPr>
  </w:style>
  <w:style w:type="character" w:customStyle="1" w:styleId="Domylnaczcionkaakapitu69">
    <w:name w:val="Domyślna czcionka akapitu69"/>
    <w:uiPriority w:val="1"/>
  </w:style>
  <w:style w:type="table" w:customStyle="1" w:styleId="Standardowy69">
    <w:name w:val="Standardowy6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69">
    <w:name w:val="Bez listy69"/>
    <w:uiPriority w:val="99"/>
  </w:style>
  <w:style w:type="paragraph" w:customStyle="1" w:styleId="Normalny70">
    <w:name w:val="Normalny70"/>
    <w:qFormat/>
    <w:pPr>
      <w:spacing w:after="200"/>
    </w:pPr>
  </w:style>
  <w:style w:type="character" w:customStyle="1" w:styleId="Domylnaczcionkaakapitu70">
    <w:name w:val="Domyślna czcionka akapitu70"/>
    <w:uiPriority w:val="1"/>
  </w:style>
  <w:style w:type="table" w:customStyle="1" w:styleId="Standardowy70">
    <w:name w:val="Standardowy7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0">
    <w:name w:val="Bez listy70"/>
    <w:uiPriority w:val="99"/>
  </w:style>
  <w:style w:type="paragraph" w:customStyle="1" w:styleId="Normalny71">
    <w:name w:val="Normalny71"/>
    <w:qFormat/>
    <w:pPr>
      <w:spacing w:after="200"/>
    </w:pPr>
  </w:style>
  <w:style w:type="character" w:customStyle="1" w:styleId="Domylnaczcionkaakapitu71">
    <w:name w:val="Domyślna czcionka akapitu71"/>
    <w:uiPriority w:val="1"/>
  </w:style>
  <w:style w:type="table" w:customStyle="1" w:styleId="Standardowy71">
    <w:name w:val="Standardowy7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1">
    <w:name w:val="Bez listy71"/>
    <w:uiPriority w:val="99"/>
  </w:style>
  <w:style w:type="paragraph" w:customStyle="1" w:styleId="Normalny72">
    <w:name w:val="Normalny72"/>
    <w:qFormat/>
    <w:pPr>
      <w:spacing w:after="200"/>
    </w:pPr>
  </w:style>
  <w:style w:type="character" w:customStyle="1" w:styleId="Domylnaczcionkaakapitu72">
    <w:name w:val="Domyślna czcionka akapitu72"/>
    <w:uiPriority w:val="1"/>
  </w:style>
  <w:style w:type="table" w:customStyle="1" w:styleId="Standardowy72">
    <w:name w:val="Standardowy7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2">
    <w:name w:val="Bez listy72"/>
    <w:uiPriority w:val="99"/>
  </w:style>
  <w:style w:type="paragraph" w:customStyle="1" w:styleId="Normalny73">
    <w:name w:val="Normalny73"/>
    <w:qFormat/>
    <w:pPr>
      <w:spacing w:after="200"/>
    </w:pPr>
  </w:style>
  <w:style w:type="character" w:customStyle="1" w:styleId="Domylnaczcionkaakapitu73">
    <w:name w:val="Domyślna czcionka akapitu73"/>
    <w:uiPriority w:val="1"/>
  </w:style>
  <w:style w:type="table" w:customStyle="1" w:styleId="Standardowy73">
    <w:name w:val="Standardowy7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3">
    <w:name w:val="Bez listy73"/>
    <w:uiPriority w:val="99"/>
  </w:style>
  <w:style w:type="paragraph" w:customStyle="1" w:styleId="Normalny74">
    <w:name w:val="Normalny74"/>
    <w:qFormat/>
    <w:pPr>
      <w:spacing w:after="200"/>
    </w:pPr>
  </w:style>
  <w:style w:type="character" w:customStyle="1" w:styleId="Domylnaczcionkaakapitu74">
    <w:name w:val="Domyślna czcionka akapitu74"/>
    <w:uiPriority w:val="1"/>
  </w:style>
  <w:style w:type="table" w:customStyle="1" w:styleId="Standardowy74">
    <w:name w:val="Standardowy7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4">
    <w:name w:val="Bez listy74"/>
    <w:uiPriority w:val="99"/>
  </w:style>
  <w:style w:type="paragraph" w:customStyle="1" w:styleId="Normalny75">
    <w:name w:val="Normalny75"/>
    <w:qFormat/>
    <w:pPr>
      <w:spacing w:after="200"/>
    </w:pPr>
  </w:style>
  <w:style w:type="character" w:customStyle="1" w:styleId="Domylnaczcionkaakapitu75">
    <w:name w:val="Domyślna czcionka akapitu75"/>
    <w:uiPriority w:val="1"/>
  </w:style>
  <w:style w:type="table" w:customStyle="1" w:styleId="Standardowy75">
    <w:name w:val="Standardowy7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5">
    <w:name w:val="Bez listy75"/>
    <w:uiPriority w:val="99"/>
  </w:style>
  <w:style w:type="paragraph" w:customStyle="1" w:styleId="Normalny76">
    <w:name w:val="Normalny76"/>
    <w:qFormat/>
    <w:pPr>
      <w:spacing w:after="200"/>
    </w:pPr>
  </w:style>
  <w:style w:type="character" w:customStyle="1" w:styleId="Domylnaczcionkaakapitu76">
    <w:name w:val="Domyślna czcionka akapitu76"/>
    <w:uiPriority w:val="1"/>
  </w:style>
  <w:style w:type="table" w:customStyle="1" w:styleId="Standardowy76">
    <w:name w:val="Standardowy7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6">
    <w:name w:val="Bez listy76"/>
    <w:uiPriority w:val="99"/>
  </w:style>
  <w:style w:type="paragraph" w:customStyle="1" w:styleId="Normalny77">
    <w:name w:val="Normalny77"/>
    <w:qFormat/>
    <w:pPr>
      <w:spacing w:after="200"/>
    </w:pPr>
  </w:style>
  <w:style w:type="character" w:customStyle="1" w:styleId="Domylnaczcionkaakapitu77">
    <w:name w:val="Domyślna czcionka akapitu77"/>
    <w:uiPriority w:val="1"/>
  </w:style>
  <w:style w:type="table" w:customStyle="1" w:styleId="Standardowy77">
    <w:name w:val="Standardowy7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7">
    <w:name w:val="Bez listy77"/>
    <w:uiPriority w:val="99"/>
  </w:style>
  <w:style w:type="paragraph" w:customStyle="1" w:styleId="Normalny78">
    <w:name w:val="Normalny78"/>
    <w:qFormat/>
    <w:pPr>
      <w:spacing w:after="200"/>
    </w:pPr>
  </w:style>
  <w:style w:type="character" w:customStyle="1" w:styleId="Domylnaczcionkaakapitu78">
    <w:name w:val="Domyślna czcionka akapitu78"/>
    <w:uiPriority w:val="1"/>
  </w:style>
  <w:style w:type="table" w:customStyle="1" w:styleId="Standardowy78">
    <w:name w:val="Standardowy7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8">
    <w:name w:val="Bez listy78"/>
    <w:uiPriority w:val="99"/>
  </w:style>
  <w:style w:type="paragraph" w:customStyle="1" w:styleId="Normalny79">
    <w:name w:val="Normalny79"/>
    <w:qFormat/>
    <w:pPr>
      <w:spacing w:after="200"/>
    </w:pPr>
  </w:style>
  <w:style w:type="character" w:customStyle="1" w:styleId="Domylnaczcionkaakapitu79">
    <w:name w:val="Domyślna czcionka akapitu79"/>
    <w:uiPriority w:val="1"/>
  </w:style>
  <w:style w:type="table" w:customStyle="1" w:styleId="Standardowy79">
    <w:name w:val="Standardowy7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79">
    <w:name w:val="Bez listy79"/>
    <w:uiPriority w:val="99"/>
  </w:style>
  <w:style w:type="paragraph" w:customStyle="1" w:styleId="Normalny80">
    <w:name w:val="Normalny80"/>
    <w:qFormat/>
    <w:pPr>
      <w:spacing w:after="200"/>
    </w:pPr>
  </w:style>
  <w:style w:type="character" w:customStyle="1" w:styleId="Domylnaczcionkaakapitu80">
    <w:name w:val="Domyślna czcionka akapitu80"/>
    <w:uiPriority w:val="1"/>
  </w:style>
  <w:style w:type="table" w:customStyle="1" w:styleId="Standardowy80">
    <w:name w:val="Standardowy8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0">
    <w:name w:val="Bez listy80"/>
    <w:uiPriority w:val="99"/>
  </w:style>
  <w:style w:type="paragraph" w:customStyle="1" w:styleId="Normalny81">
    <w:name w:val="Normalny81"/>
    <w:qFormat/>
    <w:pPr>
      <w:spacing w:after="200"/>
    </w:pPr>
  </w:style>
  <w:style w:type="character" w:customStyle="1" w:styleId="Domylnaczcionkaakapitu81">
    <w:name w:val="Domyślna czcionka akapitu81"/>
    <w:uiPriority w:val="1"/>
  </w:style>
  <w:style w:type="table" w:customStyle="1" w:styleId="Standardowy81">
    <w:name w:val="Standardowy8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1">
    <w:name w:val="Bez listy81"/>
    <w:uiPriority w:val="99"/>
  </w:style>
  <w:style w:type="paragraph" w:customStyle="1" w:styleId="Normalny82">
    <w:name w:val="Normalny82"/>
    <w:qFormat/>
    <w:pPr>
      <w:spacing w:after="200"/>
    </w:pPr>
  </w:style>
  <w:style w:type="character" w:customStyle="1" w:styleId="Domylnaczcionkaakapitu82">
    <w:name w:val="Domyślna czcionka akapitu82"/>
    <w:uiPriority w:val="1"/>
  </w:style>
  <w:style w:type="table" w:customStyle="1" w:styleId="Standardowy82">
    <w:name w:val="Standardowy8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2">
    <w:name w:val="Bez listy82"/>
    <w:uiPriority w:val="99"/>
  </w:style>
  <w:style w:type="paragraph" w:customStyle="1" w:styleId="Normalny83">
    <w:name w:val="Normalny83"/>
    <w:qFormat/>
    <w:pPr>
      <w:spacing w:after="200"/>
    </w:pPr>
  </w:style>
  <w:style w:type="character" w:customStyle="1" w:styleId="Domylnaczcionkaakapitu83">
    <w:name w:val="Domyślna czcionka akapitu83"/>
    <w:uiPriority w:val="1"/>
  </w:style>
  <w:style w:type="table" w:customStyle="1" w:styleId="Standardowy83">
    <w:name w:val="Standardowy8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3">
    <w:name w:val="Bez listy83"/>
    <w:uiPriority w:val="99"/>
  </w:style>
  <w:style w:type="paragraph" w:customStyle="1" w:styleId="Normalny84">
    <w:name w:val="Normalny84"/>
    <w:qFormat/>
    <w:pPr>
      <w:spacing w:after="200"/>
    </w:pPr>
  </w:style>
  <w:style w:type="character" w:customStyle="1" w:styleId="Domylnaczcionkaakapitu84">
    <w:name w:val="Domyślna czcionka akapitu84"/>
    <w:uiPriority w:val="1"/>
  </w:style>
  <w:style w:type="table" w:customStyle="1" w:styleId="Standardowy84">
    <w:name w:val="Standardowy8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4">
    <w:name w:val="Bez listy84"/>
    <w:uiPriority w:val="99"/>
  </w:style>
  <w:style w:type="paragraph" w:customStyle="1" w:styleId="Normalny85">
    <w:name w:val="Normalny85"/>
    <w:qFormat/>
    <w:pPr>
      <w:spacing w:after="200"/>
    </w:pPr>
  </w:style>
  <w:style w:type="character" w:customStyle="1" w:styleId="Domylnaczcionkaakapitu85">
    <w:name w:val="Domyślna czcionka akapitu85"/>
    <w:uiPriority w:val="1"/>
  </w:style>
  <w:style w:type="table" w:customStyle="1" w:styleId="Standardowy85">
    <w:name w:val="Standardowy8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5">
    <w:name w:val="Bez listy85"/>
    <w:uiPriority w:val="99"/>
  </w:style>
  <w:style w:type="paragraph" w:customStyle="1" w:styleId="Normalny86">
    <w:name w:val="Normalny86"/>
    <w:qFormat/>
    <w:pPr>
      <w:spacing w:after="200"/>
    </w:pPr>
  </w:style>
  <w:style w:type="character" w:customStyle="1" w:styleId="Domylnaczcionkaakapitu86">
    <w:name w:val="Domyślna czcionka akapitu86"/>
    <w:uiPriority w:val="1"/>
  </w:style>
  <w:style w:type="table" w:customStyle="1" w:styleId="Standardowy86">
    <w:name w:val="Standardowy8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6">
    <w:name w:val="Bez listy86"/>
    <w:uiPriority w:val="99"/>
  </w:style>
  <w:style w:type="paragraph" w:customStyle="1" w:styleId="Normalny87">
    <w:name w:val="Normalny87"/>
    <w:qFormat/>
    <w:pPr>
      <w:spacing w:after="200"/>
    </w:pPr>
  </w:style>
  <w:style w:type="character" w:customStyle="1" w:styleId="Domylnaczcionkaakapitu87">
    <w:name w:val="Domyślna czcionka akapitu87"/>
    <w:uiPriority w:val="1"/>
  </w:style>
  <w:style w:type="table" w:customStyle="1" w:styleId="Standardowy87">
    <w:name w:val="Standardowy8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7">
    <w:name w:val="Bez listy87"/>
    <w:uiPriority w:val="99"/>
  </w:style>
  <w:style w:type="paragraph" w:customStyle="1" w:styleId="Normalny88">
    <w:name w:val="Normalny88"/>
    <w:qFormat/>
    <w:pPr>
      <w:spacing w:after="200"/>
    </w:pPr>
  </w:style>
  <w:style w:type="character" w:customStyle="1" w:styleId="Domylnaczcionkaakapitu88">
    <w:name w:val="Domyślna czcionka akapitu88"/>
    <w:uiPriority w:val="1"/>
  </w:style>
  <w:style w:type="table" w:customStyle="1" w:styleId="Standardowy88">
    <w:name w:val="Standardowy8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8">
    <w:name w:val="Bez listy88"/>
    <w:uiPriority w:val="99"/>
  </w:style>
  <w:style w:type="paragraph" w:customStyle="1" w:styleId="Normalny89">
    <w:name w:val="Normalny89"/>
    <w:qFormat/>
    <w:pPr>
      <w:spacing w:after="200"/>
    </w:pPr>
  </w:style>
  <w:style w:type="character" w:customStyle="1" w:styleId="Domylnaczcionkaakapitu89">
    <w:name w:val="Domyślna czcionka akapitu89"/>
    <w:uiPriority w:val="1"/>
  </w:style>
  <w:style w:type="table" w:customStyle="1" w:styleId="Standardowy89">
    <w:name w:val="Standardowy8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89">
    <w:name w:val="Bez listy89"/>
    <w:uiPriority w:val="99"/>
  </w:style>
  <w:style w:type="paragraph" w:customStyle="1" w:styleId="Normalny90">
    <w:name w:val="Normalny90"/>
    <w:qFormat/>
    <w:pPr>
      <w:spacing w:after="200"/>
    </w:pPr>
  </w:style>
  <w:style w:type="character" w:customStyle="1" w:styleId="Domylnaczcionkaakapitu90">
    <w:name w:val="Domyślna czcionka akapitu90"/>
    <w:uiPriority w:val="1"/>
  </w:style>
  <w:style w:type="table" w:customStyle="1" w:styleId="Standardowy90">
    <w:name w:val="Standardowy9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0">
    <w:name w:val="Bez listy90"/>
    <w:uiPriority w:val="99"/>
  </w:style>
  <w:style w:type="paragraph" w:customStyle="1" w:styleId="Normalny91">
    <w:name w:val="Normalny91"/>
    <w:qFormat/>
    <w:pPr>
      <w:spacing w:after="200"/>
    </w:pPr>
  </w:style>
  <w:style w:type="character" w:customStyle="1" w:styleId="Domylnaczcionkaakapitu91">
    <w:name w:val="Domyślna czcionka akapitu91"/>
    <w:uiPriority w:val="1"/>
  </w:style>
  <w:style w:type="table" w:customStyle="1" w:styleId="Standardowy91">
    <w:name w:val="Standardowy9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1">
    <w:name w:val="Bez listy91"/>
    <w:uiPriority w:val="99"/>
  </w:style>
  <w:style w:type="paragraph" w:customStyle="1" w:styleId="Normalny92">
    <w:name w:val="Normalny92"/>
    <w:qFormat/>
    <w:pPr>
      <w:spacing w:after="200"/>
    </w:pPr>
  </w:style>
  <w:style w:type="character" w:customStyle="1" w:styleId="Domylnaczcionkaakapitu92">
    <w:name w:val="Domyślna czcionka akapitu92"/>
    <w:uiPriority w:val="1"/>
  </w:style>
  <w:style w:type="table" w:customStyle="1" w:styleId="Standardowy92">
    <w:name w:val="Standardowy9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2">
    <w:name w:val="Bez listy92"/>
    <w:uiPriority w:val="99"/>
  </w:style>
  <w:style w:type="paragraph" w:customStyle="1" w:styleId="Normalny93">
    <w:name w:val="Normalny93"/>
    <w:qFormat/>
    <w:pPr>
      <w:spacing w:after="200"/>
    </w:pPr>
  </w:style>
  <w:style w:type="character" w:customStyle="1" w:styleId="Domylnaczcionkaakapitu93">
    <w:name w:val="Domyślna czcionka akapitu93"/>
    <w:uiPriority w:val="1"/>
  </w:style>
  <w:style w:type="table" w:customStyle="1" w:styleId="Standardowy93">
    <w:name w:val="Standardowy9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3">
    <w:name w:val="Bez listy93"/>
    <w:uiPriority w:val="99"/>
  </w:style>
  <w:style w:type="paragraph" w:customStyle="1" w:styleId="Normalny94">
    <w:name w:val="Normalny94"/>
    <w:qFormat/>
    <w:pPr>
      <w:spacing w:after="200"/>
    </w:pPr>
  </w:style>
  <w:style w:type="character" w:customStyle="1" w:styleId="Domylnaczcionkaakapitu94">
    <w:name w:val="Domyślna czcionka akapitu94"/>
    <w:uiPriority w:val="1"/>
  </w:style>
  <w:style w:type="table" w:customStyle="1" w:styleId="Standardowy94">
    <w:name w:val="Standardowy9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4">
    <w:name w:val="Bez listy94"/>
    <w:uiPriority w:val="99"/>
  </w:style>
  <w:style w:type="paragraph" w:customStyle="1" w:styleId="Normalny95">
    <w:name w:val="Normalny95"/>
    <w:qFormat/>
    <w:pPr>
      <w:spacing w:after="200"/>
    </w:pPr>
  </w:style>
  <w:style w:type="character" w:customStyle="1" w:styleId="Domylnaczcionkaakapitu95">
    <w:name w:val="Domyślna czcionka akapitu95"/>
    <w:uiPriority w:val="1"/>
  </w:style>
  <w:style w:type="table" w:customStyle="1" w:styleId="Standardowy95">
    <w:name w:val="Standardowy9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5">
    <w:name w:val="Bez listy95"/>
    <w:uiPriority w:val="99"/>
  </w:style>
  <w:style w:type="paragraph" w:customStyle="1" w:styleId="Normalny96">
    <w:name w:val="Normalny96"/>
    <w:qFormat/>
    <w:pPr>
      <w:spacing w:after="200"/>
    </w:pPr>
  </w:style>
  <w:style w:type="character" w:customStyle="1" w:styleId="Domylnaczcionkaakapitu96">
    <w:name w:val="Domyślna czcionka akapitu96"/>
    <w:uiPriority w:val="1"/>
  </w:style>
  <w:style w:type="table" w:customStyle="1" w:styleId="Standardowy96">
    <w:name w:val="Standardowy9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6">
    <w:name w:val="Bez listy96"/>
    <w:uiPriority w:val="99"/>
  </w:style>
  <w:style w:type="paragraph" w:customStyle="1" w:styleId="Normalny97">
    <w:name w:val="Normalny97"/>
    <w:qFormat/>
    <w:pPr>
      <w:spacing w:after="200"/>
    </w:pPr>
  </w:style>
  <w:style w:type="character" w:customStyle="1" w:styleId="Domylnaczcionkaakapitu97">
    <w:name w:val="Domyślna czcionka akapitu97"/>
    <w:uiPriority w:val="1"/>
  </w:style>
  <w:style w:type="table" w:customStyle="1" w:styleId="Standardowy97">
    <w:name w:val="Standardowy9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7">
    <w:name w:val="Bez listy97"/>
    <w:uiPriority w:val="99"/>
  </w:style>
  <w:style w:type="paragraph" w:customStyle="1" w:styleId="Normalny98">
    <w:name w:val="Normalny98"/>
    <w:qFormat/>
    <w:pPr>
      <w:spacing w:after="200"/>
    </w:pPr>
  </w:style>
  <w:style w:type="character" w:customStyle="1" w:styleId="Domylnaczcionkaakapitu98">
    <w:name w:val="Domyślna czcionka akapitu98"/>
    <w:uiPriority w:val="1"/>
  </w:style>
  <w:style w:type="table" w:customStyle="1" w:styleId="Standardowy98">
    <w:name w:val="Standardowy9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8">
    <w:name w:val="Bez listy98"/>
    <w:uiPriority w:val="99"/>
  </w:style>
  <w:style w:type="paragraph" w:customStyle="1" w:styleId="Normalny99">
    <w:name w:val="Normalny99"/>
    <w:qFormat/>
    <w:pPr>
      <w:spacing w:after="200"/>
    </w:pPr>
  </w:style>
  <w:style w:type="character" w:customStyle="1" w:styleId="Domylnaczcionkaakapitu99">
    <w:name w:val="Domyślna czcionka akapitu99"/>
    <w:uiPriority w:val="1"/>
  </w:style>
  <w:style w:type="table" w:customStyle="1" w:styleId="Standardowy99">
    <w:name w:val="Standardowy9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99">
    <w:name w:val="Bez listy99"/>
    <w:uiPriority w:val="99"/>
  </w:style>
  <w:style w:type="paragraph" w:customStyle="1" w:styleId="Normalny100">
    <w:name w:val="Normalny100"/>
    <w:qFormat/>
    <w:pPr>
      <w:spacing w:after="200"/>
    </w:pPr>
  </w:style>
  <w:style w:type="character" w:customStyle="1" w:styleId="Domylnaczcionkaakapitu100">
    <w:name w:val="Domyślna czcionka akapitu100"/>
    <w:uiPriority w:val="1"/>
  </w:style>
  <w:style w:type="table" w:customStyle="1" w:styleId="Standardowy100">
    <w:name w:val="Standardowy10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0">
    <w:name w:val="Bez listy100"/>
    <w:uiPriority w:val="99"/>
  </w:style>
  <w:style w:type="paragraph" w:customStyle="1" w:styleId="Normalny101">
    <w:name w:val="Normalny101"/>
    <w:qFormat/>
    <w:pPr>
      <w:spacing w:after="200"/>
    </w:pPr>
  </w:style>
  <w:style w:type="character" w:customStyle="1" w:styleId="Domylnaczcionkaakapitu101">
    <w:name w:val="Domyślna czcionka akapitu101"/>
    <w:uiPriority w:val="1"/>
  </w:style>
  <w:style w:type="table" w:customStyle="1" w:styleId="Standardowy101">
    <w:name w:val="Standardowy10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1">
    <w:name w:val="Bez listy101"/>
    <w:uiPriority w:val="99"/>
  </w:style>
  <w:style w:type="paragraph" w:customStyle="1" w:styleId="Normalny102">
    <w:name w:val="Normalny102"/>
    <w:qFormat/>
    <w:pPr>
      <w:spacing w:after="200"/>
    </w:pPr>
  </w:style>
  <w:style w:type="character" w:customStyle="1" w:styleId="Domylnaczcionkaakapitu102">
    <w:name w:val="Domyślna czcionka akapitu102"/>
    <w:uiPriority w:val="1"/>
  </w:style>
  <w:style w:type="table" w:customStyle="1" w:styleId="Standardowy102">
    <w:name w:val="Standardowy10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2">
    <w:name w:val="Bez listy102"/>
    <w:uiPriority w:val="99"/>
  </w:style>
  <w:style w:type="paragraph" w:customStyle="1" w:styleId="Normalny103">
    <w:name w:val="Normalny103"/>
    <w:qFormat/>
    <w:pPr>
      <w:spacing w:after="200"/>
    </w:pPr>
  </w:style>
  <w:style w:type="character" w:customStyle="1" w:styleId="Domylnaczcionkaakapitu103">
    <w:name w:val="Domyślna czcionka akapitu103"/>
    <w:uiPriority w:val="1"/>
  </w:style>
  <w:style w:type="table" w:customStyle="1" w:styleId="Standardowy103">
    <w:name w:val="Standardowy10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3">
    <w:name w:val="Bez listy103"/>
    <w:uiPriority w:val="99"/>
  </w:style>
  <w:style w:type="paragraph" w:customStyle="1" w:styleId="Normalny104">
    <w:name w:val="Normalny104"/>
    <w:qFormat/>
    <w:pPr>
      <w:spacing w:after="200"/>
    </w:pPr>
  </w:style>
  <w:style w:type="character" w:customStyle="1" w:styleId="Domylnaczcionkaakapitu104">
    <w:name w:val="Domyślna czcionka akapitu104"/>
    <w:uiPriority w:val="1"/>
  </w:style>
  <w:style w:type="table" w:customStyle="1" w:styleId="Standardowy104">
    <w:name w:val="Standardowy10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4">
    <w:name w:val="Bez listy104"/>
    <w:uiPriority w:val="99"/>
  </w:style>
  <w:style w:type="paragraph" w:customStyle="1" w:styleId="Normalny105">
    <w:name w:val="Normalny105"/>
    <w:qFormat/>
    <w:pPr>
      <w:spacing w:after="200"/>
    </w:pPr>
  </w:style>
  <w:style w:type="character" w:customStyle="1" w:styleId="Domylnaczcionkaakapitu105">
    <w:name w:val="Domyślna czcionka akapitu105"/>
    <w:uiPriority w:val="1"/>
  </w:style>
  <w:style w:type="table" w:customStyle="1" w:styleId="Standardowy105">
    <w:name w:val="Standardowy10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5">
    <w:name w:val="Bez listy105"/>
    <w:uiPriority w:val="99"/>
  </w:style>
  <w:style w:type="paragraph" w:customStyle="1" w:styleId="Normalny106">
    <w:name w:val="Normalny106"/>
    <w:qFormat/>
    <w:pPr>
      <w:spacing w:after="200"/>
    </w:pPr>
  </w:style>
  <w:style w:type="character" w:customStyle="1" w:styleId="Domylnaczcionkaakapitu106">
    <w:name w:val="Domyślna czcionka akapitu106"/>
    <w:uiPriority w:val="1"/>
  </w:style>
  <w:style w:type="table" w:customStyle="1" w:styleId="Standardowy106">
    <w:name w:val="Standardowy10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6">
    <w:name w:val="Bez listy106"/>
    <w:uiPriority w:val="99"/>
  </w:style>
  <w:style w:type="paragraph" w:customStyle="1" w:styleId="Normalny107">
    <w:name w:val="Normalny107"/>
    <w:qFormat/>
    <w:pPr>
      <w:spacing w:after="200"/>
    </w:pPr>
  </w:style>
  <w:style w:type="character" w:customStyle="1" w:styleId="Domylnaczcionkaakapitu107">
    <w:name w:val="Domyślna czcionka akapitu107"/>
    <w:uiPriority w:val="1"/>
  </w:style>
  <w:style w:type="table" w:customStyle="1" w:styleId="Standardowy107">
    <w:name w:val="Standardowy10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7">
    <w:name w:val="Bez listy107"/>
    <w:uiPriority w:val="99"/>
  </w:style>
  <w:style w:type="paragraph" w:customStyle="1" w:styleId="Normalny108">
    <w:name w:val="Normalny108"/>
    <w:qFormat/>
    <w:pPr>
      <w:spacing w:after="200"/>
    </w:pPr>
  </w:style>
  <w:style w:type="character" w:customStyle="1" w:styleId="Domylnaczcionkaakapitu108">
    <w:name w:val="Domyślna czcionka akapitu108"/>
    <w:uiPriority w:val="1"/>
  </w:style>
  <w:style w:type="table" w:customStyle="1" w:styleId="Standardowy108">
    <w:name w:val="Standardowy10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8">
    <w:name w:val="Bez listy108"/>
    <w:uiPriority w:val="99"/>
  </w:style>
  <w:style w:type="paragraph" w:customStyle="1" w:styleId="Normalny109">
    <w:name w:val="Normalny109"/>
    <w:qFormat/>
    <w:pPr>
      <w:spacing w:after="200"/>
    </w:pPr>
  </w:style>
  <w:style w:type="character" w:customStyle="1" w:styleId="Domylnaczcionkaakapitu109">
    <w:name w:val="Domyślna czcionka akapitu109"/>
    <w:uiPriority w:val="1"/>
  </w:style>
  <w:style w:type="table" w:customStyle="1" w:styleId="Standardowy109">
    <w:name w:val="Standardowy10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09">
    <w:name w:val="Bez listy109"/>
    <w:uiPriority w:val="99"/>
  </w:style>
  <w:style w:type="paragraph" w:customStyle="1" w:styleId="Normalny110">
    <w:name w:val="Normalny110"/>
    <w:qFormat/>
    <w:pPr>
      <w:spacing w:after="200"/>
    </w:pPr>
  </w:style>
  <w:style w:type="character" w:customStyle="1" w:styleId="Domylnaczcionkaakapitu110">
    <w:name w:val="Domyślna czcionka akapitu110"/>
    <w:uiPriority w:val="1"/>
  </w:style>
  <w:style w:type="table" w:customStyle="1" w:styleId="Standardowy110">
    <w:name w:val="Standardowy11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0">
    <w:name w:val="Bez listy110"/>
    <w:uiPriority w:val="99"/>
  </w:style>
  <w:style w:type="paragraph" w:customStyle="1" w:styleId="Normalny111">
    <w:name w:val="Normalny111"/>
    <w:qFormat/>
    <w:pPr>
      <w:spacing w:after="200"/>
    </w:pPr>
  </w:style>
  <w:style w:type="character" w:customStyle="1" w:styleId="Domylnaczcionkaakapitu111">
    <w:name w:val="Domyślna czcionka akapitu111"/>
    <w:uiPriority w:val="1"/>
  </w:style>
  <w:style w:type="table" w:customStyle="1" w:styleId="Standardowy111">
    <w:name w:val="Standardowy11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1">
    <w:name w:val="Bez listy111"/>
    <w:uiPriority w:val="99"/>
  </w:style>
  <w:style w:type="paragraph" w:customStyle="1" w:styleId="Normalny112">
    <w:name w:val="Normalny112"/>
    <w:qFormat/>
    <w:pPr>
      <w:spacing w:after="200"/>
    </w:pPr>
  </w:style>
  <w:style w:type="character" w:customStyle="1" w:styleId="Domylnaczcionkaakapitu112">
    <w:name w:val="Domyślna czcionka akapitu112"/>
    <w:uiPriority w:val="1"/>
  </w:style>
  <w:style w:type="table" w:customStyle="1" w:styleId="Standardowy112">
    <w:name w:val="Standardowy11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2">
    <w:name w:val="Bez listy112"/>
    <w:uiPriority w:val="99"/>
  </w:style>
  <w:style w:type="paragraph" w:customStyle="1" w:styleId="Normalny113">
    <w:name w:val="Normalny113"/>
    <w:qFormat/>
    <w:pPr>
      <w:spacing w:after="200"/>
    </w:pPr>
  </w:style>
  <w:style w:type="character" w:customStyle="1" w:styleId="Domylnaczcionkaakapitu113">
    <w:name w:val="Domyślna czcionka akapitu113"/>
    <w:uiPriority w:val="1"/>
  </w:style>
  <w:style w:type="table" w:customStyle="1" w:styleId="Standardowy113">
    <w:name w:val="Standardowy113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3">
    <w:name w:val="Bez listy113"/>
    <w:uiPriority w:val="99"/>
  </w:style>
  <w:style w:type="paragraph" w:customStyle="1" w:styleId="Normalny114">
    <w:name w:val="Normalny114"/>
    <w:qFormat/>
    <w:pPr>
      <w:spacing w:after="200"/>
    </w:pPr>
  </w:style>
  <w:style w:type="character" w:customStyle="1" w:styleId="Domylnaczcionkaakapitu114">
    <w:name w:val="Domyślna czcionka akapitu114"/>
    <w:uiPriority w:val="1"/>
  </w:style>
  <w:style w:type="table" w:customStyle="1" w:styleId="Standardowy114">
    <w:name w:val="Standardowy114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4">
    <w:name w:val="Bez listy114"/>
    <w:uiPriority w:val="99"/>
  </w:style>
  <w:style w:type="paragraph" w:customStyle="1" w:styleId="Normalny115">
    <w:name w:val="Normalny115"/>
    <w:qFormat/>
    <w:pPr>
      <w:spacing w:after="200"/>
    </w:pPr>
  </w:style>
  <w:style w:type="character" w:customStyle="1" w:styleId="Domylnaczcionkaakapitu115">
    <w:name w:val="Domyślna czcionka akapitu115"/>
    <w:uiPriority w:val="1"/>
  </w:style>
  <w:style w:type="table" w:customStyle="1" w:styleId="Standardowy115">
    <w:name w:val="Standardowy115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5">
    <w:name w:val="Bez listy115"/>
    <w:uiPriority w:val="99"/>
  </w:style>
  <w:style w:type="paragraph" w:customStyle="1" w:styleId="Normalny116">
    <w:name w:val="Normalny116"/>
    <w:qFormat/>
    <w:pPr>
      <w:spacing w:after="200"/>
    </w:pPr>
  </w:style>
  <w:style w:type="character" w:customStyle="1" w:styleId="Domylnaczcionkaakapitu116">
    <w:name w:val="Domyślna czcionka akapitu116"/>
    <w:uiPriority w:val="1"/>
  </w:style>
  <w:style w:type="table" w:customStyle="1" w:styleId="Standardowy116">
    <w:name w:val="Standardowy116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6">
    <w:name w:val="Bez listy116"/>
    <w:uiPriority w:val="99"/>
  </w:style>
  <w:style w:type="paragraph" w:customStyle="1" w:styleId="Normalny117">
    <w:name w:val="Normalny117"/>
    <w:qFormat/>
    <w:pPr>
      <w:spacing w:after="200"/>
    </w:pPr>
  </w:style>
  <w:style w:type="character" w:customStyle="1" w:styleId="Domylnaczcionkaakapitu117">
    <w:name w:val="Domyślna czcionka akapitu117"/>
    <w:uiPriority w:val="1"/>
  </w:style>
  <w:style w:type="table" w:customStyle="1" w:styleId="Standardowy117">
    <w:name w:val="Standardowy117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7">
    <w:name w:val="Bez listy117"/>
    <w:uiPriority w:val="99"/>
  </w:style>
  <w:style w:type="paragraph" w:customStyle="1" w:styleId="Normalny118">
    <w:name w:val="Normalny118"/>
    <w:qFormat/>
    <w:pPr>
      <w:spacing w:after="200"/>
    </w:pPr>
  </w:style>
  <w:style w:type="character" w:customStyle="1" w:styleId="Domylnaczcionkaakapitu118">
    <w:name w:val="Domyślna czcionka akapitu118"/>
    <w:uiPriority w:val="1"/>
  </w:style>
  <w:style w:type="table" w:customStyle="1" w:styleId="Standardowy118">
    <w:name w:val="Standardowy118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8">
    <w:name w:val="Bez listy118"/>
    <w:uiPriority w:val="99"/>
  </w:style>
  <w:style w:type="paragraph" w:customStyle="1" w:styleId="Normalny119">
    <w:name w:val="Normalny119"/>
    <w:qFormat/>
    <w:pPr>
      <w:spacing w:after="200"/>
    </w:pPr>
  </w:style>
  <w:style w:type="character" w:customStyle="1" w:styleId="Domylnaczcionkaakapitu119">
    <w:name w:val="Domyślna czcionka akapitu119"/>
    <w:uiPriority w:val="1"/>
  </w:style>
  <w:style w:type="table" w:customStyle="1" w:styleId="Standardowy119">
    <w:name w:val="Standardowy119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19">
    <w:name w:val="Bez listy119"/>
    <w:uiPriority w:val="99"/>
  </w:style>
  <w:style w:type="paragraph" w:customStyle="1" w:styleId="Normalny120">
    <w:name w:val="Normalny120"/>
    <w:qFormat/>
    <w:pPr>
      <w:spacing w:after="200"/>
    </w:pPr>
  </w:style>
  <w:style w:type="character" w:customStyle="1" w:styleId="Domylnaczcionkaakapitu120">
    <w:name w:val="Domyślna czcionka akapitu120"/>
    <w:uiPriority w:val="1"/>
  </w:style>
  <w:style w:type="table" w:customStyle="1" w:styleId="Standardowy120">
    <w:name w:val="Standardowy120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0">
    <w:name w:val="Bez listy120"/>
    <w:uiPriority w:val="99"/>
  </w:style>
  <w:style w:type="paragraph" w:customStyle="1" w:styleId="Normalny121">
    <w:name w:val="Normalny121"/>
    <w:qFormat/>
    <w:pPr>
      <w:spacing w:after="200"/>
    </w:pPr>
  </w:style>
  <w:style w:type="character" w:customStyle="1" w:styleId="Domylnaczcionkaakapitu121">
    <w:name w:val="Domyślna czcionka akapitu121"/>
    <w:uiPriority w:val="1"/>
  </w:style>
  <w:style w:type="table" w:customStyle="1" w:styleId="Standardowy121">
    <w:name w:val="Standardowy121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listy121">
    <w:name w:val="Bez listy121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38</Pages>
  <Words>7108</Words>
  <Characters>42650</Characters>
  <Application>Microsoft Office Word</Application>
  <DocSecurity>0</DocSecurity>
  <Lines>355</Lines>
  <Paragraphs>99</Paragraphs>
  <ScaleCrop>false</ScaleCrop>
  <Company/>
  <LinksUpToDate>false</LinksUpToDate>
  <CharactersWithSpaces>49659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Rudalska Aneta</dc:creator>
  <cp:lastModifiedBy>Rudalska Aneta</cp:lastModifiedBy>
  <cp:revision>2</cp:revision>
  <dcterms:created xsi:type="dcterms:W3CDTF">2023-06-05T07:11:00Z</dcterms:created>
  <dcterms:modified xsi:type="dcterms:W3CDTF">2023-06-05T07:11:00Z</dcterms:modified>
</cp:coreProperties>
</file>