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008" w:type="dxa"/>
        <w:tblLayout w:type="fixed"/>
        <w:tblLook w:val="04A0" w:firstRow="1" w:lastRow="0" w:firstColumn="1" w:lastColumn="0" w:noHBand="0" w:noVBand="1"/>
      </w:tblPr>
      <w:tblGrid>
        <w:gridCol w:w="2956"/>
        <w:gridCol w:w="2137"/>
        <w:gridCol w:w="3266"/>
        <w:gridCol w:w="3543"/>
        <w:gridCol w:w="2106"/>
      </w:tblGrid>
      <w:tr w:rsidR="000C6437" w:rsidRPr="00FA1BCC" w14:paraId="08EC7541" w14:textId="1DC198C8" w:rsidTr="0085594D">
        <w:trPr>
          <w:trHeight w:val="300"/>
        </w:trPr>
        <w:tc>
          <w:tcPr>
            <w:tcW w:w="14008" w:type="dxa"/>
            <w:gridSpan w:val="5"/>
            <w:noWrap/>
            <w:hideMark/>
          </w:tcPr>
          <w:p w14:paraId="270EE555" w14:textId="28F98557" w:rsidR="000C6437" w:rsidRPr="00FA1BCC" w:rsidRDefault="001C77A3" w:rsidP="00897160">
            <w:pPr>
              <w:jc w:val="center"/>
              <w:rPr>
                <w:rFonts w:cstheme="minorHAnsi"/>
                <w:b/>
                <w:bCs/>
              </w:rPr>
            </w:pPr>
            <w:r w:rsidRPr="00FA1BCC">
              <w:rPr>
                <w:rFonts w:cstheme="minorHAnsi"/>
                <w:b/>
                <w:bCs/>
                <w:noProof/>
              </w:rPr>
              <w:drawing>
                <wp:inline distT="0" distB="0" distL="0" distR="0" wp14:anchorId="077D1308" wp14:editId="644FC4C3">
                  <wp:extent cx="5739765" cy="73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0366" cy="744344"/>
                          </a:xfrm>
                          <a:prstGeom prst="rect">
                            <a:avLst/>
                          </a:prstGeom>
                        </pic:spPr>
                      </pic:pic>
                    </a:graphicData>
                  </a:graphic>
                </wp:inline>
              </w:drawing>
            </w:r>
          </w:p>
        </w:tc>
      </w:tr>
      <w:tr w:rsidR="008127EA" w:rsidRPr="00FA1BCC" w14:paraId="23E9C658" w14:textId="0180BBF5" w:rsidTr="00C666BE">
        <w:trPr>
          <w:trHeight w:val="300"/>
        </w:trPr>
        <w:tc>
          <w:tcPr>
            <w:tcW w:w="14008" w:type="dxa"/>
            <w:gridSpan w:val="5"/>
            <w:noWrap/>
            <w:hideMark/>
          </w:tcPr>
          <w:p w14:paraId="341CAA46" w14:textId="77777777" w:rsidR="001C77A3" w:rsidRPr="00FA1BCC" w:rsidRDefault="001C77A3" w:rsidP="00897160">
            <w:pPr>
              <w:jc w:val="center"/>
              <w:rPr>
                <w:rFonts w:cstheme="minorHAnsi"/>
                <w:b/>
                <w:bCs/>
              </w:rPr>
            </w:pPr>
          </w:p>
          <w:p w14:paraId="5015650D" w14:textId="42239129" w:rsidR="008127EA" w:rsidRDefault="008127EA" w:rsidP="00897160">
            <w:pPr>
              <w:jc w:val="center"/>
              <w:rPr>
                <w:rFonts w:cstheme="minorHAnsi"/>
                <w:b/>
                <w:bCs/>
              </w:rPr>
            </w:pPr>
            <w:r w:rsidRPr="00FA1BCC">
              <w:rPr>
                <w:rFonts w:cstheme="minorHAnsi"/>
                <w:b/>
                <w:bCs/>
              </w:rPr>
              <w:t>Konkursy planowane w ramach inwestycji w części dotacyjnej KPO</w:t>
            </w:r>
          </w:p>
          <w:p w14:paraId="6984B0E7" w14:textId="77777777" w:rsidR="00354F31" w:rsidRPr="00FA1BCC" w:rsidRDefault="00354F31" w:rsidP="00897160">
            <w:pPr>
              <w:jc w:val="center"/>
              <w:rPr>
                <w:rFonts w:cstheme="minorHAnsi"/>
                <w:b/>
                <w:bCs/>
              </w:rPr>
            </w:pPr>
          </w:p>
          <w:p w14:paraId="42B763D2" w14:textId="4ABD027D" w:rsidR="001C77A3" w:rsidRPr="00FA1BCC" w:rsidRDefault="001C77A3" w:rsidP="00897160">
            <w:pPr>
              <w:jc w:val="center"/>
              <w:rPr>
                <w:rFonts w:cstheme="minorHAnsi"/>
                <w:b/>
                <w:bCs/>
              </w:rPr>
            </w:pPr>
          </w:p>
        </w:tc>
      </w:tr>
      <w:tr w:rsidR="00721D67" w:rsidRPr="00FA1BCC" w14:paraId="61CB2FE0" w14:textId="107D4383" w:rsidTr="00DE0998">
        <w:trPr>
          <w:trHeight w:val="1200"/>
        </w:trPr>
        <w:tc>
          <w:tcPr>
            <w:tcW w:w="2956" w:type="dxa"/>
            <w:shd w:val="clear" w:color="auto" w:fill="003399"/>
            <w:hideMark/>
          </w:tcPr>
          <w:p w14:paraId="0A31A59F" w14:textId="77777777" w:rsidR="00721D67" w:rsidRPr="00FA1BCC" w:rsidRDefault="00721D67" w:rsidP="00E95FE8">
            <w:pPr>
              <w:rPr>
                <w:rFonts w:cstheme="minorHAnsi"/>
                <w:b/>
                <w:bCs/>
              </w:rPr>
            </w:pPr>
            <w:r w:rsidRPr="00FA1BCC">
              <w:rPr>
                <w:rFonts w:cstheme="minorHAnsi"/>
                <w:b/>
                <w:bCs/>
              </w:rPr>
              <w:t>nr i nazwa inwestycji</w:t>
            </w:r>
          </w:p>
        </w:tc>
        <w:tc>
          <w:tcPr>
            <w:tcW w:w="2137" w:type="dxa"/>
            <w:shd w:val="clear" w:color="auto" w:fill="003399"/>
            <w:hideMark/>
          </w:tcPr>
          <w:p w14:paraId="2DAB837A" w14:textId="77777777" w:rsidR="00721D67" w:rsidRPr="00FA1BCC" w:rsidRDefault="00721D67" w:rsidP="00E95FE8">
            <w:pPr>
              <w:rPr>
                <w:rFonts w:cstheme="minorHAnsi"/>
                <w:b/>
                <w:bCs/>
              </w:rPr>
            </w:pPr>
            <w:r w:rsidRPr="00FA1BCC">
              <w:rPr>
                <w:rFonts w:cstheme="minorHAnsi"/>
                <w:b/>
                <w:bCs/>
              </w:rPr>
              <w:t>Instytucja odpowiedzialna za realizację inwestycji</w:t>
            </w:r>
          </w:p>
        </w:tc>
        <w:tc>
          <w:tcPr>
            <w:tcW w:w="3266" w:type="dxa"/>
            <w:shd w:val="clear" w:color="auto" w:fill="003399"/>
            <w:hideMark/>
          </w:tcPr>
          <w:p w14:paraId="251CED60" w14:textId="77777777" w:rsidR="00721D67" w:rsidRPr="00FA1BCC" w:rsidRDefault="00721D67" w:rsidP="00E95FE8">
            <w:pPr>
              <w:rPr>
                <w:rFonts w:cstheme="minorHAnsi"/>
                <w:b/>
                <w:bCs/>
              </w:rPr>
            </w:pPr>
            <w:r w:rsidRPr="00FA1BCC">
              <w:rPr>
                <w:rFonts w:cstheme="minorHAnsi"/>
                <w:b/>
                <w:bCs/>
              </w:rPr>
              <w:t>Odbiorcy wsparcia</w:t>
            </w:r>
          </w:p>
        </w:tc>
        <w:tc>
          <w:tcPr>
            <w:tcW w:w="3543" w:type="dxa"/>
            <w:shd w:val="clear" w:color="auto" w:fill="003399"/>
          </w:tcPr>
          <w:p w14:paraId="1A364A42" w14:textId="58215D2E" w:rsidR="00721D67" w:rsidRPr="00FA1BCC" w:rsidRDefault="00721D67" w:rsidP="00E95FE8">
            <w:pPr>
              <w:rPr>
                <w:rFonts w:cstheme="minorHAnsi"/>
                <w:b/>
                <w:bCs/>
              </w:rPr>
            </w:pPr>
            <w:r w:rsidRPr="00FA1BCC">
              <w:rPr>
                <w:rFonts w:cstheme="minorHAnsi"/>
                <w:b/>
                <w:bCs/>
              </w:rPr>
              <w:t>Kontakt</w:t>
            </w:r>
          </w:p>
        </w:tc>
        <w:tc>
          <w:tcPr>
            <w:tcW w:w="2106" w:type="dxa"/>
            <w:shd w:val="clear" w:color="auto" w:fill="003399"/>
          </w:tcPr>
          <w:p w14:paraId="3093BDD3" w14:textId="6EF18ECF" w:rsidR="00721D67" w:rsidRPr="00FA1BCC" w:rsidRDefault="008127EA" w:rsidP="00E95FE8">
            <w:pPr>
              <w:rPr>
                <w:rFonts w:cstheme="minorHAnsi"/>
                <w:b/>
                <w:bCs/>
              </w:rPr>
            </w:pPr>
            <w:r w:rsidRPr="00FA1BCC">
              <w:rPr>
                <w:rFonts w:cstheme="minorHAnsi"/>
                <w:b/>
                <w:bCs/>
              </w:rPr>
              <w:t>Wskazany przez IOI/JW termin naboru</w:t>
            </w:r>
          </w:p>
        </w:tc>
      </w:tr>
      <w:tr w:rsidR="008A34A3" w:rsidRPr="00FA1BCC" w14:paraId="271ECB27" w14:textId="2EE61B33" w:rsidTr="00DE0998">
        <w:trPr>
          <w:trHeight w:val="600"/>
        </w:trPr>
        <w:tc>
          <w:tcPr>
            <w:tcW w:w="2956" w:type="dxa"/>
            <w:hideMark/>
          </w:tcPr>
          <w:p w14:paraId="4AF88076" w14:textId="77777777" w:rsidR="00721D67" w:rsidRPr="00FA1BCC" w:rsidRDefault="00721D67" w:rsidP="00E95FE8">
            <w:pPr>
              <w:rPr>
                <w:rFonts w:cstheme="minorHAnsi"/>
              </w:rPr>
            </w:pPr>
            <w:r w:rsidRPr="00FA1BCC">
              <w:rPr>
                <w:rFonts w:cstheme="minorHAnsi"/>
              </w:rPr>
              <w:t>A1.2.1 Inwestycje dla przedsiębiorstw w produkty, usługi i kompetencje pracowników oraz kadry związane z dywersyfikacją działalności</w:t>
            </w:r>
          </w:p>
        </w:tc>
        <w:tc>
          <w:tcPr>
            <w:tcW w:w="2137" w:type="dxa"/>
            <w:hideMark/>
          </w:tcPr>
          <w:p w14:paraId="3A6511C6" w14:textId="438FF54B" w:rsidR="00721D67" w:rsidRPr="00FA1BCC" w:rsidRDefault="00721D67" w:rsidP="00E95FE8">
            <w:pPr>
              <w:rPr>
                <w:rFonts w:cstheme="minorHAnsi"/>
              </w:rPr>
            </w:pPr>
            <w:r w:rsidRPr="00FA1BCC">
              <w:rPr>
                <w:rFonts w:cstheme="minorHAnsi"/>
              </w:rPr>
              <w:t xml:space="preserve">Ministerstwo Funduszy i Polityki Regionalnej </w:t>
            </w:r>
          </w:p>
        </w:tc>
        <w:tc>
          <w:tcPr>
            <w:tcW w:w="3266" w:type="dxa"/>
            <w:hideMark/>
          </w:tcPr>
          <w:p w14:paraId="53E22E80" w14:textId="77777777" w:rsidR="00721D67" w:rsidRPr="00FA1BCC" w:rsidRDefault="00721D67" w:rsidP="00E95FE8">
            <w:pPr>
              <w:rPr>
                <w:rFonts w:cstheme="minorHAnsi"/>
              </w:rPr>
            </w:pPr>
            <w:r w:rsidRPr="00FA1BCC">
              <w:rPr>
                <w:rFonts w:cstheme="minorHAnsi"/>
              </w:rPr>
              <w:t>MŚP</w:t>
            </w:r>
          </w:p>
        </w:tc>
        <w:tc>
          <w:tcPr>
            <w:tcW w:w="3543" w:type="dxa"/>
          </w:tcPr>
          <w:p w14:paraId="2E85EBB7" w14:textId="51B6149F" w:rsidR="00721D67" w:rsidRPr="00FA1BCC" w:rsidRDefault="00746596" w:rsidP="00E95FE8">
            <w:pPr>
              <w:rPr>
                <w:rFonts w:cstheme="minorHAnsi"/>
              </w:rPr>
            </w:pPr>
            <w:hyperlink r:id="rId8" w:history="1">
              <w:r w:rsidR="00721D67" w:rsidRPr="00FA1BCC">
                <w:rPr>
                  <w:rStyle w:val="Hipercze"/>
                  <w:rFonts w:cstheme="minorHAnsi"/>
                </w:rPr>
                <w:t>https://www.gov.pl/web/fundusze-regiony</w:t>
              </w:r>
            </w:hyperlink>
          </w:p>
        </w:tc>
        <w:tc>
          <w:tcPr>
            <w:tcW w:w="2106" w:type="dxa"/>
          </w:tcPr>
          <w:p w14:paraId="4CAE3B4F" w14:textId="56DCF57D" w:rsidR="00721D67" w:rsidRPr="00FA1BCC" w:rsidRDefault="008A34A3" w:rsidP="00E95FE8">
            <w:pPr>
              <w:rPr>
                <w:rFonts w:cstheme="minorHAnsi"/>
              </w:rPr>
            </w:pPr>
            <w:r w:rsidRPr="00FA1BCC">
              <w:rPr>
                <w:rFonts w:cstheme="minorHAnsi"/>
              </w:rPr>
              <w:t>II półrocze 2023 r.</w:t>
            </w:r>
          </w:p>
        </w:tc>
      </w:tr>
      <w:tr w:rsidR="008A34A3" w:rsidRPr="00FA1BCC" w14:paraId="16428245" w14:textId="53261FFD" w:rsidTr="00DE0998">
        <w:trPr>
          <w:trHeight w:val="600"/>
        </w:trPr>
        <w:tc>
          <w:tcPr>
            <w:tcW w:w="2956" w:type="dxa"/>
          </w:tcPr>
          <w:p w14:paraId="16725B5F" w14:textId="4D3E249C" w:rsidR="00721D67" w:rsidRPr="00FA1BCC" w:rsidRDefault="00721D67" w:rsidP="00E95FE8">
            <w:pPr>
              <w:rPr>
                <w:rFonts w:cstheme="minorHAnsi"/>
              </w:rPr>
            </w:pPr>
            <w:r w:rsidRPr="00FA1BCC">
              <w:rPr>
                <w:rFonts w:cstheme="minorHAnsi"/>
              </w:rPr>
              <w:t>A1.3.1 Wdrożenie reformy planowania i zagospodarowania przestrzennego</w:t>
            </w:r>
          </w:p>
        </w:tc>
        <w:tc>
          <w:tcPr>
            <w:tcW w:w="2137" w:type="dxa"/>
          </w:tcPr>
          <w:p w14:paraId="3C281804" w14:textId="601AFFFB" w:rsidR="00721D67" w:rsidRPr="00FA1BCC" w:rsidRDefault="00721D67" w:rsidP="00E95FE8">
            <w:pPr>
              <w:rPr>
                <w:rFonts w:cstheme="minorHAnsi"/>
              </w:rPr>
            </w:pPr>
            <w:r w:rsidRPr="00FA1BCC">
              <w:rPr>
                <w:rFonts w:cstheme="minorHAnsi"/>
              </w:rPr>
              <w:t>Ministerstwo Rozwoju i Technologii</w:t>
            </w:r>
          </w:p>
        </w:tc>
        <w:tc>
          <w:tcPr>
            <w:tcW w:w="3266" w:type="dxa"/>
          </w:tcPr>
          <w:p w14:paraId="3731E8E2" w14:textId="77777777" w:rsidR="00721D67" w:rsidRPr="00FA1BCC" w:rsidRDefault="00721D67" w:rsidP="006B2FBD">
            <w:pPr>
              <w:rPr>
                <w:rFonts w:cstheme="minorHAnsi"/>
              </w:rPr>
            </w:pPr>
            <w:r w:rsidRPr="00FA1BCC">
              <w:rPr>
                <w:rFonts w:cstheme="minorHAnsi"/>
              </w:rPr>
              <w:t>Wsparcie dla gmin na wdrożenie reformy zagospodarowania przestrzennego oraz dla uczelni na prowadzenie kursów dokształcających dla pracowników samorządów i planistów przestrzennych</w:t>
            </w:r>
          </w:p>
          <w:p w14:paraId="692E1663" w14:textId="319B8B0B" w:rsidR="00721D67" w:rsidRPr="00FA1BCC" w:rsidRDefault="00721D67" w:rsidP="00E95FE8">
            <w:pPr>
              <w:rPr>
                <w:rFonts w:cstheme="minorHAnsi"/>
              </w:rPr>
            </w:pPr>
          </w:p>
        </w:tc>
        <w:tc>
          <w:tcPr>
            <w:tcW w:w="3543" w:type="dxa"/>
          </w:tcPr>
          <w:p w14:paraId="281DB200" w14:textId="3CE08FC8" w:rsidR="00721D67" w:rsidRPr="00FA1BCC" w:rsidRDefault="00746596" w:rsidP="00E95FE8">
            <w:pPr>
              <w:rPr>
                <w:rFonts w:cstheme="minorHAnsi"/>
                <w:highlight w:val="yellow"/>
              </w:rPr>
            </w:pPr>
            <w:hyperlink r:id="rId9" w:history="1">
              <w:r w:rsidR="00721D67" w:rsidRPr="00FA1BCC">
                <w:rPr>
                  <w:rStyle w:val="Hipercze"/>
                  <w:rFonts w:cstheme="minorHAnsi"/>
                </w:rPr>
                <w:t>https://www.gov.pl/web/rozwoj-technologia/krajowy-plan-odbudowy5</w:t>
              </w:r>
            </w:hyperlink>
          </w:p>
        </w:tc>
        <w:tc>
          <w:tcPr>
            <w:tcW w:w="2106" w:type="dxa"/>
          </w:tcPr>
          <w:p w14:paraId="1AE3BC8E" w14:textId="77777777" w:rsidR="008A34A3" w:rsidRPr="008A34A3" w:rsidRDefault="008A34A3" w:rsidP="008A34A3">
            <w:pPr>
              <w:rPr>
                <w:rFonts w:cstheme="minorHAnsi"/>
              </w:rPr>
            </w:pPr>
            <w:r w:rsidRPr="008A34A3">
              <w:rPr>
                <w:rFonts w:cstheme="minorHAnsi"/>
              </w:rPr>
              <w:t>od III kw. 2023 r. do II kw. 2026 r.</w:t>
            </w:r>
          </w:p>
          <w:p w14:paraId="78A60207" w14:textId="77777777" w:rsidR="00721D67" w:rsidRPr="00FA1BCC" w:rsidRDefault="00721D67" w:rsidP="00E95FE8">
            <w:pPr>
              <w:rPr>
                <w:rFonts w:cstheme="minorHAnsi"/>
              </w:rPr>
            </w:pPr>
          </w:p>
        </w:tc>
      </w:tr>
      <w:tr w:rsidR="008A34A3" w:rsidRPr="00FA1BCC" w14:paraId="277893C4" w14:textId="13A8AD93" w:rsidTr="00DE0998">
        <w:trPr>
          <w:trHeight w:val="1500"/>
        </w:trPr>
        <w:tc>
          <w:tcPr>
            <w:tcW w:w="2956" w:type="dxa"/>
            <w:hideMark/>
          </w:tcPr>
          <w:p w14:paraId="44BE161D" w14:textId="6E1765AC" w:rsidR="00721D67" w:rsidRPr="00FA1BCC" w:rsidRDefault="00721D67" w:rsidP="00E95FE8">
            <w:pPr>
              <w:rPr>
                <w:rFonts w:cstheme="minorHAnsi"/>
              </w:rPr>
            </w:pPr>
            <w:r w:rsidRPr="00FA1BCC">
              <w:rPr>
                <w:rFonts w:cstheme="minorHAnsi"/>
              </w:rPr>
              <w:t xml:space="preserve">A1.4.1 </w:t>
            </w:r>
          </w:p>
          <w:p w14:paraId="04CD8D25" w14:textId="0A5F91FE" w:rsidR="00721D67" w:rsidRPr="00FA1BCC" w:rsidRDefault="00721D67" w:rsidP="00E95FE8">
            <w:pPr>
              <w:rPr>
                <w:rFonts w:cstheme="minorHAnsi"/>
              </w:rPr>
            </w:pPr>
            <w:r w:rsidRPr="00FA1BCC">
              <w:rPr>
                <w:rFonts w:cstheme="minorHAnsi"/>
              </w:rPr>
              <w:t xml:space="preserve">Wsparcie infrastruktury centrów przechowalniczo-dystrybucyjnych i rolno-spożywczych rynków hurtowych w zakresie przechowywania lub </w:t>
            </w:r>
            <w:r w:rsidRPr="00FA1BCC">
              <w:rPr>
                <w:rFonts w:cstheme="minorHAnsi"/>
              </w:rPr>
              <w:lastRenderedPageBreak/>
              <w:t>wprowadzania do obrotu produktów rolnych, rybołówstwa lub akwakultury oraz artykułów rolno-spożywczych</w:t>
            </w:r>
          </w:p>
        </w:tc>
        <w:tc>
          <w:tcPr>
            <w:tcW w:w="2137" w:type="dxa"/>
            <w:hideMark/>
          </w:tcPr>
          <w:p w14:paraId="5CAC8674" w14:textId="231A8D13" w:rsidR="00721D67" w:rsidRPr="00FA1BCC" w:rsidRDefault="00721D67" w:rsidP="00E95FE8">
            <w:pPr>
              <w:rPr>
                <w:rFonts w:cstheme="minorHAnsi"/>
              </w:rPr>
            </w:pPr>
            <w:r w:rsidRPr="00FA1BCC">
              <w:rPr>
                <w:rFonts w:cstheme="minorHAnsi"/>
              </w:rPr>
              <w:lastRenderedPageBreak/>
              <w:t>Ministerstwo Rolnictwa i Rozwoju Wsi</w:t>
            </w:r>
          </w:p>
        </w:tc>
        <w:tc>
          <w:tcPr>
            <w:tcW w:w="3266" w:type="dxa"/>
            <w:hideMark/>
          </w:tcPr>
          <w:p w14:paraId="4FB3EBD9" w14:textId="7A4F166D" w:rsidR="00721D67" w:rsidRPr="00FA1BCC" w:rsidRDefault="00721D67" w:rsidP="00E95FE8">
            <w:pPr>
              <w:rPr>
                <w:rFonts w:cstheme="minorHAnsi"/>
              </w:rPr>
            </w:pPr>
            <w:r w:rsidRPr="00FA1BCC">
              <w:rPr>
                <w:rFonts w:cstheme="minorHAnsi"/>
              </w:rPr>
              <w:t xml:space="preserve">• Rolnicze Spółdzielnie Produkcyjne w rozumieniu ustawy z dnia 16 września 1982 r. Prawo spółdzielcze (Dz.U.2021.0.648 </w:t>
            </w:r>
            <w:proofErr w:type="spellStart"/>
            <w:r w:rsidRPr="00FA1BCC">
              <w:rPr>
                <w:rFonts w:cstheme="minorHAnsi"/>
              </w:rPr>
              <w:t>t.j</w:t>
            </w:r>
            <w:proofErr w:type="spellEnd"/>
            <w:r w:rsidRPr="00FA1BCC">
              <w:rPr>
                <w:rFonts w:cstheme="minorHAnsi"/>
              </w:rPr>
              <w:t xml:space="preserve">.); </w:t>
            </w:r>
          </w:p>
          <w:p w14:paraId="446BD6D9" w14:textId="09404261" w:rsidR="00721D67" w:rsidRPr="00FA1BCC" w:rsidRDefault="00721D67" w:rsidP="00E95FE8">
            <w:pPr>
              <w:rPr>
                <w:rFonts w:cstheme="minorHAnsi"/>
              </w:rPr>
            </w:pPr>
            <w:r w:rsidRPr="00FA1BCC">
              <w:rPr>
                <w:rFonts w:cstheme="minorHAnsi"/>
              </w:rPr>
              <w:t xml:space="preserve">• spółdzielnie rolników w rozumieniu ustawy z dnia 4 </w:t>
            </w:r>
            <w:r w:rsidRPr="00FA1BCC">
              <w:rPr>
                <w:rFonts w:cstheme="minorHAnsi"/>
              </w:rPr>
              <w:lastRenderedPageBreak/>
              <w:t>października 2018 r. o spółdzielniach rolników;</w:t>
            </w:r>
          </w:p>
          <w:p w14:paraId="781E15B3" w14:textId="707F0385" w:rsidR="00721D67" w:rsidRPr="00FA1BCC" w:rsidRDefault="00721D67" w:rsidP="00E95FE8">
            <w:pPr>
              <w:rPr>
                <w:rFonts w:cstheme="minorHAnsi"/>
              </w:rPr>
            </w:pPr>
            <w:r w:rsidRPr="00FA1BCC">
              <w:rPr>
                <w:rFonts w:cstheme="minorHAnsi"/>
              </w:rPr>
              <w:t xml:space="preserve">• organizacje producentów w rozumieniu ustawy z dnia 11 marca 2004 r. o organizacji niektórych rynków rolnych (Dz. U. z 2022 r., poz. 185) oraz ustawy z dnia 20 kwietnia </w:t>
            </w:r>
          </w:p>
          <w:p w14:paraId="3533702F" w14:textId="77777777" w:rsidR="00721D67" w:rsidRPr="00FA1BCC" w:rsidRDefault="00721D67" w:rsidP="00E95FE8">
            <w:pPr>
              <w:rPr>
                <w:rFonts w:cstheme="minorHAnsi"/>
              </w:rPr>
            </w:pPr>
            <w:r w:rsidRPr="00FA1BCC">
              <w:rPr>
                <w:rFonts w:cstheme="minorHAnsi"/>
              </w:rPr>
              <w:t>2004 r. o organizacji rynku mleka i przetworów mlecznych (Dz.U. z 2022 r. poz. 381) oraz ustawy z dnia 19 grudnia 2003 r. o organizacji rynków owoców i warzyw oraz rynku chmielu (Dz.U. z 2021 r. poz. 618).</w:t>
            </w:r>
          </w:p>
          <w:p w14:paraId="1163942B" w14:textId="2FFF7528" w:rsidR="00721D67" w:rsidRPr="00FA1BCC" w:rsidRDefault="00721D67" w:rsidP="00E95FE8">
            <w:pPr>
              <w:rPr>
                <w:rFonts w:cstheme="minorHAnsi"/>
              </w:rPr>
            </w:pPr>
            <w:r w:rsidRPr="00FA1BCC">
              <w:rPr>
                <w:rFonts w:cstheme="minorHAnsi"/>
              </w:rPr>
              <w:t xml:space="preserve">• Grupy producentów rolnych w rozumieniu ustawy z dnia 15 września 2000 r. o grupach producentów rolnych i ich związkach oraz o zmianie innych ustaw (Dz.U. z 2022 r. poz. 395); </w:t>
            </w:r>
          </w:p>
          <w:p w14:paraId="3437E7F9" w14:textId="5008CDEB" w:rsidR="00721D67" w:rsidRPr="00FA1BCC" w:rsidRDefault="00721D67" w:rsidP="00E95FE8">
            <w:pPr>
              <w:rPr>
                <w:rFonts w:cstheme="minorHAnsi"/>
              </w:rPr>
            </w:pPr>
            <w:r w:rsidRPr="00FA1BCC">
              <w:rPr>
                <w:rFonts w:cstheme="minorHAnsi"/>
              </w:rPr>
              <w:t>• organizacje producentów sektora rybołówstwa i akwakultury oraz związków tych organizacji, w rozumieniu ustawy z dnia 5 grudnia 2008 r. o organizacji rynku rybnego (Dz. U. z 2021 r., poz. 678);</w:t>
            </w:r>
          </w:p>
          <w:p w14:paraId="5FCB17B1" w14:textId="66C9117F" w:rsidR="00721D67" w:rsidRPr="00FA1BCC" w:rsidRDefault="00721D67" w:rsidP="00E95FE8">
            <w:pPr>
              <w:rPr>
                <w:rFonts w:cstheme="minorHAnsi"/>
              </w:rPr>
            </w:pPr>
            <w:r w:rsidRPr="00FA1BCC">
              <w:rPr>
                <w:rFonts w:cstheme="minorHAnsi"/>
              </w:rPr>
              <w:t xml:space="preserve">• Regionalne rolno-spożywcze rynki hurtowe oraz centra przechowalniczo-dystrybucyjne (w tym z udziałem Skarbu </w:t>
            </w:r>
            <w:r w:rsidRPr="00FA1BCC">
              <w:rPr>
                <w:rFonts w:cstheme="minorHAnsi"/>
              </w:rPr>
              <w:lastRenderedPageBreak/>
              <w:t>Państwa lub jednostek samorządu terytorialnego);</w:t>
            </w:r>
          </w:p>
          <w:p w14:paraId="0D58D225" w14:textId="0672D4AB" w:rsidR="00721D67" w:rsidRPr="00FA1BCC" w:rsidRDefault="00721D67" w:rsidP="00E95FE8">
            <w:pPr>
              <w:rPr>
                <w:rFonts w:cstheme="minorHAnsi"/>
              </w:rPr>
            </w:pPr>
            <w:r w:rsidRPr="00FA1BCC">
              <w:rPr>
                <w:rFonts w:cstheme="minorHAnsi"/>
              </w:rPr>
              <w:t>• Jednostki samorządu terytorialnego lub partnerstwa tych jednostek i partnerstwa publiczno-prywatne (PPP) w rozumieniu ustawy z dnia 19 grudnia 2008 r. o partnerstwie publiczno-prywatnym (Dz.U. z 2020 r. poz. 711, z późniejszymi zmianami) z udziałem jednostek samorządu terytorialnego (JST) lub Skarbu Państwa;</w:t>
            </w:r>
          </w:p>
          <w:p w14:paraId="30EA4C29" w14:textId="2A0BA5E5" w:rsidR="00721D67" w:rsidRPr="00FA1BCC" w:rsidRDefault="00721D67" w:rsidP="00E95FE8">
            <w:pPr>
              <w:rPr>
                <w:rFonts w:cstheme="minorHAnsi"/>
              </w:rPr>
            </w:pPr>
            <w:r w:rsidRPr="00FA1BCC">
              <w:rPr>
                <w:rFonts w:cstheme="minorHAnsi"/>
              </w:rPr>
              <w:t>• Osoba fizyczna, osoba prawna lub jednostka organizacyjna nieposiadająca osobowości prawnej, która posiada status mikro, małego, średniego lub dużego przedsiębiorstwa prowadzącego lub rozpoczynającego działalność gospodarczą dotyczącą sprzedaży hurtowej lub usługowego przechowywania produktów rolnych, rybołówstwa i akwakultury</w:t>
            </w:r>
          </w:p>
        </w:tc>
        <w:tc>
          <w:tcPr>
            <w:tcW w:w="3543" w:type="dxa"/>
          </w:tcPr>
          <w:p w14:paraId="2CA56359" w14:textId="41992734" w:rsidR="00721D67" w:rsidRPr="00FA1BCC" w:rsidRDefault="00746596" w:rsidP="00E95FE8">
            <w:pPr>
              <w:rPr>
                <w:rFonts w:cstheme="minorHAnsi"/>
              </w:rPr>
            </w:pPr>
            <w:hyperlink r:id="rId10" w:history="1">
              <w:r w:rsidR="00721D67" w:rsidRPr="00FA1BCC">
                <w:rPr>
                  <w:rStyle w:val="Hipercze"/>
                  <w:rFonts w:cstheme="minorHAnsi"/>
                </w:rPr>
                <w:t>https://www.gov.pl/web/rolnictwo/krajowy-planu-odbudowy-i-zwiekszania-odpornosci</w:t>
              </w:r>
            </w:hyperlink>
          </w:p>
        </w:tc>
        <w:tc>
          <w:tcPr>
            <w:tcW w:w="2106" w:type="dxa"/>
          </w:tcPr>
          <w:p w14:paraId="49178A96" w14:textId="30260CB5" w:rsidR="00721D67" w:rsidRPr="00FA1BCC" w:rsidRDefault="008A34A3" w:rsidP="00E95FE8">
            <w:pPr>
              <w:rPr>
                <w:rFonts w:cstheme="minorHAnsi"/>
              </w:rPr>
            </w:pPr>
            <w:r w:rsidRPr="00FA1BCC">
              <w:rPr>
                <w:rFonts w:cstheme="minorHAnsi"/>
              </w:rPr>
              <w:t>od 1.06.2023 r. do 30.06.2023 r.</w:t>
            </w:r>
          </w:p>
        </w:tc>
      </w:tr>
      <w:tr w:rsidR="008A34A3" w:rsidRPr="00FA1BCC" w14:paraId="6726347A" w14:textId="272C8073" w:rsidTr="00DE0998">
        <w:trPr>
          <w:trHeight w:val="2700"/>
        </w:trPr>
        <w:tc>
          <w:tcPr>
            <w:tcW w:w="2956" w:type="dxa"/>
            <w:hideMark/>
          </w:tcPr>
          <w:p w14:paraId="2DC419BF" w14:textId="2BB59C7E" w:rsidR="00721D67" w:rsidRPr="00FA1BCC" w:rsidRDefault="00721D67" w:rsidP="00E95FE8">
            <w:pPr>
              <w:rPr>
                <w:rFonts w:cstheme="minorHAnsi"/>
              </w:rPr>
            </w:pPr>
            <w:r w:rsidRPr="00FA1BCC">
              <w:rPr>
                <w:rFonts w:cstheme="minorHAnsi"/>
              </w:rPr>
              <w:lastRenderedPageBreak/>
              <w:t xml:space="preserve">A1.4.1 </w:t>
            </w:r>
          </w:p>
          <w:p w14:paraId="57C99BFF" w14:textId="3E09EC25" w:rsidR="00721D67" w:rsidRPr="00FA1BCC" w:rsidRDefault="00721D67" w:rsidP="00E95FE8">
            <w:pPr>
              <w:rPr>
                <w:rFonts w:cstheme="minorHAnsi"/>
              </w:rPr>
            </w:pPr>
            <w:r w:rsidRPr="00FA1BCC">
              <w:rPr>
                <w:rFonts w:cstheme="minorHAnsi"/>
              </w:rPr>
              <w:t>Wsparcie organizacji pozarządowych i banków żywności zajmujących się redystrybucją żywności na cele społeczne</w:t>
            </w:r>
          </w:p>
        </w:tc>
        <w:tc>
          <w:tcPr>
            <w:tcW w:w="2137" w:type="dxa"/>
            <w:hideMark/>
          </w:tcPr>
          <w:p w14:paraId="6C725EA6" w14:textId="4CA2D5F0" w:rsidR="00721D67" w:rsidRPr="00FA1BCC" w:rsidRDefault="00721D67" w:rsidP="00E95FE8">
            <w:pPr>
              <w:rPr>
                <w:rFonts w:cstheme="minorHAnsi"/>
              </w:rPr>
            </w:pPr>
            <w:r w:rsidRPr="00FA1BCC">
              <w:rPr>
                <w:rFonts w:cstheme="minorHAnsi"/>
              </w:rPr>
              <w:t>Ministerstwo Rolnictwa i Rozwoju Wsi</w:t>
            </w:r>
          </w:p>
        </w:tc>
        <w:tc>
          <w:tcPr>
            <w:tcW w:w="3266" w:type="dxa"/>
            <w:hideMark/>
          </w:tcPr>
          <w:p w14:paraId="694D407E" w14:textId="7A945842" w:rsidR="00721D67" w:rsidRPr="00FA1BCC" w:rsidRDefault="00721D67" w:rsidP="00E95FE8">
            <w:pPr>
              <w:rPr>
                <w:rFonts w:cstheme="minorHAnsi"/>
              </w:rPr>
            </w:pPr>
            <w:r w:rsidRPr="00FA1BCC">
              <w:rPr>
                <w:rFonts w:cstheme="minorHAnsi"/>
              </w:rPr>
              <w:t xml:space="preserve">• </w:t>
            </w:r>
            <w:r w:rsidR="00746596">
              <w:rPr>
                <w:rFonts w:cstheme="minorHAnsi"/>
              </w:rPr>
              <w:t>O</w:t>
            </w:r>
            <w:r w:rsidRPr="00FA1BCC">
              <w:rPr>
                <w:rFonts w:cstheme="minorHAnsi"/>
              </w:rPr>
              <w:t>rganizacje pozarządowe, których działalność nie jest nastawiona na osiąganie zysku, o których mowa w ustawie z dnia 24 kwietnia 2003 r. o działalności pożytku publicznego i o wolontariacie (Dz. U. 03.96.873), zajmujące się redystrybucją żywności i gotowych posiłków wydawanych nieodpłatnie;</w:t>
            </w:r>
          </w:p>
          <w:p w14:paraId="42FC611C" w14:textId="44CD1586" w:rsidR="00721D67" w:rsidRPr="00FA1BCC" w:rsidRDefault="00721D67" w:rsidP="00E95FE8">
            <w:pPr>
              <w:rPr>
                <w:rFonts w:cstheme="minorHAnsi"/>
              </w:rPr>
            </w:pPr>
            <w:r w:rsidRPr="00FA1BCC">
              <w:rPr>
                <w:rFonts w:cstheme="minorHAnsi"/>
              </w:rPr>
              <w:t xml:space="preserve">• </w:t>
            </w:r>
            <w:r w:rsidR="00746596">
              <w:rPr>
                <w:rFonts w:cstheme="minorHAnsi"/>
              </w:rPr>
              <w:t>B</w:t>
            </w:r>
            <w:r w:rsidRPr="00FA1BCC">
              <w:rPr>
                <w:rFonts w:cstheme="minorHAnsi"/>
              </w:rPr>
              <w:t>anki żywności - instytucje charytatywne prowadzące działalność polegającą na zbieraniu żywności wciąż zdatnej do spożycia i rozdzielaniu jej nieodpłatnie wśród osób potrzebujących i organizacje</w:t>
            </w:r>
          </w:p>
        </w:tc>
        <w:tc>
          <w:tcPr>
            <w:tcW w:w="3543" w:type="dxa"/>
          </w:tcPr>
          <w:p w14:paraId="56E2EB9E" w14:textId="29895805" w:rsidR="00721D67" w:rsidRPr="00FA1BCC" w:rsidRDefault="00746596" w:rsidP="00E95FE8">
            <w:pPr>
              <w:rPr>
                <w:rFonts w:cstheme="minorHAnsi"/>
              </w:rPr>
            </w:pPr>
            <w:hyperlink r:id="rId11" w:history="1">
              <w:r w:rsidR="00721D67" w:rsidRPr="00FA1BCC">
                <w:rPr>
                  <w:rStyle w:val="Hipercze"/>
                  <w:rFonts w:cstheme="minorHAnsi"/>
                </w:rPr>
                <w:t>https://www.gov.pl/web/rolnictwo/krajowy-planu-odbudowy-i-zwiekszania-odpornosci</w:t>
              </w:r>
            </w:hyperlink>
          </w:p>
        </w:tc>
        <w:tc>
          <w:tcPr>
            <w:tcW w:w="2106" w:type="dxa"/>
          </w:tcPr>
          <w:p w14:paraId="11EDF625" w14:textId="77777777" w:rsidR="008A34A3" w:rsidRPr="008A34A3" w:rsidRDefault="008A34A3" w:rsidP="008A34A3">
            <w:pPr>
              <w:rPr>
                <w:rFonts w:cstheme="minorHAnsi"/>
              </w:rPr>
            </w:pPr>
            <w:r w:rsidRPr="008A34A3">
              <w:rPr>
                <w:rFonts w:cstheme="minorHAnsi"/>
              </w:rPr>
              <w:t>od 1.06.2023 r. do 30.06.2023 r.</w:t>
            </w:r>
          </w:p>
          <w:p w14:paraId="71487B17" w14:textId="77777777" w:rsidR="00721D67" w:rsidRPr="00FA1BCC" w:rsidRDefault="00721D67" w:rsidP="00E95FE8">
            <w:pPr>
              <w:rPr>
                <w:rFonts w:cstheme="minorHAnsi"/>
              </w:rPr>
            </w:pPr>
          </w:p>
        </w:tc>
      </w:tr>
      <w:tr w:rsidR="008A34A3" w:rsidRPr="00FA1BCC" w14:paraId="14440CB3" w14:textId="04A70DDB" w:rsidTr="00DE0998">
        <w:trPr>
          <w:trHeight w:val="2400"/>
        </w:trPr>
        <w:tc>
          <w:tcPr>
            <w:tcW w:w="2956" w:type="dxa"/>
            <w:shd w:val="clear" w:color="auto" w:fill="auto"/>
          </w:tcPr>
          <w:p w14:paraId="30E41767" w14:textId="0F2C2FDF" w:rsidR="00721D67" w:rsidRPr="00FA1BCC" w:rsidRDefault="00721D67" w:rsidP="00E95FE8">
            <w:pPr>
              <w:rPr>
                <w:rFonts w:cstheme="minorHAnsi"/>
              </w:rPr>
            </w:pPr>
            <w:r w:rsidRPr="00FA1BCC">
              <w:rPr>
                <w:rFonts w:cstheme="minorHAnsi"/>
              </w:rPr>
              <w:t>A1.4.1. Wsparcie inwestycji rolników w zakresie rolnictwa 4.0.</w:t>
            </w:r>
          </w:p>
        </w:tc>
        <w:tc>
          <w:tcPr>
            <w:tcW w:w="2137" w:type="dxa"/>
            <w:shd w:val="clear" w:color="auto" w:fill="auto"/>
          </w:tcPr>
          <w:p w14:paraId="396291D3" w14:textId="08828CE0" w:rsidR="00721D67" w:rsidRPr="00FA1BCC" w:rsidRDefault="00721D67" w:rsidP="00E95FE8">
            <w:pPr>
              <w:rPr>
                <w:rFonts w:cstheme="minorHAnsi"/>
              </w:rPr>
            </w:pPr>
            <w:r w:rsidRPr="00FA1BCC">
              <w:rPr>
                <w:rFonts w:cstheme="minorHAnsi"/>
              </w:rPr>
              <w:t>Ministerstwo Rolnictwa i Rozwoju Wsi</w:t>
            </w:r>
          </w:p>
        </w:tc>
        <w:tc>
          <w:tcPr>
            <w:tcW w:w="3266" w:type="dxa"/>
            <w:shd w:val="clear" w:color="auto" w:fill="auto"/>
          </w:tcPr>
          <w:p w14:paraId="42E6331F" w14:textId="3FA010F4" w:rsidR="00721D67" w:rsidRPr="00FA1BCC" w:rsidRDefault="00721D67" w:rsidP="00E95FE8">
            <w:pPr>
              <w:rPr>
                <w:rFonts w:cstheme="minorHAnsi"/>
              </w:rPr>
            </w:pPr>
            <w:r w:rsidRPr="00FA1BCC">
              <w:rPr>
                <w:rFonts w:cstheme="minorHAnsi"/>
              </w:rPr>
              <w:t>Rolnik, który podlega ubezpieczeniu społecznemu rolników z mocy ustawy z dnia 20 grudnia 1990 r. o ubezpieczeniu społecznym lub któremu przyznano płatności bezpośrednie w rozumieniu ustawy z dnia 5 lutego 2015 r. o płatnościach w ramach systemów wsparcia bezpośredniego co najmniej w roku poprzedzającym rok złożenia wniosku o objęcie wsparciem.</w:t>
            </w:r>
          </w:p>
        </w:tc>
        <w:tc>
          <w:tcPr>
            <w:tcW w:w="3543" w:type="dxa"/>
          </w:tcPr>
          <w:p w14:paraId="13B475A8" w14:textId="410249CD" w:rsidR="00721D67" w:rsidRPr="00FA1BCC" w:rsidRDefault="00746596" w:rsidP="00E95FE8">
            <w:pPr>
              <w:rPr>
                <w:rFonts w:cstheme="minorHAnsi"/>
              </w:rPr>
            </w:pPr>
            <w:hyperlink r:id="rId12" w:history="1">
              <w:r w:rsidR="00721D67" w:rsidRPr="00FA1BCC">
                <w:rPr>
                  <w:rStyle w:val="Hipercze"/>
                  <w:rFonts w:cstheme="minorHAnsi"/>
                </w:rPr>
                <w:t>https://www.gov.pl/web/rolnictwo/krajowy-planu-odbudowy-i-zwiekszania-odpornosci</w:t>
              </w:r>
            </w:hyperlink>
          </w:p>
        </w:tc>
        <w:tc>
          <w:tcPr>
            <w:tcW w:w="2106" w:type="dxa"/>
          </w:tcPr>
          <w:p w14:paraId="17CB3EA3" w14:textId="0EC2D60E" w:rsidR="00721D67" w:rsidRPr="00FA1BCC" w:rsidRDefault="008A34A3" w:rsidP="00E95FE8">
            <w:pPr>
              <w:rPr>
                <w:rFonts w:cstheme="minorHAnsi"/>
              </w:rPr>
            </w:pPr>
            <w:r w:rsidRPr="00FA1BCC">
              <w:rPr>
                <w:rFonts w:cstheme="minorHAnsi"/>
              </w:rPr>
              <w:t>wrzesień 2023 r.</w:t>
            </w:r>
          </w:p>
        </w:tc>
      </w:tr>
      <w:tr w:rsidR="008A34A3" w:rsidRPr="00FA1BCC" w14:paraId="0A6F2545" w14:textId="6B2EAFE8" w:rsidTr="00DE0998">
        <w:trPr>
          <w:trHeight w:val="2400"/>
        </w:trPr>
        <w:tc>
          <w:tcPr>
            <w:tcW w:w="2956" w:type="dxa"/>
            <w:shd w:val="clear" w:color="auto" w:fill="auto"/>
          </w:tcPr>
          <w:p w14:paraId="407D4F58" w14:textId="745E9334" w:rsidR="00721D67" w:rsidRPr="00FA1BCC" w:rsidRDefault="00721D67" w:rsidP="00E95FE8">
            <w:pPr>
              <w:rPr>
                <w:rFonts w:cstheme="minorHAnsi"/>
              </w:rPr>
            </w:pPr>
            <w:r w:rsidRPr="00FA1BCC">
              <w:rPr>
                <w:rFonts w:cstheme="minorHAnsi"/>
              </w:rPr>
              <w:lastRenderedPageBreak/>
              <w:t>A1.4.1 Wsparcie infrastruktury magazynowania służącej zwiększeniu odporności gospodarstw rolnych na kryzysy - silosy</w:t>
            </w:r>
          </w:p>
        </w:tc>
        <w:tc>
          <w:tcPr>
            <w:tcW w:w="2137" w:type="dxa"/>
            <w:shd w:val="clear" w:color="auto" w:fill="auto"/>
          </w:tcPr>
          <w:p w14:paraId="2259BD69" w14:textId="5A997595" w:rsidR="00721D67" w:rsidRPr="00FA1BCC" w:rsidRDefault="00721D67" w:rsidP="00E95FE8">
            <w:pPr>
              <w:rPr>
                <w:rFonts w:cstheme="minorHAnsi"/>
              </w:rPr>
            </w:pPr>
            <w:r w:rsidRPr="00FA1BCC">
              <w:rPr>
                <w:rFonts w:cstheme="minorHAnsi"/>
              </w:rPr>
              <w:t>Ministerstwo Rolnictwa i Rozwoju Wsi</w:t>
            </w:r>
          </w:p>
        </w:tc>
        <w:tc>
          <w:tcPr>
            <w:tcW w:w="3266" w:type="dxa"/>
            <w:shd w:val="clear" w:color="auto" w:fill="auto"/>
          </w:tcPr>
          <w:p w14:paraId="630C1DD8" w14:textId="0ABF9FEE" w:rsidR="00721D67" w:rsidRPr="00FA1BCC" w:rsidRDefault="00721D67" w:rsidP="00C76A91">
            <w:pPr>
              <w:rPr>
                <w:rFonts w:cstheme="minorHAnsi"/>
              </w:rPr>
            </w:pPr>
            <w:r w:rsidRPr="00FA1BCC">
              <w:rPr>
                <w:rFonts w:cstheme="minorHAnsi"/>
              </w:rPr>
              <w:t>Rolnik</w:t>
            </w:r>
            <w:r w:rsidR="00746596">
              <w:rPr>
                <w:rFonts w:cstheme="minorHAnsi"/>
              </w:rPr>
              <w:t>,</w:t>
            </w:r>
            <w:r w:rsidRPr="00FA1BCC">
              <w:rPr>
                <w:rFonts w:cstheme="minorHAnsi"/>
              </w:rPr>
              <w:t xml:space="preserve"> który: </w:t>
            </w:r>
          </w:p>
          <w:p w14:paraId="2C6F4BDF" w14:textId="77777777" w:rsidR="00721D67" w:rsidRPr="00FA1BCC" w:rsidRDefault="00721D67" w:rsidP="00DE0998">
            <w:pPr>
              <w:numPr>
                <w:ilvl w:val="0"/>
                <w:numId w:val="3"/>
              </w:numPr>
              <w:shd w:val="clear" w:color="auto" w:fill="FFFFFF"/>
              <w:tabs>
                <w:tab w:val="clear" w:pos="720"/>
                <w:tab w:val="num" w:pos="40"/>
              </w:tabs>
              <w:ind w:left="182" w:hanging="142"/>
              <w:textAlignment w:val="baseline"/>
              <w:rPr>
                <w:rFonts w:eastAsia="Times New Roman" w:cstheme="minorHAnsi"/>
                <w:lang w:eastAsia="pl-PL"/>
              </w:rPr>
            </w:pPr>
            <w:r w:rsidRPr="00FA1BCC">
              <w:rPr>
                <w:rFonts w:eastAsia="Times New Roman" w:cstheme="minorHAnsi"/>
                <w:lang w:eastAsia="pl-PL"/>
              </w:rPr>
              <w:t>przyznano mu płatności bezpośrednie</w:t>
            </w:r>
            <w:r w:rsidRPr="00FA1BCC">
              <w:rPr>
                <w:rFonts w:eastAsia="Times New Roman" w:cstheme="minorHAnsi"/>
                <w:b/>
                <w:bCs/>
                <w:lang w:eastAsia="pl-PL"/>
              </w:rPr>
              <w:t> </w:t>
            </w:r>
            <w:r w:rsidRPr="00FA1BCC">
              <w:rPr>
                <w:rFonts w:eastAsia="Times New Roman" w:cstheme="minorHAnsi"/>
                <w:lang w:eastAsia="pl-PL"/>
              </w:rPr>
              <w:t>w rozumieniu ustawy z dnia 5 lutego 2015 r. o płatnościach w ramach systemów wsparcia bezpośredniego,</w:t>
            </w:r>
          </w:p>
          <w:p w14:paraId="44BE6B6D" w14:textId="77777777" w:rsidR="00721D67" w:rsidRPr="00FA1BCC" w:rsidRDefault="00721D67" w:rsidP="00DE0998">
            <w:pPr>
              <w:numPr>
                <w:ilvl w:val="0"/>
                <w:numId w:val="3"/>
              </w:numPr>
              <w:shd w:val="clear" w:color="auto" w:fill="FFFFFF"/>
              <w:tabs>
                <w:tab w:val="clear" w:pos="720"/>
                <w:tab w:val="num" w:pos="40"/>
              </w:tabs>
              <w:ind w:left="182" w:hanging="142"/>
              <w:textAlignment w:val="baseline"/>
              <w:rPr>
                <w:rFonts w:eastAsia="Times New Roman" w:cstheme="minorHAnsi"/>
                <w:lang w:eastAsia="pl-PL"/>
              </w:rPr>
            </w:pPr>
            <w:r w:rsidRPr="00FA1BCC">
              <w:rPr>
                <w:rFonts w:eastAsia="Times New Roman" w:cstheme="minorHAnsi"/>
                <w:lang w:eastAsia="pl-PL"/>
              </w:rPr>
              <w:t>posiada prawo do dysponowania nieruchomością na cele budowlane w odniesieniu do działki ewidencyjnej, na której będzie zamontowany silos objęty wsparciem,</w:t>
            </w:r>
          </w:p>
          <w:p w14:paraId="582BFE07" w14:textId="77777777" w:rsidR="00721D67" w:rsidRPr="00FA1BCC" w:rsidRDefault="00721D67" w:rsidP="00DE0998">
            <w:pPr>
              <w:numPr>
                <w:ilvl w:val="0"/>
                <w:numId w:val="3"/>
              </w:numPr>
              <w:shd w:val="clear" w:color="auto" w:fill="FFFFFF"/>
              <w:tabs>
                <w:tab w:val="clear" w:pos="720"/>
                <w:tab w:val="num" w:pos="40"/>
              </w:tabs>
              <w:ind w:left="182" w:hanging="142"/>
              <w:textAlignment w:val="baseline"/>
              <w:rPr>
                <w:rFonts w:eastAsia="Times New Roman" w:cstheme="minorHAnsi"/>
                <w:lang w:eastAsia="pl-PL"/>
              </w:rPr>
            </w:pPr>
            <w:r w:rsidRPr="00FA1BCC">
              <w:rPr>
                <w:rFonts w:eastAsia="Times New Roman" w:cstheme="minorHAnsi"/>
                <w:lang w:eastAsia="pl-PL"/>
              </w:rPr>
              <w:t>ma nadany numer identyfikacyjny w trybie przepisów ustawy z dnia 18 grudnia 2003 r. o krajowym systemie ewidencji producentów, ewidencji gospodarstw rolnych oraz ewidencji wniosków o przyznanie płatności (Dz. U. z 2022 r. poz. 2001 i 2727 oraz z 2023 r. poz. 412).</w:t>
            </w:r>
          </w:p>
          <w:p w14:paraId="709B70EA" w14:textId="77777777" w:rsidR="00721D67" w:rsidRPr="00FA1BCC" w:rsidRDefault="00721D67" w:rsidP="00C76A91">
            <w:pPr>
              <w:rPr>
                <w:rFonts w:cstheme="minorHAnsi"/>
              </w:rPr>
            </w:pPr>
          </w:p>
          <w:p w14:paraId="67C421D6" w14:textId="22D867A0" w:rsidR="00721D67" w:rsidRPr="00FA1BCC" w:rsidRDefault="00721D67" w:rsidP="00E95FE8">
            <w:pPr>
              <w:rPr>
                <w:rFonts w:cstheme="minorHAnsi"/>
              </w:rPr>
            </w:pPr>
          </w:p>
        </w:tc>
        <w:tc>
          <w:tcPr>
            <w:tcW w:w="3543" w:type="dxa"/>
          </w:tcPr>
          <w:p w14:paraId="6A52ED86" w14:textId="228017E8" w:rsidR="00721D67" w:rsidRPr="00FA1BCC" w:rsidRDefault="00746596" w:rsidP="00E95FE8">
            <w:pPr>
              <w:rPr>
                <w:rFonts w:cstheme="minorHAnsi"/>
                <w:u w:val="single"/>
              </w:rPr>
            </w:pPr>
            <w:hyperlink r:id="rId13" w:history="1">
              <w:r w:rsidR="00721D67" w:rsidRPr="00FA1BCC">
                <w:rPr>
                  <w:rStyle w:val="Hipercze"/>
                  <w:rFonts w:cstheme="minorHAnsi"/>
                </w:rPr>
                <w:t>https://www.gov.pl/web/rolnictwo/krajowy-planu-odbudowy-i-zwiekszania-odpornosci</w:t>
              </w:r>
            </w:hyperlink>
          </w:p>
        </w:tc>
        <w:tc>
          <w:tcPr>
            <w:tcW w:w="2106" w:type="dxa"/>
          </w:tcPr>
          <w:p w14:paraId="791F3610" w14:textId="02E7897B" w:rsidR="00721D67" w:rsidRPr="00FA1BCC" w:rsidRDefault="008A34A3" w:rsidP="00E95FE8">
            <w:pPr>
              <w:rPr>
                <w:rFonts w:cstheme="minorHAnsi"/>
              </w:rPr>
            </w:pPr>
            <w:r w:rsidRPr="00FA1BCC">
              <w:rPr>
                <w:rFonts w:cstheme="minorHAnsi"/>
              </w:rPr>
              <w:t>od 5.06.2023 r. do 5.07.2023 r.</w:t>
            </w:r>
          </w:p>
        </w:tc>
      </w:tr>
      <w:tr w:rsidR="008A34A3" w:rsidRPr="00FA1BCC" w14:paraId="6C13ACD8" w14:textId="4AAC6059" w:rsidTr="00DE0998">
        <w:trPr>
          <w:trHeight w:val="2400"/>
        </w:trPr>
        <w:tc>
          <w:tcPr>
            <w:tcW w:w="2956" w:type="dxa"/>
            <w:hideMark/>
          </w:tcPr>
          <w:p w14:paraId="6904A62A" w14:textId="77777777" w:rsidR="00721D67" w:rsidRPr="00FA1BCC" w:rsidRDefault="00721D67" w:rsidP="00E95FE8">
            <w:pPr>
              <w:rPr>
                <w:rFonts w:cstheme="minorHAnsi"/>
              </w:rPr>
            </w:pPr>
            <w:r w:rsidRPr="00FA1BCC">
              <w:rPr>
                <w:rFonts w:cstheme="minorHAnsi"/>
              </w:rPr>
              <w:lastRenderedPageBreak/>
              <w:t xml:space="preserve">A2.1.1 Inwestycje wspierające robotyzację i cyfryzację w przedsiębiorstwach   </w:t>
            </w:r>
          </w:p>
        </w:tc>
        <w:tc>
          <w:tcPr>
            <w:tcW w:w="2137" w:type="dxa"/>
            <w:hideMark/>
          </w:tcPr>
          <w:p w14:paraId="72678155" w14:textId="13631B4F" w:rsidR="00721D67" w:rsidRPr="00FA1BCC" w:rsidRDefault="00721D67" w:rsidP="00E95FE8">
            <w:pPr>
              <w:rPr>
                <w:rFonts w:cstheme="minorHAnsi"/>
              </w:rPr>
            </w:pPr>
            <w:r w:rsidRPr="00FA1BCC">
              <w:rPr>
                <w:rFonts w:cstheme="minorHAnsi"/>
              </w:rPr>
              <w:t xml:space="preserve">Ministerstwo Aktywów Państwowych </w:t>
            </w:r>
          </w:p>
        </w:tc>
        <w:tc>
          <w:tcPr>
            <w:tcW w:w="3266" w:type="dxa"/>
            <w:hideMark/>
          </w:tcPr>
          <w:p w14:paraId="76D53308" w14:textId="046B0A7D" w:rsidR="00721D67" w:rsidRPr="00FA1BCC" w:rsidRDefault="00721D67" w:rsidP="00E95FE8">
            <w:pPr>
              <w:rPr>
                <w:rFonts w:cstheme="minorHAnsi"/>
              </w:rPr>
            </w:pPr>
            <w:r w:rsidRPr="00FA1BCC">
              <w:rPr>
                <w:rFonts w:cstheme="minorHAnsi"/>
              </w:rPr>
              <w:t>Duże przedsiębiorstwa</w:t>
            </w:r>
          </w:p>
        </w:tc>
        <w:tc>
          <w:tcPr>
            <w:tcW w:w="3543" w:type="dxa"/>
          </w:tcPr>
          <w:p w14:paraId="1405B77B" w14:textId="516F3DDE" w:rsidR="00721D67" w:rsidRPr="00FA1BCC" w:rsidRDefault="00746596" w:rsidP="00E95FE8">
            <w:pPr>
              <w:rPr>
                <w:rFonts w:cstheme="minorHAnsi"/>
              </w:rPr>
            </w:pPr>
            <w:hyperlink r:id="rId14" w:history="1">
              <w:r w:rsidR="00721D67" w:rsidRPr="00FA1BCC">
                <w:rPr>
                  <w:rStyle w:val="Hipercze"/>
                  <w:rFonts w:cstheme="minorHAnsi"/>
                </w:rPr>
                <w:t>https://www.gov.pl/web/aktywa-panstwowe/krajowy-plan-odbudowy2</w:t>
              </w:r>
            </w:hyperlink>
          </w:p>
        </w:tc>
        <w:tc>
          <w:tcPr>
            <w:tcW w:w="2106" w:type="dxa"/>
          </w:tcPr>
          <w:p w14:paraId="51F92274" w14:textId="0076226F" w:rsidR="00721D67" w:rsidRPr="00FA1BCC" w:rsidRDefault="008A34A3" w:rsidP="00E95FE8">
            <w:pPr>
              <w:rPr>
                <w:rFonts w:cstheme="minorHAnsi"/>
              </w:rPr>
            </w:pPr>
            <w:r w:rsidRPr="00FA1BCC">
              <w:rPr>
                <w:rFonts w:cstheme="minorHAnsi"/>
              </w:rPr>
              <w:t>II kw. 2023 r.</w:t>
            </w:r>
          </w:p>
        </w:tc>
      </w:tr>
      <w:tr w:rsidR="008A34A3" w:rsidRPr="00FA1BCC" w14:paraId="2B45ECB8" w14:textId="5DAB9A19" w:rsidTr="00DE0998">
        <w:trPr>
          <w:trHeight w:val="600"/>
        </w:trPr>
        <w:tc>
          <w:tcPr>
            <w:tcW w:w="2956" w:type="dxa"/>
            <w:hideMark/>
          </w:tcPr>
          <w:p w14:paraId="49DACCE2" w14:textId="77777777" w:rsidR="00721D67" w:rsidRPr="00FA1BCC" w:rsidRDefault="00721D67" w:rsidP="00E95FE8">
            <w:pPr>
              <w:rPr>
                <w:rFonts w:cstheme="minorHAnsi"/>
              </w:rPr>
            </w:pPr>
            <w:r w:rsidRPr="00FA1BCC">
              <w:rPr>
                <w:rFonts w:cstheme="minorHAnsi"/>
              </w:rPr>
              <w:t xml:space="preserve">A2.2.1 Inwestycje we wdrażanie technologii i innowacji środowiskowych, w tym związanych z GOZ </w:t>
            </w:r>
          </w:p>
        </w:tc>
        <w:tc>
          <w:tcPr>
            <w:tcW w:w="2137" w:type="dxa"/>
            <w:hideMark/>
          </w:tcPr>
          <w:p w14:paraId="69F2E206" w14:textId="5C1B6670" w:rsidR="00721D67" w:rsidRPr="00FA1BCC" w:rsidRDefault="00721D67" w:rsidP="00E95FE8">
            <w:pPr>
              <w:rPr>
                <w:rFonts w:cstheme="minorHAnsi"/>
              </w:rPr>
            </w:pPr>
            <w:r w:rsidRPr="00FA1BCC">
              <w:rPr>
                <w:rFonts w:cstheme="minorHAnsi"/>
              </w:rPr>
              <w:t>Ministerstwo Rozwoju i Technologii</w:t>
            </w:r>
          </w:p>
        </w:tc>
        <w:tc>
          <w:tcPr>
            <w:tcW w:w="3266" w:type="dxa"/>
            <w:hideMark/>
          </w:tcPr>
          <w:p w14:paraId="5C2FA7D1" w14:textId="753C06A7" w:rsidR="00721D67" w:rsidRPr="00FA1BCC" w:rsidRDefault="00721D67" w:rsidP="00E95FE8">
            <w:pPr>
              <w:rPr>
                <w:rFonts w:cstheme="minorHAnsi"/>
              </w:rPr>
            </w:pPr>
            <w:r w:rsidRPr="00FA1BCC">
              <w:rPr>
                <w:rFonts w:cstheme="minorHAnsi"/>
              </w:rPr>
              <w:t xml:space="preserve">Duże, średnie i małe przedsiębiorstwa </w:t>
            </w:r>
          </w:p>
        </w:tc>
        <w:tc>
          <w:tcPr>
            <w:tcW w:w="3543" w:type="dxa"/>
          </w:tcPr>
          <w:p w14:paraId="0F8FCDDA" w14:textId="12DF5493" w:rsidR="00721D67" w:rsidRPr="00FA1BCC" w:rsidRDefault="00746596" w:rsidP="00E95FE8">
            <w:pPr>
              <w:rPr>
                <w:rFonts w:cstheme="minorHAnsi"/>
              </w:rPr>
            </w:pPr>
            <w:hyperlink r:id="rId15" w:history="1">
              <w:r w:rsidR="00721D67" w:rsidRPr="00FA1BCC">
                <w:rPr>
                  <w:rStyle w:val="Hipercze"/>
                  <w:rFonts w:cstheme="minorHAnsi"/>
                </w:rPr>
                <w:t>https://www.gov.pl/web/rozwoj-technologia/krajowy-plan-odbudowy5</w:t>
              </w:r>
            </w:hyperlink>
          </w:p>
        </w:tc>
        <w:tc>
          <w:tcPr>
            <w:tcW w:w="2106" w:type="dxa"/>
          </w:tcPr>
          <w:p w14:paraId="754F5855" w14:textId="38EAB5A3" w:rsidR="00721D67" w:rsidRPr="00FA1BCC" w:rsidRDefault="008A34A3" w:rsidP="00E95FE8">
            <w:pPr>
              <w:rPr>
                <w:rFonts w:cstheme="minorHAnsi"/>
              </w:rPr>
            </w:pPr>
            <w:r w:rsidRPr="00FA1BCC">
              <w:rPr>
                <w:rFonts w:cstheme="minorHAnsi"/>
              </w:rPr>
              <w:t>III kw. 2023 r.</w:t>
            </w:r>
            <w:r w:rsidR="00746596">
              <w:rPr>
                <w:rFonts w:cstheme="minorHAnsi"/>
              </w:rPr>
              <w:t xml:space="preserve"> (nabór realizowany przez NCBR)</w:t>
            </w:r>
          </w:p>
          <w:p w14:paraId="1B43A8BF" w14:textId="2A947E3D" w:rsidR="008A34A3" w:rsidRPr="00FA1BCC" w:rsidRDefault="008A34A3" w:rsidP="00E95FE8">
            <w:pPr>
              <w:rPr>
                <w:rFonts w:cstheme="minorHAnsi"/>
              </w:rPr>
            </w:pPr>
            <w:r w:rsidRPr="00FA1BCC">
              <w:rPr>
                <w:rFonts w:cstheme="minorHAnsi"/>
              </w:rPr>
              <w:t>od 28.06.2023 r. do 28.09.2023 r.</w:t>
            </w:r>
            <w:r w:rsidR="00746596">
              <w:rPr>
                <w:rFonts w:cstheme="minorHAnsi"/>
              </w:rPr>
              <w:t xml:space="preserve"> (nabór realizowany przez PARP)</w:t>
            </w:r>
          </w:p>
        </w:tc>
      </w:tr>
      <w:tr w:rsidR="008A34A3" w:rsidRPr="00FA1BCC" w14:paraId="5C93F291" w14:textId="0DAD5DF0" w:rsidTr="00DE0998">
        <w:trPr>
          <w:trHeight w:val="600"/>
        </w:trPr>
        <w:tc>
          <w:tcPr>
            <w:tcW w:w="2956" w:type="dxa"/>
          </w:tcPr>
          <w:p w14:paraId="48E396BA" w14:textId="65B22F4B" w:rsidR="00721D67" w:rsidRPr="00FA1BCC" w:rsidRDefault="00721D67" w:rsidP="00E95FE8">
            <w:pPr>
              <w:rPr>
                <w:rFonts w:cstheme="minorHAnsi"/>
              </w:rPr>
            </w:pPr>
            <w:r w:rsidRPr="00FA1BCC">
              <w:rPr>
                <w:rFonts w:cstheme="minorHAnsi"/>
              </w:rPr>
              <w:t xml:space="preserve">A2.4.1 Budowa i modernizacja laboratoriów instytutów nadzorowanych przez </w:t>
            </w:r>
            <w:proofErr w:type="spellStart"/>
            <w:r w:rsidRPr="00FA1BCC">
              <w:rPr>
                <w:rFonts w:cstheme="minorHAnsi"/>
              </w:rPr>
              <w:t>MRiRW</w:t>
            </w:r>
            <w:proofErr w:type="spellEnd"/>
            <w:r w:rsidRPr="00FA1BCC">
              <w:rPr>
                <w:rFonts w:cstheme="minorHAnsi"/>
              </w:rPr>
              <w:t xml:space="preserve"> w sektorze hodowli roślin </w:t>
            </w:r>
          </w:p>
        </w:tc>
        <w:tc>
          <w:tcPr>
            <w:tcW w:w="2137" w:type="dxa"/>
          </w:tcPr>
          <w:p w14:paraId="5E1A3529" w14:textId="5E819B52" w:rsidR="00721D67" w:rsidRPr="00FA1BCC" w:rsidRDefault="00721D67" w:rsidP="00E95FE8">
            <w:pPr>
              <w:rPr>
                <w:rFonts w:cstheme="minorHAnsi"/>
              </w:rPr>
            </w:pPr>
            <w:r w:rsidRPr="00FA1BCC">
              <w:rPr>
                <w:rFonts w:cstheme="minorHAnsi"/>
              </w:rPr>
              <w:t>Ministerstwo Rolnictwa i Rozwoju Wsi</w:t>
            </w:r>
          </w:p>
        </w:tc>
        <w:tc>
          <w:tcPr>
            <w:tcW w:w="3266" w:type="dxa"/>
          </w:tcPr>
          <w:p w14:paraId="2E764CB3" w14:textId="587082C6" w:rsidR="00721D67" w:rsidRPr="00FA1BCC" w:rsidRDefault="00721D67" w:rsidP="00E95FE8">
            <w:pPr>
              <w:rPr>
                <w:rFonts w:cstheme="minorHAnsi"/>
              </w:rPr>
            </w:pPr>
            <w:r w:rsidRPr="00FA1BCC">
              <w:rPr>
                <w:rFonts w:cstheme="minorHAnsi"/>
              </w:rPr>
              <w:t xml:space="preserve">Organizacje badawcze, przedsiębiorcy, naukowcy, instytucje otoczenia biznesu, społeczeństwo, podmioty AKIS, w tym m.in. jednostki podległe lub nadzorowane przez </w:t>
            </w:r>
            <w:proofErr w:type="spellStart"/>
            <w:r w:rsidRPr="00FA1BCC">
              <w:rPr>
                <w:rFonts w:cstheme="minorHAnsi"/>
              </w:rPr>
              <w:t>MRiRW</w:t>
            </w:r>
            <w:proofErr w:type="spellEnd"/>
            <w:r w:rsidRPr="00FA1BCC">
              <w:rPr>
                <w:rFonts w:cstheme="minorHAnsi"/>
              </w:rPr>
              <w:t>, spółki z udziałem Skarbu Państwa. Odbiorcą pośrednim, korzystającym z efektów wykorzystania infrastruktury wspartej środkami RRF będą rolnicy i pozostali uczestnicy systemu AKIS</w:t>
            </w:r>
          </w:p>
        </w:tc>
        <w:tc>
          <w:tcPr>
            <w:tcW w:w="3543" w:type="dxa"/>
          </w:tcPr>
          <w:p w14:paraId="0B692A99" w14:textId="2AE5D730" w:rsidR="00721D67" w:rsidRPr="00FA1BCC" w:rsidRDefault="00746596" w:rsidP="00E95FE8">
            <w:pPr>
              <w:rPr>
                <w:rFonts w:cstheme="minorHAnsi"/>
              </w:rPr>
            </w:pPr>
            <w:hyperlink r:id="rId16" w:history="1">
              <w:r w:rsidR="00721D67" w:rsidRPr="00FA1BCC">
                <w:rPr>
                  <w:rStyle w:val="Hipercze"/>
                  <w:rFonts w:cstheme="minorHAnsi"/>
                </w:rPr>
                <w:t>https://www.gov.pl/web/rolnictwo/krajowy-planu-odbudowy-i-zwiekszania-odpornosci</w:t>
              </w:r>
            </w:hyperlink>
          </w:p>
        </w:tc>
        <w:tc>
          <w:tcPr>
            <w:tcW w:w="2106" w:type="dxa"/>
          </w:tcPr>
          <w:p w14:paraId="4EF97CA7" w14:textId="6B83FC42" w:rsidR="00721D67" w:rsidRPr="00FA1BCC" w:rsidRDefault="008A34A3" w:rsidP="00E95FE8">
            <w:pPr>
              <w:rPr>
                <w:rFonts w:cstheme="minorHAnsi"/>
              </w:rPr>
            </w:pPr>
            <w:r w:rsidRPr="00FA1BCC">
              <w:rPr>
                <w:rFonts w:cstheme="minorHAnsi"/>
              </w:rPr>
              <w:t>I półrocze 2023 r.</w:t>
            </w:r>
          </w:p>
        </w:tc>
      </w:tr>
      <w:tr w:rsidR="008A34A3" w:rsidRPr="00FA1BCC" w14:paraId="6FD76317" w14:textId="543002E9" w:rsidTr="00DE0998">
        <w:trPr>
          <w:trHeight w:val="600"/>
        </w:trPr>
        <w:tc>
          <w:tcPr>
            <w:tcW w:w="2956" w:type="dxa"/>
            <w:shd w:val="clear" w:color="auto" w:fill="auto"/>
          </w:tcPr>
          <w:p w14:paraId="3E34B7D7" w14:textId="12160675" w:rsidR="00721D67" w:rsidRPr="00FA1BCC" w:rsidRDefault="00721D67" w:rsidP="00E95FE8">
            <w:pPr>
              <w:rPr>
                <w:rFonts w:cstheme="minorHAnsi"/>
                <w:highlight w:val="yellow"/>
              </w:rPr>
            </w:pPr>
            <w:r w:rsidRPr="00FA1BCC">
              <w:rPr>
                <w:rFonts w:cstheme="minorHAnsi"/>
              </w:rPr>
              <w:t>A2.4.1 Inwestycje w rozbudowę potencjału badawczego</w:t>
            </w:r>
          </w:p>
        </w:tc>
        <w:tc>
          <w:tcPr>
            <w:tcW w:w="2137" w:type="dxa"/>
          </w:tcPr>
          <w:p w14:paraId="077D77BE" w14:textId="46639EC2" w:rsidR="00721D67" w:rsidRPr="00FA1BCC" w:rsidRDefault="00721D67" w:rsidP="00E95FE8">
            <w:pPr>
              <w:rPr>
                <w:rFonts w:cstheme="minorHAnsi"/>
                <w:highlight w:val="yellow"/>
              </w:rPr>
            </w:pPr>
            <w:r w:rsidRPr="00FA1BCC">
              <w:rPr>
                <w:rFonts w:cstheme="minorHAnsi"/>
              </w:rPr>
              <w:t>Ministerstwo Edukacji i Nauki</w:t>
            </w:r>
          </w:p>
        </w:tc>
        <w:tc>
          <w:tcPr>
            <w:tcW w:w="3266" w:type="dxa"/>
          </w:tcPr>
          <w:p w14:paraId="7367762F" w14:textId="751DA5AA" w:rsidR="00721D67" w:rsidRPr="00FA1BCC" w:rsidRDefault="00721D67" w:rsidP="00E95FE8">
            <w:pPr>
              <w:rPr>
                <w:rFonts w:cstheme="minorHAnsi"/>
                <w:highlight w:val="yellow"/>
              </w:rPr>
            </w:pPr>
            <w:r w:rsidRPr="00FA1BCC">
              <w:rPr>
                <w:rFonts w:cstheme="minorHAnsi"/>
              </w:rPr>
              <w:t xml:space="preserve">Inwestycje te mają umożliwić polskiemu środowisku naukowemu aktywny udział w międzynarodowych projektach </w:t>
            </w:r>
            <w:r w:rsidRPr="00FA1BCC">
              <w:rPr>
                <w:rFonts w:cstheme="minorHAnsi"/>
              </w:rPr>
              <w:lastRenderedPageBreak/>
              <w:t>badawczych, przyczynić się do podniesienia jakości kadr B+R w Polsce, jak również stymulować rozwój nowych produktów, procesów i usług.</w:t>
            </w:r>
          </w:p>
        </w:tc>
        <w:tc>
          <w:tcPr>
            <w:tcW w:w="3543" w:type="dxa"/>
          </w:tcPr>
          <w:p w14:paraId="632DD1D2" w14:textId="39F43867" w:rsidR="00721D67" w:rsidRPr="00FA1BCC" w:rsidRDefault="00746596" w:rsidP="00E95FE8">
            <w:pPr>
              <w:rPr>
                <w:rFonts w:cstheme="minorHAnsi"/>
              </w:rPr>
            </w:pPr>
            <w:hyperlink r:id="rId17" w:history="1">
              <w:r w:rsidR="00721D67" w:rsidRPr="00FA1BCC">
                <w:rPr>
                  <w:rStyle w:val="Hipercze"/>
                  <w:rFonts w:cstheme="minorHAnsi"/>
                </w:rPr>
                <w:t>https://www.gov.pl/web/edukacja-i-nauka/inwestycje-w-rozbudowe-potencjalu-badawczego</w:t>
              </w:r>
            </w:hyperlink>
          </w:p>
        </w:tc>
        <w:tc>
          <w:tcPr>
            <w:tcW w:w="2106" w:type="dxa"/>
          </w:tcPr>
          <w:p w14:paraId="56849800" w14:textId="7126BD87" w:rsidR="008A34A3" w:rsidRPr="008A34A3" w:rsidRDefault="008A34A3" w:rsidP="008A34A3">
            <w:pPr>
              <w:rPr>
                <w:rFonts w:cstheme="minorHAnsi"/>
              </w:rPr>
            </w:pPr>
            <w:r w:rsidRPr="00FA1BCC">
              <w:rPr>
                <w:rFonts w:cstheme="minorHAnsi"/>
              </w:rPr>
              <w:t>o</w:t>
            </w:r>
            <w:r w:rsidRPr="008A34A3">
              <w:rPr>
                <w:rFonts w:cstheme="minorHAnsi"/>
              </w:rPr>
              <w:t>d II kw. 2023 r. do III kw. 2023 r.</w:t>
            </w:r>
          </w:p>
          <w:p w14:paraId="50EC823B" w14:textId="77777777" w:rsidR="00721D67" w:rsidRPr="00FA1BCC" w:rsidRDefault="00721D67" w:rsidP="00E95FE8">
            <w:pPr>
              <w:rPr>
                <w:rFonts w:cstheme="minorHAnsi"/>
              </w:rPr>
            </w:pPr>
          </w:p>
        </w:tc>
      </w:tr>
      <w:tr w:rsidR="008A34A3" w:rsidRPr="00FA1BCC" w14:paraId="4F1BCC50" w14:textId="1C4CE641" w:rsidTr="00DE0998">
        <w:trPr>
          <w:trHeight w:val="3000"/>
        </w:trPr>
        <w:tc>
          <w:tcPr>
            <w:tcW w:w="2956" w:type="dxa"/>
          </w:tcPr>
          <w:p w14:paraId="3565A3DC" w14:textId="550A6FC4" w:rsidR="00721D67" w:rsidRPr="00FA1BCC" w:rsidRDefault="00721D67" w:rsidP="00E95FE8">
            <w:pPr>
              <w:rPr>
                <w:rFonts w:cstheme="minorHAnsi"/>
              </w:rPr>
            </w:pPr>
            <w:r w:rsidRPr="00FA1BCC">
              <w:rPr>
                <w:rFonts w:cstheme="minorHAnsi"/>
              </w:rPr>
              <w:t>B1.1.4 Wsparcie dla zwiększenia efektywności energetycznej obiektów lokalnej aktywności społecznej</w:t>
            </w:r>
          </w:p>
        </w:tc>
        <w:tc>
          <w:tcPr>
            <w:tcW w:w="2137" w:type="dxa"/>
          </w:tcPr>
          <w:p w14:paraId="174BF5E2" w14:textId="4E5F420A" w:rsidR="00721D67" w:rsidRPr="00FA1BCC" w:rsidRDefault="00721D67" w:rsidP="00E95FE8">
            <w:pPr>
              <w:rPr>
                <w:rFonts w:cstheme="minorHAnsi"/>
              </w:rPr>
            </w:pPr>
            <w:r w:rsidRPr="00FA1BCC">
              <w:rPr>
                <w:rFonts w:cstheme="minorHAnsi"/>
              </w:rPr>
              <w:t>Ministerstwo Kultury i Dziedzictwa Narodowego</w:t>
            </w:r>
          </w:p>
        </w:tc>
        <w:tc>
          <w:tcPr>
            <w:tcW w:w="3266" w:type="dxa"/>
          </w:tcPr>
          <w:p w14:paraId="5824931A" w14:textId="217BA0D9" w:rsidR="00721D67" w:rsidRPr="00FA1BCC" w:rsidRDefault="00721D67" w:rsidP="00E95FE8">
            <w:pPr>
              <w:rPr>
                <w:rFonts w:cstheme="minorHAnsi"/>
              </w:rPr>
            </w:pPr>
            <w:r w:rsidRPr="00FA1BCC">
              <w:rPr>
                <w:rFonts w:cstheme="minorHAnsi"/>
              </w:rPr>
              <w:t>Biblioteki i domy kultury</w:t>
            </w:r>
          </w:p>
        </w:tc>
        <w:tc>
          <w:tcPr>
            <w:tcW w:w="3543" w:type="dxa"/>
          </w:tcPr>
          <w:p w14:paraId="0E2C2889" w14:textId="79E75267" w:rsidR="00721D67" w:rsidRPr="00FA1BCC" w:rsidRDefault="00746596" w:rsidP="00E95FE8">
            <w:pPr>
              <w:rPr>
                <w:rFonts w:cstheme="minorHAnsi"/>
              </w:rPr>
            </w:pPr>
            <w:hyperlink r:id="rId18" w:history="1">
              <w:r w:rsidR="00721D67" w:rsidRPr="00FA1BCC">
                <w:rPr>
                  <w:rStyle w:val="Hipercze"/>
                  <w:rFonts w:cstheme="minorHAnsi"/>
                </w:rPr>
                <w:t>https://www.gov.pl/web/kultura</w:t>
              </w:r>
            </w:hyperlink>
          </w:p>
        </w:tc>
        <w:tc>
          <w:tcPr>
            <w:tcW w:w="2106" w:type="dxa"/>
          </w:tcPr>
          <w:p w14:paraId="38A1B44C" w14:textId="77777777" w:rsidR="00DE0998" w:rsidRPr="00DE0998" w:rsidRDefault="00DE0998" w:rsidP="00DE0998">
            <w:pPr>
              <w:rPr>
                <w:rFonts w:cstheme="minorHAnsi"/>
              </w:rPr>
            </w:pPr>
            <w:r w:rsidRPr="00DE0998">
              <w:rPr>
                <w:rFonts w:cstheme="minorHAnsi"/>
              </w:rPr>
              <w:t>II półrocze 2023 r.</w:t>
            </w:r>
          </w:p>
          <w:p w14:paraId="4D2A16C4" w14:textId="77777777" w:rsidR="00721D67" w:rsidRPr="00FA1BCC" w:rsidRDefault="00721D67" w:rsidP="00E95FE8">
            <w:pPr>
              <w:rPr>
                <w:rFonts w:cstheme="minorHAnsi"/>
              </w:rPr>
            </w:pPr>
          </w:p>
        </w:tc>
      </w:tr>
      <w:tr w:rsidR="008A34A3" w:rsidRPr="00FA1BCC" w14:paraId="345B7030" w14:textId="62B83E29" w:rsidTr="00DE0998">
        <w:trPr>
          <w:trHeight w:val="3000"/>
        </w:trPr>
        <w:tc>
          <w:tcPr>
            <w:tcW w:w="2956" w:type="dxa"/>
          </w:tcPr>
          <w:p w14:paraId="4CBBBC28" w14:textId="77777777" w:rsidR="00721D67" w:rsidRPr="00FA1BCC" w:rsidRDefault="00721D67" w:rsidP="00D478CD">
            <w:pPr>
              <w:rPr>
                <w:rFonts w:cstheme="minorHAnsi"/>
              </w:rPr>
            </w:pPr>
            <w:r w:rsidRPr="00FA1BCC">
              <w:rPr>
                <w:rFonts w:cstheme="minorHAnsi"/>
              </w:rPr>
              <w:t>B2.1.1 Inwestycje w technologie wodorowe, wytwarzania, magazynowanie i transport wodoru</w:t>
            </w:r>
          </w:p>
          <w:p w14:paraId="59B6E813" w14:textId="77777777" w:rsidR="00721D67" w:rsidRPr="00FA1BCC" w:rsidRDefault="00721D67" w:rsidP="00E95FE8">
            <w:pPr>
              <w:rPr>
                <w:rFonts w:cstheme="minorHAnsi"/>
              </w:rPr>
            </w:pPr>
          </w:p>
        </w:tc>
        <w:tc>
          <w:tcPr>
            <w:tcW w:w="2137" w:type="dxa"/>
          </w:tcPr>
          <w:p w14:paraId="58F217E3" w14:textId="6EFE4931" w:rsidR="00721D67" w:rsidRPr="00FA1BCC" w:rsidRDefault="00721D67" w:rsidP="00E95FE8">
            <w:pPr>
              <w:rPr>
                <w:rFonts w:cstheme="minorHAnsi"/>
              </w:rPr>
            </w:pPr>
            <w:r w:rsidRPr="00FA1BCC">
              <w:rPr>
                <w:rFonts w:cstheme="minorHAnsi"/>
              </w:rPr>
              <w:t xml:space="preserve">Ministerstwo Klimatu i Środowiska </w:t>
            </w:r>
          </w:p>
        </w:tc>
        <w:tc>
          <w:tcPr>
            <w:tcW w:w="3266" w:type="dxa"/>
          </w:tcPr>
          <w:p w14:paraId="5A8B4A63" w14:textId="14BBE3D0" w:rsidR="00721D67" w:rsidRPr="00FA1BCC" w:rsidRDefault="00746596" w:rsidP="00746596">
            <w:pPr>
              <w:rPr>
                <w:rFonts w:cstheme="minorHAnsi"/>
              </w:rPr>
            </w:pPr>
            <w:r w:rsidRPr="00746596">
              <w:rPr>
                <w:rFonts w:cstheme="minorHAnsi"/>
              </w:rPr>
              <w:t xml:space="preserve">Przedsiębiorcy w rozumieniu ustawy z 6 marca 2018 r. z </w:t>
            </w:r>
            <w:proofErr w:type="spellStart"/>
            <w:r w:rsidRPr="00746596">
              <w:rPr>
                <w:rFonts w:cstheme="minorHAnsi"/>
              </w:rPr>
              <w:t>późn</w:t>
            </w:r>
            <w:proofErr w:type="spellEnd"/>
            <w:r w:rsidRPr="00746596">
              <w:rPr>
                <w:rFonts w:cstheme="minorHAnsi"/>
              </w:rPr>
              <w:t>. zm. Prawo przedsiębiorców (</w:t>
            </w:r>
            <w:proofErr w:type="spellStart"/>
            <w:r w:rsidRPr="00746596">
              <w:rPr>
                <w:rFonts w:cstheme="minorHAnsi"/>
              </w:rPr>
              <w:t>t.j</w:t>
            </w:r>
            <w:proofErr w:type="spellEnd"/>
            <w:r w:rsidRPr="00746596">
              <w:rPr>
                <w:rFonts w:cstheme="minorHAnsi"/>
              </w:rPr>
              <w:t>.: Dz. U.</w:t>
            </w:r>
            <w:r>
              <w:rPr>
                <w:rFonts w:cstheme="minorHAnsi"/>
              </w:rPr>
              <w:t xml:space="preserve"> </w:t>
            </w:r>
            <w:r w:rsidRPr="00746596">
              <w:rPr>
                <w:rFonts w:cstheme="minorHAnsi"/>
              </w:rPr>
              <w:t>z 2021 r. poz. 162), którzy posiadają siedzibę lub oddział na terytorium Rzeczypospolitej Polskiej.</w:t>
            </w:r>
          </w:p>
        </w:tc>
        <w:tc>
          <w:tcPr>
            <w:tcW w:w="3543" w:type="dxa"/>
          </w:tcPr>
          <w:p w14:paraId="2CB19986" w14:textId="6B7D6356" w:rsidR="00721D67" w:rsidRPr="00FA1BCC" w:rsidRDefault="00746596" w:rsidP="00E95FE8">
            <w:pPr>
              <w:rPr>
                <w:rFonts w:cstheme="minorHAnsi"/>
              </w:rPr>
            </w:pPr>
            <w:hyperlink r:id="rId19" w:history="1">
              <w:r w:rsidR="00721D67" w:rsidRPr="00FA1BCC">
                <w:rPr>
                  <w:rStyle w:val="Hipercze"/>
                  <w:rFonts w:cstheme="minorHAnsi"/>
                </w:rPr>
                <w:t>https://www.gov.pl/web/klimat/inwestycje-w-technologie-wodorowe-wytwarzanie-magazynowanie-i-transport-wodoru</w:t>
              </w:r>
            </w:hyperlink>
          </w:p>
        </w:tc>
        <w:tc>
          <w:tcPr>
            <w:tcW w:w="2106" w:type="dxa"/>
          </w:tcPr>
          <w:p w14:paraId="51358662" w14:textId="2229A7E2" w:rsidR="00721D67" w:rsidRPr="00FA1BCC" w:rsidRDefault="00FA1BCC" w:rsidP="00E95FE8">
            <w:pPr>
              <w:rPr>
                <w:rFonts w:cstheme="minorHAnsi"/>
              </w:rPr>
            </w:pPr>
            <w:r>
              <w:rPr>
                <w:rFonts w:cstheme="minorHAnsi"/>
              </w:rPr>
              <w:t>od III kw. 2023 r. do I</w:t>
            </w:r>
            <w:r w:rsidR="00DE0998">
              <w:rPr>
                <w:rFonts w:cstheme="minorHAnsi"/>
              </w:rPr>
              <w:t> </w:t>
            </w:r>
            <w:r>
              <w:rPr>
                <w:rFonts w:cstheme="minorHAnsi"/>
              </w:rPr>
              <w:t>kw. 2024 r.</w:t>
            </w:r>
          </w:p>
        </w:tc>
      </w:tr>
      <w:tr w:rsidR="008A34A3" w:rsidRPr="00FA1BCC" w14:paraId="2897F42E" w14:textId="0D712F21" w:rsidTr="00DE0998">
        <w:trPr>
          <w:trHeight w:val="600"/>
        </w:trPr>
        <w:tc>
          <w:tcPr>
            <w:tcW w:w="2956" w:type="dxa"/>
          </w:tcPr>
          <w:p w14:paraId="67A405BB" w14:textId="17BA2793" w:rsidR="00721D67" w:rsidRPr="00FA1BCC" w:rsidRDefault="00721D67" w:rsidP="00E95FE8">
            <w:pPr>
              <w:rPr>
                <w:rFonts w:cstheme="minorHAnsi"/>
              </w:rPr>
            </w:pPr>
            <w:r w:rsidRPr="00FA1BCC">
              <w:rPr>
                <w:rFonts w:cstheme="minorHAnsi"/>
              </w:rPr>
              <w:t>B2.2.2 Instalacje OZE realizowane przez społeczności energetyczne</w:t>
            </w:r>
          </w:p>
        </w:tc>
        <w:tc>
          <w:tcPr>
            <w:tcW w:w="2137" w:type="dxa"/>
          </w:tcPr>
          <w:p w14:paraId="1A7CD3FE" w14:textId="006600DC" w:rsidR="00721D67" w:rsidRPr="00FA1BCC" w:rsidRDefault="00721D67" w:rsidP="00E95FE8">
            <w:pPr>
              <w:rPr>
                <w:rFonts w:cstheme="minorHAnsi"/>
              </w:rPr>
            </w:pPr>
            <w:r w:rsidRPr="00FA1BCC">
              <w:rPr>
                <w:rFonts w:cstheme="minorHAnsi"/>
              </w:rPr>
              <w:t xml:space="preserve">Ministerstwo Rozwoju i Technologii </w:t>
            </w:r>
          </w:p>
        </w:tc>
        <w:tc>
          <w:tcPr>
            <w:tcW w:w="3266" w:type="dxa"/>
          </w:tcPr>
          <w:p w14:paraId="7AB9D393" w14:textId="1CD89A95" w:rsidR="00721D67" w:rsidRPr="00DE0998" w:rsidRDefault="00FA1BCC" w:rsidP="00DE0998">
            <w:pPr>
              <w:pStyle w:val="Akapitzlist"/>
              <w:numPr>
                <w:ilvl w:val="0"/>
                <w:numId w:val="7"/>
              </w:numPr>
              <w:ind w:left="178" w:hanging="142"/>
              <w:rPr>
                <w:rFonts w:cstheme="minorHAnsi"/>
              </w:rPr>
            </w:pPr>
            <w:r w:rsidRPr="00DE0998">
              <w:rPr>
                <w:rFonts w:cstheme="minorHAnsi"/>
              </w:rPr>
              <w:t>C</w:t>
            </w:r>
            <w:r w:rsidR="00721D67" w:rsidRPr="00DE0998">
              <w:rPr>
                <w:rFonts w:cstheme="minorHAnsi"/>
              </w:rPr>
              <w:t>złonkowie klastrów energii w rozumieniu ustawy z dnia 20 lutego 2015r. o odnawialnych źródłach energii;</w:t>
            </w:r>
          </w:p>
          <w:p w14:paraId="764BEEF5" w14:textId="5C3F60BF" w:rsidR="00721D67" w:rsidRPr="00DE0998" w:rsidRDefault="00746596" w:rsidP="00DE0998">
            <w:pPr>
              <w:pStyle w:val="Akapitzlist"/>
              <w:numPr>
                <w:ilvl w:val="0"/>
                <w:numId w:val="7"/>
              </w:numPr>
              <w:ind w:left="178" w:hanging="142"/>
              <w:rPr>
                <w:rFonts w:cstheme="minorHAnsi"/>
              </w:rPr>
            </w:pPr>
            <w:r>
              <w:rPr>
                <w:rFonts w:cstheme="minorHAnsi"/>
              </w:rPr>
              <w:t>S</w:t>
            </w:r>
            <w:r w:rsidR="00721D67" w:rsidRPr="00DE0998">
              <w:rPr>
                <w:rFonts w:cstheme="minorHAnsi"/>
              </w:rPr>
              <w:t xml:space="preserve">półdzielnie energetyczne w rozumieniu ustawy z dnia 20 </w:t>
            </w:r>
            <w:r w:rsidR="00721D67" w:rsidRPr="00DE0998">
              <w:rPr>
                <w:rFonts w:cstheme="minorHAnsi"/>
              </w:rPr>
              <w:lastRenderedPageBreak/>
              <w:t>lutego 2015 r. o odnawialnych źródłach energii;</w:t>
            </w:r>
          </w:p>
          <w:p w14:paraId="2E126E3B" w14:textId="7A9082CA" w:rsidR="00721D67" w:rsidRPr="00DE0998" w:rsidRDefault="00746596" w:rsidP="00DE0998">
            <w:pPr>
              <w:pStyle w:val="Akapitzlist"/>
              <w:numPr>
                <w:ilvl w:val="0"/>
                <w:numId w:val="7"/>
              </w:numPr>
              <w:ind w:left="178" w:hanging="142"/>
              <w:rPr>
                <w:rFonts w:cstheme="minorHAnsi"/>
              </w:rPr>
            </w:pPr>
            <w:r>
              <w:rPr>
                <w:rFonts w:cstheme="minorHAnsi"/>
              </w:rPr>
              <w:t>J</w:t>
            </w:r>
            <w:r w:rsidR="00721D67" w:rsidRPr="00DE0998">
              <w:rPr>
                <w:rFonts w:cstheme="minorHAnsi"/>
              </w:rPr>
              <w:t>ednostki samorządu terytorialnego oraz ich związku, które w dniu złożenia wniosku nie są członkami klastrów energii lub spółdzielni energetycznych w rozumieniu ustawy z dnia 20 lutego 2015 r. o odnawialnych źródłach energii</w:t>
            </w:r>
          </w:p>
          <w:p w14:paraId="4CEFDA56" w14:textId="467467AB" w:rsidR="00721D67" w:rsidRPr="00FA1BCC" w:rsidRDefault="00721D67" w:rsidP="00E95FE8">
            <w:pPr>
              <w:rPr>
                <w:rFonts w:cstheme="minorHAnsi"/>
              </w:rPr>
            </w:pPr>
          </w:p>
        </w:tc>
        <w:tc>
          <w:tcPr>
            <w:tcW w:w="3543" w:type="dxa"/>
          </w:tcPr>
          <w:p w14:paraId="6ADC2D82" w14:textId="223ACF36" w:rsidR="00721D67" w:rsidRPr="00FA1BCC" w:rsidRDefault="00746596" w:rsidP="00E95FE8">
            <w:pPr>
              <w:rPr>
                <w:rFonts w:cstheme="minorHAnsi"/>
              </w:rPr>
            </w:pPr>
            <w:hyperlink r:id="rId20" w:history="1">
              <w:r w:rsidR="00721D67" w:rsidRPr="00FA1BCC">
                <w:rPr>
                  <w:rStyle w:val="Hipercze"/>
                  <w:rFonts w:cstheme="minorHAnsi"/>
                </w:rPr>
                <w:t>https://www.gov.pl/web/rozwoj-technologia/krajowy-plan-odbudowy5</w:t>
              </w:r>
            </w:hyperlink>
          </w:p>
        </w:tc>
        <w:tc>
          <w:tcPr>
            <w:tcW w:w="2106" w:type="dxa"/>
          </w:tcPr>
          <w:p w14:paraId="4A29AA14" w14:textId="4A7D8ABD" w:rsidR="00721D67" w:rsidRPr="00FA1BCC" w:rsidRDefault="00FA1BCC" w:rsidP="00E95FE8">
            <w:pPr>
              <w:rPr>
                <w:rFonts w:cstheme="minorHAnsi"/>
              </w:rPr>
            </w:pPr>
            <w:r>
              <w:rPr>
                <w:rFonts w:cstheme="minorHAnsi"/>
              </w:rPr>
              <w:t>Od II kw. 2023 r. do III kw. 2023 r.</w:t>
            </w:r>
          </w:p>
        </w:tc>
      </w:tr>
      <w:tr w:rsidR="008A34A3" w:rsidRPr="00FA1BCC" w14:paraId="6EB059F7" w14:textId="05F3A6FF" w:rsidTr="00DE0998">
        <w:trPr>
          <w:trHeight w:val="600"/>
        </w:trPr>
        <w:tc>
          <w:tcPr>
            <w:tcW w:w="2956" w:type="dxa"/>
          </w:tcPr>
          <w:p w14:paraId="7A8A297E" w14:textId="77777777" w:rsidR="00721D67" w:rsidRPr="00FA1BCC" w:rsidRDefault="00721D67" w:rsidP="00F45267">
            <w:pPr>
              <w:rPr>
                <w:rFonts w:cstheme="minorHAnsi"/>
              </w:rPr>
            </w:pPr>
            <w:r w:rsidRPr="00FA1BCC">
              <w:rPr>
                <w:rFonts w:cstheme="minorHAnsi"/>
              </w:rPr>
              <w:t>B3.1.1. Inwestycje w zrównoważoną gospodarkę wodno-ściekową na terenach wiejskich</w:t>
            </w:r>
          </w:p>
          <w:p w14:paraId="44D47534" w14:textId="77777777" w:rsidR="00721D67" w:rsidRPr="00FA1BCC" w:rsidRDefault="00721D67" w:rsidP="00F45267">
            <w:pPr>
              <w:jc w:val="center"/>
              <w:rPr>
                <w:rFonts w:cstheme="minorHAnsi"/>
              </w:rPr>
            </w:pPr>
          </w:p>
        </w:tc>
        <w:tc>
          <w:tcPr>
            <w:tcW w:w="2137" w:type="dxa"/>
          </w:tcPr>
          <w:p w14:paraId="25A12369" w14:textId="28EA3914" w:rsidR="00721D67" w:rsidRPr="00FA1BCC" w:rsidRDefault="00721D67" w:rsidP="00E95FE8">
            <w:pPr>
              <w:rPr>
                <w:rFonts w:cstheme="minorHAnsi"/>
              </w:rPr>
            </w:pPr>
            <w:r w:rsidRPr="00FA1BCC">
              <w:rPr>
                <w:rFonts w:cstheme="minorHAnsi"/>
              </w:rPr>
              <w:t>Ministerstwo Rolnictwa i Rozwoju Wsi</w:t>
            </w:r>
          </w:p>
        </w:tc>
        <w:tc>
          <w:tcPr>
            <w:tcW w:w="3266" w:type="dxa"/>
          </w:tcPr>
          <w:p w14:paraId="31D82C9E" w14:textId="1AF13D7B" w:rsidR="00721D67" w:rsidRPr="00FA1BCC" w:rsidRDefault="00721D67" w:rsidP="00F45267">
            <w:pPr>
              <w:rPr>
                <w:rFonts w:cstheme="minorHAnsi"/>
              </w:rPr>
            </w:pPr>
            <w:r w:rsidRPr="00FA1BCC">
              <w:rPr>
                <w:rFonts w:cstheme="minorHAnsi"/>
              </w:rPr>
              <w:t xml:space="preserve">Osoby zamieszkujące na terenach wiejskich </w:t>
            </w:r>
          </w:p>
        </w:tc>
        <w:tc>
          <w:tcPr>
            <w:tcW w:w="3543" w:type="dxa"/>
          </w:tcPr>
          <w:p w14:paraId="4D346916" w14:textId="0ECA9E64" w:rsidR="00721D67" w:rsidRPr="00FA1BCC" w:rsidRDefault="00746596" w:rsidP="00E95FE8">
            <w:pPr>
              <w:rPr>
                <w:rFonts w:cstheme="minorHAnsi"/>
              </w:rPr>
            </w:pPr>
            <w:hyperlink r:id="rId21" w:history="1">
              <w:r w:rsidR="00721D67" w:rsidRPr="00FA1BCC">
                <w:rPr>
                  <w:rStyle w:val="Hipercze"/>
                  <w:rFonts w:cstheme="minorHAnsi"/>
                </w:rPr>
                <w:t>https://www.gov.pl/web/rolnictwo/krajowy-planu-odbudowy-i-zwiekszania-odpornosc</w:t>
              </w:r>
            </w:hyperlink>
          </w:p>
        </w:tc>
        <w:tc>
          <w:tcPr>
            <w:tcW w:w="2106" w:type="dxa"/>
          </w:tcPr>
          <w:p w14:paraId="6AF3D54D" w14:textId="77777777" w:rsidR="00DE0998" w:rsidRPr="00DE0998" w:rsidRDefault="00DE0998" w:rsidP="00DE0998">
            <w:pPr>
              <w:rPr>
                <w:rFonts w:cstheme="minorHAnsi"/>
              </w:rPr>
            </w:pPr>
            <w:r w:rsidRPr="00DE0998">
              <w:rPr>
                <w:rFonts w:cstheme="minorHAnsi"/>
              </w:rPr>
              <w:t>II półrocze 2023 r.</w:t>
            </w:r>
          </w:p>
          <w:p w14:paraId="6F5A4200" w14:textId="77777777" w:rsidR="00721D67" w:rsidRPr="00FA1BCC" w:rsidRDefault="00721D67" w:rsidP="00E95FE8">
            <w:pPr>
              <w:rPr>
                <w:rFonts w:cstheme="minorHAnsi"/>
              </w:rPr>
            </w:pPr>
          </w:p>
        </w:tc>
      </w:tr>
      <w:tr w:rsidR="008A34A3" w:rsidRPr="00FA1BCC" w14:paraId="56504F87" w14:textId="74A2F122" w:rsidTr="00DE0998">
        <w:trPr>
          <w:trHeight w:val="600"/>
        </w:trPr>
        <w:tc>
          <w:tcPr>
            <w:tcW w:w="2956" w:type="dxa"/>
          </w:tcPr>
          <w:p w14:paraId="61D1D831" w14:textId="2B2304B6" w:rsidR="00721D67" w:rsidRPr="00FA1BCC" w:rsidRDefault="00721D67" w:rsidP="00E95FE8">
            <w:pPr>
              <w:rPr>
                <w:rFonts w:cstheme="minorHAnsi"/>
              </w:rPr>
            </w:pPr>
            <w:r w:rsidRPr="00FA1BCC">
              <w:rPr>
                <w:rFonts w:cstheme="minorHAnsi"/>
              </w:rPr>
              <w:t xml:space="preserve">C1.1.1 Zapewnienie dostępu do bardzo szybkiego </w:t>
            </w:r>
            <w:proofErr w:type="spellStart"/>
            <w:r w:rsidRPr="00FA1BCC">
              <w:rPr>
                <w:rFonts w:cstheme="minorHAnsi"/>
              </w:rPr>
              <w:t>internetu</w:t>
            </w:r>
            <w:proofErr w:type="spellEnd"/>
            <w:r w:rsidRPr="00FA1BCC">
              <w:rPr>
                <w:rFonts w:cstheme="minorHAnsi"/>
              </w:rPr>
              <w:t xml:space="preserve"> na obszarach białych plam</w:t>
            </w:r>
          </w:p>
        </w:tc>
        <w:tc>
          <w:tcPr>
            <w:tcW w:w="2137" w:type="dxa"/>
          </w:tcPr>
          <w:p w14:paraId="4A5FC2AA" w14:textId="52E17FD9" w:rsidR="00721D67" w:rsidRPr="00FA1BCC" w:rsidRDefault="00FA1BCC" w:rsidP="00E95FE8">
            <w:pPr>
              <w:rPr>
                <w:rFonts w:cstheme="minorHAnsi"/>
              </w:rPr>
            </w:pPr>
            <w:r w:rsidRPr="00FA1BCC">
              <w:rPr>
                <w:rFonts w:cstheme="minorHAnsi"/>
              </w:rPr>
              <w:t>Ministerstwo Cyfryzacji</w:t>
            </w:r>
          </w:p>
        </w:tc>
        <w:tc>
          <w:tcPr>
            <w:tcW w:w="3266" w:type="dxa"/>
          </w:tcPr>
          <w:p w14:paraId="56BBDF0E" w14:textId="15EFA304" w:rsidR="00721D67" w:rsidRPr="00FA1BCC" w:rsidRDefault="00721D67" w:rsidP="00E95FE8">
            <w:pPr>
              <w:rPr>
                <w:rFonts w:cstheme="minorHAnsi"/>
              </w:rPr>
            </w:pPr>
            <w:r w:rsidRPr="00FA1BCC">
              <w:rPr>
                <w:rFonts w:cstheme="minorHAnsi"/>
              </w:rPr>
              <w:t>Przedsiębiorcy telekomunikacyjni, zarówno z sektora MŚP, jak i dużych przedsiębiorstw</w:t>
            </w:r>
          </w:p>
        </w:tc>
        <w:tc>
          <w:tcPr>
            <w:tcW w:w="3543" w:type="dxa"/>
          </w:tcPr>
          <w:p w14:paraId="0068FA20" w14:textId="1FFDD026" w:rsidR="00721D67" w:rsidRPr="00FA1BCC" w:rsidRDefault="00746596" w:rsidP="00E95FE8">
            <w:pPr>
              <w:rPr>
                <w:rFonts w:cstheme="minorHAnsi"/>
              </w:rPr>
            </w:pPr>
            <w:hyperlink r:id="rId22" w:history="1">
              <w:r w:rsidR="00721D67" w:rsidRPr="00FA1BCC">
                <w:rPr>
                  <w:rStyle w:val="Hipercze"/>
                  <w:rFonts w:cstheme="minorHAnsi"/>
                </w:rPr>
                <w:t>https://www.gov.pl/web/premier</w:t>
              </w:r>
            </w:hyperlink>
          </w:p>
        </w:tc>
        <w:tc>
          <w:tcPr>
            <w:tcW w:w="2106" w:type="dxa"/>
          </w:tcPr>
          <w:p w14:paraId="417337AD" w14:textId="77777777" w:rsidR="00FA1BCC" w:rsidRPr="00FA1BCC" w:rsidRDefault="00FA1BCC" w:rsidP="00FA1BCC">
            <w:pPr>
              <w:rPr>
                <w:rFonts w:cstheme="minorHAnsi"/>
              </w:rPr>
            </w:pPr>
            <w:r w:rsidRPr="00FA1BCC">
              <w:rPr>
                <w:rFonts w:cstheme="minorHAnsi"/>
              </w:rPr>
              <w:t>I półrocze 2023 r.</w:t>
            </w:r>
          </w:p>
          <w:p w14:paraId="2A099E5D" w14:textId="77777777" w:rsidR="00721D67" w:rsidRPr="00FA1BCC" w:rsidRDefault="00721D67" w:rsidP="00E95FE8">
            <w:pPr>
              <w:rPr>
                <w:rFonts w:cstheme="minorHAnsi"/>
              </w:rPr>
            </w:pPr>
          </w:p>
        </w:tc>
      </w:tr>
      <w:tr w:rsidR="008A34A3" w:rsidRPr="00FA1BCC" w14:paraId="019BC54F" w14:textId="4E0D16BF" w:rsidTr="00DE0998">
        <w:trPr>
          <w:trHeight w:val="600"/>
        </w:trPr>
        <w:tc>
          <w:tcPr>
            <w:tcW w:w="2956" w:type="dxa"/>
          </w:tcPr>
          <w:p w14:paraId="4D853D02" w14:textId="5B507B86" w:rsidR="00721D67" w:rsidRPr="00FA1BCC" w:rsidRDefault="00721D67" w:rsidP="00E95FE8">
            <w:pPr>
              <w:rPr>
                <w:rFonts w:cstheme="minorHAnsi"/>
              </w:rPr>
            </w:pPr>
            <w:r w:rsidRPr="00FA1BCC">
              <w:rPr>
                <w:rFonts w:cstheme="minorHAnsi"/>
              </w:rPr>
              <w:t xml:space="preserve">C3.1.1 </w:t>
            </w:r>
            <w:proofErr w:type="spellStart"/>
            <w:r w:rsidRPr="00FA1BCC">
              <w:rPr>
                <w:rFonts w:cstheme="minorHAnsi"/>
              </w:rPr>
              <w:t>Cyberbezpieczeństwo</w:t>
            </w:r>
            <w:proofErr w:type="spellEnd"/>
            <w:r w:rsidRPr="00FA1BCC">
              <w:rPr>
                <w:rFonts w:cstheme="minorHAnsi"/>
              </w:rPr>
              <w:t xml:space="preserve"> – </w:t>
            </w:r>
            <w:proofErr w:type="spellStart"/>
            <w:r w:rsidRPr="00FA1BCC">
              <w:rPr>
                <w:rFonts w:cstheme="minorHAnsi"/>
              </w:rPr>
              <w:t>CyberPL</w:t>
            </w:r>
            <w:proofErr w:type="spellEnd"/>
            <w:r w:rsidRPr="00FA1BCC">
              <w:rPr>
                <w:rFonts w:cstheme="minorHAnsi"/>
              </w:rPr>
              <w:t>, infrastruktura przetwarzania danych oraz optymalizacja infrastruktury służb państwowych odpowiedzialnych za bezpieczeństwo</w:t>
            </w:r>
          </w:p>
        </w:tc>
        <w:tc>
          <w:tcPr>
            <w:tcW w:w="2137" w:type="dxa"/>
          </w:tcPr>
          <w:p w14:paraId="0B8256E9" w14:textId="0C9DC2F4" w:rsidR="00721D67" w:rsidRPr="00FA1BCC" w:rsidRDefault="00721D67" w:rsidP="00E95FE8">
            <w:pPr>
              <w:rPr>
                <w:rFonts w:cstheme="minorHAnsi"/>
              </w:rPr>
            </w:pPr>
            <w:r w:rsidRPr="00FA1BCC">
              <w:rPr>
                <w:rFonts w:cstheme="minorHAnsi"/>
              </w:rPr>
              <w:t xml:space="preserve">Ministerstwo Cyfryzacji </w:t>
            </w:r>
          </w:p>
        </w:tc>
        <w:tc>
          <w:tcPr>
            <w:tcW w:w="3266" w:type="dxa"/>
          </w:tcPr>
          <w:p w14:paraId="224CF2AD" w14:textId="66452437" w:rsidR="00721D67" w:rsidRPr="00FA1BCC" w:rsidRDefault="00721D67" w:rsidP="00E95FE8">
            <w:pPr>
              <w:rPr>
                <w:rFonts w:cstheme="minorHAnsi"/>
              </w:rPr>
            </w:pPr>
            <w:r w:rsidRPr="00FA1BCC">
              <w:rPr>
                <w:rFonts w:cstheme="minorHAnsi"/>
              </w:rPr>
              <w:t>Przedsiębiorcy, jednostki centralnej administracji rządowej</w:t>
            </w:r>
          </w:p>
        </w:tc>
        <w:tc>
          <w:tcPr>
            <w:tcW w:w="3543" w:type="dxa"/>
          </w:tcPr>
          <w:p w14:paraId="7D069C01" w14:textId="1954C3BE" w:rsidR="00721D67" w:rsidRPr="00FA1BCC" w:rsidRDefault="00746596" w:rsidP="00E95FE8">
            <w:pPr>
              <w:rPr>
                <w:rFonts w:cstheme="minorHAnsi"/>
              </w:rPr>
            </w:pPr>
            <w:hyperlink r:id="rId23" w:history="1">
              <w:r w:rsidR="00721D67" w:rsidRPr="00FA1BCC">
                <w:rPr>
                  <w:rStyle w:val="Hipercze"/>
                  <w:rFonts w:cstheme="minorHAnsi"/>
                </w:rPr>
                <w:t>https://www.gov.pl/web/premier</w:t>
              </w:r>
            </w:hyperlink>
          </w:p>
        </w:tc>
        <w:tc>
          <w:tcPr>
            <w:tcW w:w="2106" w:type="dxa"/>
          </w:tcPr>
          <w:p w14:paraId="19F4F043" w14:textId="77777777" w:rsidR="00FA1BCC" w:rsidRPr="00FA1BCC" w:rsidRDefault="00FA1BCC" w:rsidP="00FA1BCC">
            <w:pPr>
              <w:rPr>
                <w:rFonts w:cstheme="minorHAnsi"/>
              </w:rPr>
            </w:pPr>
            <w:r w:rsidRPr="00FA1BCC">
              <w:rPr>
                <w:rFonts w:cstheme="minorHAnsi"/>
              </w:rPr>
              <w:t>I półrocze 2023 r.</w:t>
            </w:r>
          </w:p>
          <w:p w14:paraId="672E89BB" w14:textId="77777777" w:rsidR="00721D67" w:rsidRPr="00FA1BCC" w:rsidRDefault="00721D67" w:rsidP="00E95FE8">
            <w:pPr>
              <w:rPr>
                <w:rFonts w:cstheme="minorHAnsi"/>
              </w:rPr>
            </w:pPr>
          </w:p>
        </w:tc>
      </w:tr>
      <w:tr w:rsidR="008A34A3" w:rsidRPr="00FA1BCC" w14:paraId="5C6C7073" w14:textId="7F66BDCC" w:rsidTr="00DE0998">
        <w:trPr>
          <w:trHeight w:val="1800"/>
        </w:trPr>
        <w:tc>
          <w:tcPr>
            <w:tcW w:w="2956" w:type="dxa"/>
            <w:hideMark/>
          </w:tcPr>
          <w:p w14:paraId="7C442051" w14:textId="77777777" w:rsidR="00721D67" w:rsidRPr="00FA1BCC" w:rsidRDefault="00721D67" w:rsidP="00E95FE8">
            <w:pPr>
              <w:rPr>
                <w:rFonts w:cstheme="minorHAnsi"/>
              </w:rPr>
            </w:pPr>
            <w:r w:rsidRPr="00FA1BCC">
              <w:rPr>
                <w:rFonts w:cstheme="minorHAnsi"/>
              </w:rPr>
              <w:lastRenderedPageBreak/>
              <w:t xml:space="preserve">D1.1.1 Rozwój i modernizacja infrastruktury centrów opieki wysokospecjalistycznej i innych podmiotów leczniczych </w:t>
            </w:r>
          </w:p>
        </w:tc>
        <w:tc>
          <w:tcPr>
            <w:tcW w:w="2137" w:type="dxa"/>
            <w:hideMark/>
          </w:tcPr>
          <w:p w14:paraId="5C98C367" w14:textId="3397DADF" w:rsidR="00721D67" w:rsidRPr="00FA1BCC" w:rsidRDefault="00721D67" w:rsidP="00E95FE8">
            <w:pPr>
              <w:rPr>
                <w:rFonts w:cstheme="minorHAnsi"/>
              </w:rPr>
            </w:pPr>
            <w:r w:rsidRPr="00FA1BCC">
              <w:rPr>
                <w:rFonts w:cstheme="minorHAnsi"/>
              </w:rPr>
              <w:t>Ministerstwo Zdrowia</w:t>
            </w:r>
          </w:p>
        </w:tc>
        <w:tc>
          <w:tcPr>
            <w:tcW w:w="3266" w:type="dxa"/>
            <w:hideMark/>
          </w:tcPr>
          <w:p w14:paraId="59B052FC" w14:textId="1083452F" w:rsidR="00721D67" w:rsidRPr="00FA1BCC" w:rsidRDefault="00FA1BCC" w:rsidP="00E95FE8">
            <w:pPr>
              <w:rPr>
                <w:rFonts w:cstheme="minorHAnsi"/>
              </w:rPr>
            </w:pPr>
            <w:r>
              <w:rPr>
                <w:rFonts w:cstheme="minorHAnsi"/>
              </w:rPr>
              <w:t>S</w:t>
            </w:r>
            <w:r w:rsidR="00721D67" w:rsidRPr="00FA1BCC">
              <w:rPr>
                <w:rFonts w:cstheme="minorHAnsi"/>
              </w:rPr>
              <w:t>zpitale w rozumieniu przepisów ustawy z dnia 15 kwietnia 2011 r. o działalności leczniczej</w:t>
            </w:r>
          </w:p>
        </w:tc>
        <w:tc>
          <w:tcPr>
            <w:tcW w:w="3543" w:type="dxa"/>
          </w:tcPr>
          <w:p w14:paraId="6A8D8A85" w14:textId="777BD664" w:rsidR="00721D67" w:rsidRPr="00FA1BCC" w:rsidRDefault="00746596" w:rsidP="00E95FE8">
            <w:pPr>
              <w:rPr>
                <w:rFonts w:cstheme="minorHAnsi"/>
              </w:rPr>
            </w:pPr>
            <w:hyperlink r:id="rId24" w:history="1">
              <w:r w:rsidR="00721D67" w:rsidRPr="00FA1BCC">
                <w:rPr>
                  <w:rStyle w:val="Hipercze"/>
                  <w:rFonts w:cstheme="minorHAnsi"/>
                </w:rPr>
                <w:t>https://www.gov.pl/web/zdrowie</w:t>
              </w:r>
            </w:hyperlink>
          </w:p>
        </w:tc>
        <w:tc>
          <w:tcPr>
            <w:tcW w:w="2106" w:type="dxa"/>
          </w:tcPr>
          <w:p w14:paraId="3D53E312" w14:textId="77777777" w:rsidR="00FA1BCC" w:rsidRPr="00FA1BCC" w:rsidRDefault="00FA1BCC" w:rsidP="00FA1BCC">
            <w:pPr>
              <w:rPr>
                <w:rFonts w:cstheme="minorHAnsi"/>
              </w:rPr>
            </w:pPr>
            <w:r w:rsidRPr="00FA1BCC">
              <w:rPr>
                <w:rFonts w:cstheme="minorHAnsi"/>
              </w:rPr>
              <w:t>IV kw. 2023 r.</w:t>
            </w:r>
          </w:p>
          <w:p w14:paraId="238C2669" w14:textId="77777777" w:rsidR="00721D67" w:rsidRPr="00FA1BCC" w:rsidRDefault="00721D67" w:rsidP="00E95FE8">
            <w:pPr>
              <w:rPr>
                <w:rFonts w:cstheme="minorHAnsi"/>
              </w:rPr>
            </w:pPr>
          </w:p>
        </w:tc>
      </w:tr>
      <w:tr w:rsidR="008A34A3" w:rsidRPr="00FA1BCC" w14:paraId="25D43D8B" w14:textId="52AA41D1" w:rsidTr="00DE0998">
        <w:trPr>
          <w:trHeight w:val="900"/>
        </w:trPr>
        <w:tc>
          <w:tcPr>
            <w:tcW w:w="2956" w:type="dxa"/>
            <w:hideMark/>
          </w:tcPr>
          <w:p w14:paraId="4722E2FD" w14:textId="77777777" w:rsidR="00721D67" w:rsidRPr="00FA1BCC" w:rsidRDefault="00721D67" w:rsidP="00E95FE8">
            <w:pPr>
              <w:rPr>
                <w:rFonts w:cstheme="minorHAnsi"/>
              </w:rPr>
            </w:pPr>
            <w:r w:rsidRPr="00FA1BCC">
              <w:rPr>
                <w:rFonts w:cstheme="minorHAnsi"/>
              </w:rPr>
              <w:t>D1.1.2 Przyspieszenie procesów transformacji cyfrowej ochrony zdrowia poprzez dalszy rozwój usług cyfrowych w ochronie zdrowia</w:t>
            </w:r>
          </w:p>
        </w:tc>
        <w:tc>
          <w:tcPr>
            <w:tcW w:w="2137" w:type="dxa"/>
            <w:hideMark/>
          </w:tcPr>
          <w:p w14:paraId="206ADD60" w14:textId="63B47EA4" w:rsidR="00721D67" w:rsidRPr="00FA1BCC" w:rsidRDefault="00721D67" w:rsidP="00E95FE8">
            <w:pPr>
              <w:rPr>
                <w:rFonts w:cstheme="minorHAnsi"/>
              </w:rPr>
            </w:pPr>
            <w:r w:rsidRPr="00FA1BCC">
              <w:rPr>
                <w:rFonts w:cstheme="minorHAnsi"/>
              </w:rPr>
              <w:t>Ministerstwo Zdrowia</w:t>
            </w:r>
          </w:p>
        </w:tc>
        <w:tc>
          <w:tcPr>
            <w:tcW w:w="3266" w:type="dxa"/>
            <w:hideMark/>
          </w:tcPr>
          <w:p w14:paraId="77C6EF38" w14:textId="3C10FF8F" w:rsidR="00721D67" w:rsidRPr="00FA1BCC" w:rsidRDefault="00FA1BCC" w:rsidP="00E95FE8">
            <w:pPr>
              <w:rPr>
                <w:rFonts w:cstheme="minorHAnsi"/>
              </w:rPr>
            </w:pPr>
            <w:r>
              <w:rPr>
                <w:rFonts w:cstheme="minorHAnsi"/>
              </w:rPr>
              <w:t>J</w:t>
            </w:r>
            <w:r w:rsidR="00721D67" w:rsidRPr="00FA1BCC">
              <w:rPr>
                <w:rFonts w:cstheme="minorHAnsi"/>
              </w:rPr>
              <w:t>ednostki administracji publicznej, w tym JST, jednostki centralnej administracji rządowej</w:t>
            </w:r>
          </w:p>
        </w:tc>
        <w:tc>
          <w:tcPr>
            <w:tcW w:w="3543" w:type="dxa"/>
          </w:tcPr>
          <w:p w14:paraId="745AF36C" w14:textId="25F637DC" w:rsidR="00721D67" w:rsidRPr="00FA1BCC" w:rsidRDefault="00746596" w:rsidP="00E95FE8">
            <w:pPr>
              <w:rPr>
                <w:rFonts w:cstheme="minorHAnsi"/>
              </w:rPr>
            </w:pPr>
            <w:hyperlink r:id="rId25" w:history="1">
              <w:r w:rsidR="00721D67" w:rsidRPr="00FA1BCC">
                <w:rPr>
                  <w:rStyle w:val="Hipercze"/>
                  <w:rFonts w:cstheme="minorHAnsi"/>
                </w:rPr>
                <w:t>https://www.gov.pl/web/zdrowie</w:t>
              </w:r>
            </w:hyperlink>
          </w:p>
        </w:tc>
        <w:tc>
          <w:tcPr>
            <w:tcW w:w="2106" w:type="dxa"/>
          </w:tcPr>
          <w:p w14:paraId="6244C023" w14:textId="77777777" w:rsidR="00FA1BCC" w:rsidRPr="00FA1BCC" w:rsidRDefault="00FA1BCC" w:rsidP="00FA1BCC">
            <w:pPr>
              <w:rPr>
                <w:rFonts w:cstheme="minorHAnsi"/>
              </w:rPr>
            </w:pPr>
            <w:r w:rsidRPr="00FA1BCC">
              <w:rPr>
                <w:rFonts w:cstheme="minorHAnsi"/>
              </w:rPr>
              <w:t>II półrocze 2023 r.</w:t>
            </w:r>
          </w:p>
          <w:p w14:paraId="68ABC730" w14:textId="77777777" w:rsidR="00721D67" w:rsidRPr="00FA1BCC" w:rsidRDefault="00721D67" w:rsidP="00E95FE8">
            <w:pPr>
              <w:rPr>
                <w:rFonts w:cstheme="minorHAnsi"/>
              </w:rPr>
            </w:pPr>
          </w:p>
        </w:tc>
      </w:tr>
      <w:tr w:rsidR="00DE0998" w:rsidRPr="00FA1BCC" w14:paraId="15B28DE4" w14:textId="77777777" w:rsidTr="00DE0998">
        <w:trPr>
          <w:trHeight w:val="900"/>
        </w:trPr>
        <w:tc>
          <w:tcPr>
            <w:tcW w:w="2956" w:type="dxa"/>
          </w:tcPr>
          <w:p w14:paraId="21FDFD7D" w14:textId="57A5CBEF" w:rsidR="00DE0998" w:rsidRPr="00FA1BCC" w:rsidRDefault="00DE0998" w:rsidP="00DE0998">
            <w:pPr>
              <w:rPr>
                <w:rFonts w:cstheme="minorHAnsi"/>
              </w:rPr>
            </w:pPr>
            <w:r w:rsidRPr="00FA1BCC">
              <w:rPr>
                <w:rFonts w:cstheme="minorHAnsi"/>
              </w:rPr>
              <w:t>D2.1.1 Inwestycje związane z modernizacją i doposażeniem obiektów dydaktycznych w związku ze zwiększeniem limitów przyjęć na studia medyczne</w:t>
            </w:r>
          </w:p>
        </w:tc>
        <w:tc>
          <w:tcPr>
            <w:tcW w:w="2137" w:type="dxa"/>
          </w:tcPr>
          <w:p w14:paraId="27F26F6A" w14:textId="0E8D85D7" w:rsidR="00DE0998" w:rsidRPr="00FA1BCC" w:rsidRDefault="00DE0998" w:rsidP="00DE0998">
            <w:pPr>
              <w:rPr>
                <w:rFonts w:cstheme="minorHAnsi"/>
              </w:rPr>
            </w:pPr>
            <w:r w:rsidRPr="00FA1BCC">
              <w:rPr>
                <w:rFonts w:cstheme="minorHAnsi"/>
              </w:rPr>
              <w:t>Ministerstwo Zdrowia</w:t>
            </w:r>
          </w:p>
        </w:tc>
        <w:tc>
          <w:tcPr>
            <w:tcW w:w="3266" w:type="dxa"/>
          </w:tcPr>
          <w:p w14:paraId="1AA90888" w14:textId="019DE437" w:rsidR="00DE0998" w:rsidRDefault="00DE0998" w:rsidP="00DE0998">
            <w:pPr>
              <w:rPr>
                <w:rFonts w:cstheme="minorHAnsi"/>
              </w:rPr>
            </w:pPr>
            <w:r>
              <w:rPr>
                <w:rFonts w:cstheme="minorHAnsi"/>
              </w:rPr>
              <w:t>U</w:t>
            </w:r>
            <w:r w:rsidRPr="00FA1BCC">
              <w:rPr>
                <w:rFonts w:cstheme="minorHAnsi"/>
              </w:rPr>
              <w:t>czelnie w rozumieniu przepisów ustawy - Prawo o szkolnictwie wyższym i nauce; szpitale w rozumieniu przepisów ustawy z dnia 15 kwietnia 2011 r. o działalności leczniczej; podmioty lecznicze utworzone lub prowadzone przez uczelnię medyczną wykonujące działalność leczniczą</w:t>
            </w:r>
          </w:p>
        </w:tc>
        <w:tc>
          <w:tcPr>
            <w:tcW w:w="3543" w:type="dxa"/>
          </w:tcPr>
          <w:p w14:paraId="61B906C5" w14:textId="49208C3D" w:rsidR="00DE0998" w:rsidRDefault="00746596" w:rsidP="00DE0998">
            <w:pPr>
              <w:rPr>
                <w:rFonts w:cstheme="minorHAnsi"/>
              </w:rPr>
            </w:pPr>
            <w:hyperlink r:id="rId26" w:history="1">
              <w:r w:rsidR="00DE0998" w:rsidRPr="00FA1BCC">
                <w:rPr>
                  <w:rStyle w:val="Hipercze"/>
                  <w:rFonts w:cstheme="minorHAnsi"/>
                </w:rPr>
                <w:t>https://www.gov.pl/web/zdrowie</w:t>
              </w:r>
            </w:hyperlink>
          </w:p>
        </w:tc>
        <w:tc>
          <w:tcPr>
            <w:tcW w:w="2106" w:type="dxa"/>
          </w:tcPr>
          <w:p w14:paraId="00B0E82A" w14:textId="77777777" w:rsidR="00DE0998" w:rsidRPr="00FA1BCC" w:rsidRDefault="00DE0998" w:rsidP="00DE0998">
            <w:pPr>
              <w:rPr>
                <w:rFonts w:cstheme="minorHAnsi"/>
              </w:rPr>
            </w:pPr>
            <w:r w:rsidRPr="00FA1BCC">
              <w:rPr>
                <w:rFonts w:cstheme="minorHAnsi"/>
              </w:rPr>
              <w:t>I półrocze 2023 r.</w:t>
            </w:r>
          </w:p>
          <w:p w14:paraId="1245AAB5" w14:textId="77777777" w:rsidR="00DE0998" w:rsidRPr="00FA1BCC" w:rsidRDefault="00DE0998" w:rsidP="00DE0998">
            <w:pPr>
              <w:rPr>
                <w:rFonts w:cstheme="minorHAnsi"/>
              </w:rPr>
            </w:pPr>
          </w:p>
        </w:tc>
      </w:tr>
      <w:tr w:rsidR="00DE0998" w:rsidRPr="00FA1BCC" w14:paraId="1B7DF67C" w14:textId="7AAAB32B" w:rsidTr="00DE0998">
        <w:trPr>
          <w:trHeight w:val="600"/>
        </w:trPr>
        <w:tc>
          <w:tcPr>
            <w:tcW w:w="2956" w:type="dxa"/>
            <w:hideMark/>
          </w:tcPr>
          <w:p w14:paraId="32B5FE1E" w14:textId="77777777" w:rsidR="00DE0998" w:rsidRPr="00FA1BCC" w:rsidRDefault="00DE0998" w:rsidP="00DE0998">
            <w:pPr>
              <w:rPr>
                <w:rFonts w:cstheme="minorHAnsi"/>
              </w:rPr>
            </w:pPr>
            <w:r w:rsidRPr="00FA1BCC">
              <w:rPr>
                <w:rFonts w:cstheme="minorHAnsi"/>
              </w:rPr>
              <w:t xml:space="preserve">D3.1.1 Kompleksowy rozwój badań w zakresie nauk medycznych i nauk o zdrowiu </w:t>
            </w:r>
          </w:p>
        </w:tc>
        <w:tc>
          <w:tcPr>
            <w:tcW w:w="2137" w:type="dxa"/>
            <w:hideMark/>
          </w:tcPr>
          <w:p w14:paraId="0AE2912E" w14:textId="283C3045" w:rsidR="00DE0998" w:rsidRPr="00FA1BCC" w:rsidRDefault="00DE0998" w:rsidP="00DE0998">
            <w:pPr>
              <w:rPr>
                <w:rFonts w:cstheme="minorHAnsi"/>
              </w:rPr>
            </w:pPr>
            <w:r w:rsidRPr="00FA1BCC">
              <w:rPr>
                <w:rFonts w:cstheme="minorHAnsi"/>
              </w:rPr>
              <w:t>Ministerstwo Zdrowia</w:t>
            </w:r>
          </w:p>
        </w:tc>
        <w:tc>
          <w:tcPr>
            <w:tcW w:w="3266" w:type="dxa"/>
            <w:hideMark/>
          </w:tcPr>
          <w:p w14:paraId="503FAB86" w14:textId="280EB68B" w:rsidR="00DE0998" w:rsidRPr="00FA1BCC" w:rsidRDefault="00DE0998" w:rsidP="00DE0998">
            <w:pPr>
              <w:rPr>
                <w:rFonts w:cstheme="minorHAnsi"/>
              </w:rPr>
            </w:pPr>
            <w:r w:rsidRPr="00FA1BCC">
              <w:rPr>
                <w:rFonts w:cstheme="minorHAnsi"/>
              </w:rPr>
              <w:t xml:space="preserve">D36G: Liczba finansowanych projektów na rzecz jednostek badawczych i przedsiębiorców z sektora biomedycznego;  </w:t>
            </w:r>
          </w:p>
          <w:p w14:paraId="35A4043B" w14:textId="77777777" w:rsidR="00DE0998" w:rsidRPr="00FA1BCC" w:rsidRDefault="00DE0998" w:rsidP="00DE0998">
            <w:pPr>
              <w:rPr>
                <w:rFonts w:cstheme="minorHAnsi"/>
              </w:rPr>
            </w:pPr>
            <w:r w:rsidRPr="00FA1BCC">
              <w:rPr>
                <w:rFonts w:cstheme="minorHAnsi"/>
              </w:rPr>
              <w:t xml:space="preserve">przedsiębiorcy prowadzący badania naukowe i prace rozwojowe, prowadzący działalność w innej formie organizacyjnej niż określona art. 17 ust. 1 pkt. 3 i 4 ustawy o ABM (tj. mikro-, małe lub średnie </w:t>
            </w:r>
            <w:r w:rsidRPr="00FA1BCC">
              <w:rPr>
                <w:rFonts w:cstheme="minorHAnsi"/>
              </w:rPr>
              <w:lastRenderedPageBreak/>
              <w:t>przedsiębiorstwa spełniające kryteria określone w Załączniku nr I do rozporządzenia 651/2014 oraz duże przedsiębiorstwa</w:t>
            </w:r>
          </w:p>
          <w:p w14:paraId="70430906" w14:textId="77777777" w:rsidR="00DE0998" w:rsidRPr="00FA1BCC" w:rsidRDefault="00DE0998" w:rsidP="00DE0998">
            <w:pPr>
              <w:rPr>
                <w:rFonts w:cstheme="minorHAnsi"/>
              </w:rPr>
            </w:pPr>
            <w:r w:rsidRPr="00FA1BCC">
              <w:rPr>
                <w:rFonts w:cstheme="minorHAnsi"/>
              </w:rPr>
              <w:t>oraz konsorcjum pod warunkiem, że w skład konsorcjum wchodzi: co najmniej jeden przedsiębiorca wymieniony w pkt. 1 powyżej – jako lider konsorcjum – oraz co najmniej jedna jednostka naukowa, a pozostałymi członkami konsorcjum mogą być:</w:t>
            </w:r>
          </w:p>
          <w:p w14:paraId="56BE10DB" w14:textId="0922AA18" w:rsidR="00DE0998" w:rsidRPr="00FA1BCC" w:rsidRDefault="00DE0998" w:rsidP="00DE0998">
            <w:pPr>
              <w:pStyle w:val="Akapitzlist"/>
              <w:numPr>
                <w:ilvl w:val="0"/>
                <w:numId w:val="5"/>
              </w:numPr>
              <w:ind w:left="178" w:hanging="142"/>
              <w:rPr>
                <w:rFonts w:cstheme="minorHAnsi"/>
              </w:rPr>
            </w:pPr>
            <w:r w:rsidRPr="00FA1BCC">
              <w:rPr>
                <w:rFonts w:cstheme="minorHAnsi"/>
              </w:rPr>
              <w:t>przedsiębiorcy w rozumieniu pkt. 1 powyżej;</w:t>
            </w:r>
          </w:p>
          <w:p w14:paraId="54998E21" w14:textId="7640777A" w:rsidR="00DE0998" w:rsidRPr="00FA1BCC" w:rsidRDefault="00DE0998" w:rsidP="00DE0998">
            <w:pPr>
              <w:pStyle w:val="Akapitzlist"/>
              <w:numPr>
                <w:ilvl w:val="0"/>
                <w:numId w:val="5"/>
              </w:numPr>
              <w:ind w:left="178" w:hanging="142"/>
              <w:rPr>
                <w:rFonts w:cstheme="minorHAnsi"/>
              </w:rPr>
            </w:pPr>
            <w:r w:rsidRPr="00FA1BCC">
              <w:rPr>
                <w:rFonts w:cstheme="minorHAnsi"/>
              </w:rPr>
              <w:t>przedsiębiorcy mający status centrum badawczo-rozwojowego w  rozumieniu art. 17 ust. 2 ustawy z dnia 30 maja 2008 r. o niektórych formach wspierania działalności innowacyjnej (Dz. U. z 2021 r. poz. 706);</w:t>
            </w:r>
          </w:p>
          <w:p w14:paraId="21EE6966" w14:textId="54055915" w:rsidR="00DE0998" w:rsidRPr="00FA1BCC" w:rsidRDefault="00DE0998" w:rsidP="00DE0998">
            <w:pPr>
              <w:pStyle w:val="Akapitzlist"/>
              <w:numPr>
                <w:ilvl w:val="0"/>
                <w:numId w:val="5"/>
              </w:numPr>
              <w:ind w:left="178" w:hanging="142"/>
              <w:rPr>
                <w:rFonts w:cstheme="minorHAnsi"/>
              </w:rPr>
            </w:pPr>
            <w:r w:rsidRPr="00FA1BCC">
              <w:rPr>
                <w:rFonts w:cstheme="minorHAnsi"/>
              </w:rPr>
              <w:t>Centrum Medyczne Kształcenia Podyplomowego, o którym mowa w ustawie z dnia 13 września 2018 r. o centrum Medycznym Kształcenia Podyplomowego (Dz. U. z 2021 r. poz. 77);</w:t>
            </w:r>
          </w:p>
          <w:p w14:paraId="1B1A6939" w14:textId="17BDBF17" w:rsidR="00DE0998" w:rsidRPr="00FA1BCC" w:rsidRDefault="00DE0998" w:rsidP="00DE0998">
            <w:pPr>
              <w:pStyle w:val="Akapitzlist"/>
              <w:numPr>
                <w:ilvl w:val="0"/>
                <w:numId w:val="5"/>
              </w:numPr>
              <w:ind w:left="178" w:hanging="142"/>
              <w:rPr>
                <w:rFonts w:cstheme="minorHAnsi"/>
              </w:rPr>
            </w:pPr>
            <w:r w:rsidRPr="00FA1BCC">
              <w:rPr>
                <w:rFonts w:cstheme="minorHAnsi"/>
              </w:rPr>
              <w:t xml:space="preserve">pomioty lecznicze, dla których podmiotem tworzącym jest publiczna uczelnia medyczna albo uczelnia prowadząca </w:t>
            </w:r>
            <w:r w:rsidRPr="00FA1BCC">
              <w:rPr>
                <w:rFonts w:cstheme="minorHAnsi"/>
              </w:rPr>
              <w:lastRenderedPageBreak/>
              <w:t>działalność dydaktyczną i nadawczą w dziedzinie nauk medycznych, albo Centrum Medyczne Kształcenia Podyplomowego.</w:t>
            </w:r>
          </w:p>
          <w:p w14:paraId="5F43710B" w14:textId="77777777" w:rsidR="00DE0998" w:rsidRPr="00FA1BCC" w:rsidRDefault="00DE0998" w:rsidP="00DE0998">
            <w:pPr>
              <w:rPr>
                <w:rFonts w:cstheme="minorHAnsi"/>
              </w:rPr>
            </w:pPr>
          </w:p>
          <w:p w14:paraId="39549BD2" w14:textId="63ABCE5B" w:rsidR="00DE0998" w:rsidRPr="00FA1BCC" w:rsidRDefault="00DE0998" w:rsidP="00DE0998">
            <w:pPr>
              <w:rPr>
                <w:rFonts w:cstheme="minorHAnsi"/>
              </w:rPr>
            </w:pPr>
            <w:r w:rsidRPr="00FA1BCC">
              <w:rPr>
                <w:rFonts w:cstheme="minorHAnsi"/>
              </w:rPr>
              <w:t>D37G (CWBK): (Liczba utworzonych Centrów Wsparcia Badań Klinicznych)</w:t>
            </w:r>
          </w:p>
          <w:p w14:paraId="7DEAA58C" w14:textId="58D59FD7" w:rsidR="00DE0998" w:rsidRPr="00FA1BCC" w:rsidRDefault="00DE0998" w:rsidP="00DE0998">
            <w:pPr>
              <w:rPr>
                <w:rFonts w:cstheme="minorHAnsi"/>
              </w:rPr>
            </w:pPr>
            <w:r w:rsidRPr="00FA1BCC">
              <w:rPr>
                <w:rFonts w:cstheme="minorHAnsi"/>
              </w:rPr>
              <w:t>podmioty, o których mowa w art. 7 ust. 1 pkt 1–6 i 8 ustawy z dnia 20 lipca 2018 r. – Prawo o szkolnictwie wyższym i nauce;</w:t>
            </w:r>
          </w:p>
          <w:p w14:paraId="2DDDD908" w14:textId="4626EC10" w:rsidR="00DE0998" w:rsidRPr="00FA1BCC" w:rsidRDefault="00DE0998" w:rsidP="00DE0998">
            <w:pPr>
              <w:pStyle w:val="Akapitzlist"/>
              <w:numPr>
                <w:ilvl w:val="0"/>
                <w:numId w:val="6"/>
              </w:numPr>
              <w:ind w:left="178" w:hanging="142"/>
              <w:rPr>
                <w:rFonts w:cstheme="minorHAnsi"/>
              </w:rPr>
            </w:pPr>
            <w:r w:rsidRPr="00FA1BCC">
              <w:rPr>
                <w:rFonts w:cstheme="minorHAnsi"/>
              </w:rPr>
              <w:t>podmioty lecznicze, dla których podmiotem tworzącym jest publiczna uczelnia medyczna albo uczelnia prowadząca działalność dydaktyczną i badawczą w dziedzinie nauk medycznych, albo Centrum Medyczne Kształcenia Podyplomowego;</w:t>
            </w:r>
          </w:p>
          <w:p w14:paraId="32DBD469" w14:textId="22B540CF" w:rsidR="00DE0998" w:rsidRPr="00FA1BCC" w:rsidRDefault="00DE0998" w:rsidP="00DE0998">
            <w:pPr>
              <w:pStyle w:val="Akapitzlist"/>
              <w:numPr>
                <w:ilvl w:val="0"/>
                <w:numId w:val="6"/>
              </w:numPr>
              <w:ind w:left="178" w:hanging="142"/>
              <w:rPr>
                <w:rFonts w:cstheme="minorHAnsi"/>
              </w:rPr>
            </w:pPr>
            <w:r w:rsidRPr="00FA1BCC">
              <w:rPr>
                <w:rFonts w:cstheme="minorHAnsi"/>
              </w:rPr>
              <w:t>prowadzące badania naukowe i prace rozwojowe:</w:t>
            </w:r>
          </w:p>
          <w:p w14:paraId="6B78FC8F" w14:textId="4840F283" w:rsidR="00DE0998" w:rsidRPr="00FA1BCC" w:rsidRDefault="00DE0998" w:rsidP="00DE0998">
            <w:pPr>
              <w:pStyle w:val="Akapitzlist"/>
              <w:numPr>
                <w:ilvl w:val="0"/>
                <w:numId w:val="6"/>
              </w:numPr>
              <w:ind w:left="178" w:hanging="142"/>
              <w:rPr>
                <w:rFonts w:cstheme="minorHAnsi"/>
              </w:rPr>
            </w:pPr>
            <w:r w:rsidRPr="00FA1BCC">
              <w:rPr>
                <w:rFonts w:cstheme="minorHAnsi"/>
              </w:rPr>
              <w:t xml:space="preserve">jednostki organizacyjne posiadające osobowość prawną i siedzibę na terytorium Rzeczypospolitej Polskiej.  </w:t>
            </w:r>
          </w:p>
        </w:tc>
        <w:tc>
          <w:tcPr>
            <w:tcW w:w="3543" w:type="dxa"/>
          </w:tcPr>
          <w:p w14:paraId="660C55C1" w14:textId="26E6F482" w:rsidR="00DE0998" w:rsidRPr="00FA1BCC" w:rsidRDefault="00746596" w:rsidP="00DE0998">
            <w:pPr>
              <w:rPr>
                <w:rFonts w:cstheme="minorHAnsi"/>
              </w:rPr>
            </w:pPr>
            <w:hyperlink r:id="rId27" w:history="1">
              <w:r w:rsidR="00DE0998" w:rsidRPr="00FA1BCC">
                <w:rPr>
                  <w:rStyle w:val="Hipercze"/>
                  <w:rFonts w:cstheme="minorHAnsi"/>
                </w:rPr>
                <w:t>https://www.gov.pl/web/zdrowie</w:t>
              </w:r>
            </w:hyperlink>
          </w:p>
        </w:tc>
        <w:tc>
          <w:tcPr>
            <w:tcW w:w="2106" w:type="dxa"/>
          </w:tcPr>
          <w:p w14:paraId="03617370" w14:textId="77777777" w:rsidR="00DE0998" w:rsidRPr="00FA1BCC" w:rsidRDefault="00DE0998" w:rsidP="00DE0998">
            <w:pPr>
              <w:rPr>
                <w:rFonts w:cstheme="minorHAnsi"/>
              </w:rPr>
            </w:pPr>
            <w:r w:rsidRPr="00FA1BCC">
              <w:rPr>
                <w:rFonts w:cstheme="minorHAnsi"/>
              </w:rPr>
              <w:t>II kw. 2023 r.</w:t>
            </w:r>
          </w:p>
          <w:p w14:paraId="01A867F8" w14:textId="77777777" w:rsidR="00DE0998" w:rsidRPr="00FA1BCC" w:rsidRDefault="00DE0998" w:rsidP="00DE0998">
            <w:pPr>
              <w:rPr>
                <w:rFonts w:cstheme="minorHAnsi"/>
              </w:rPr>
            </w:pPr>
          </w:p>
        </w:tc>
      </w:tr>
    </w:tbl>
    <w:p w14:paraId="7EFE7DC7" w14:textId="0A5D6F3A" w:rsidR="001623E4" w:rsidRPr="008A34A3" w:rsidRDefault="001623E4"/>
    <w:p w14:paraId="3D80A843" w14:textId="77777777" w:rsidR="00721D67" w:rsidRPr="008A34A3" w:rsidRDefault="00721D67"/>
    <w:sectPr w:rsidR="00721D67" w:rsidRPr="008A34A3" w:rsidSect="00960C50">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E183" w14:textId="77777777" w:rsidR="000F74E2" w:rsidRDefault="000F74E2" w:rsidP="00BC6E3B">
      <w:pPr>
        <w:spacing w:after="0" w:line="240" w:lineRule="auto"/>
      </w:pPr>
      <w:r>
        <w:separator/>
      </w:r>
    </w:p>
  </w:endnote>
  <w:endnote w:type="continuationSeparator" w:id="0">
    <w:p w14:paraId="07F2A49A" w14:textId="77777777" w:rsidR="000F74E2" w:rsidRDefault="000F74E2" w:rsidP="00BC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03475"/>
      <w:docPartObj>
        <w:docPartGallery w:val="Page Numbers (Bottom of Page)"/>
        <w:docPartUnique/>
      </w:docPartObj>
    </w:sdtPr>
    <w:sdtContent>
      <w:p w14:paraId="7F93265A" w14:textId="0757A78D" w:rsidR="00746596" w:rsidRDefault="00746596">
        <w:pPr>
          <w:pStyle w:val="Stopka"/>
          <w:jc w:val="center"/>
        </w:pPr>
        <w:r>
          <w:fldChar w:fldCharType="begin"/>
        </w:r>
        <w:r>
          <w:instrText>PAGE   \* MERGEFORMAT</w:instrText>
        </w:r>
        <w:r>
          <w:fldChar w:fldCharType="separate"/>
        </w:r>
        <w:r>
          <w:t>2</w:t>
        </w:r>
        <w:r>
          <w:fldChar w:fldCharType="end"/>
        </w:r>
      </w:p>
    </w:sdtContent>
  </w:sdt>
  <w:p w14:paraId="05532E77" w14:textId="77777777" w:rsidR="00746596" w:rsidRDefault="007465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A69A" w14:textId="77777777" w:rsidR="000F74E2" w:rsidRDefault="000F74E2" w:rsidP="00BC6E3B">
      <w:pPr>
        <w:spacing w:after="0" w:line="240" w:lineRule="auto"/>
      </w:pPr>
      <w:r>
        <w:separator/>
      </w:r>
    </w:p>
  </w:footnote>
  <w:footnote w:type="continuationSeparator" w:id="0">
    <w:p w14:paraId="07663C68" w14:textId="77777777" w:rsidR="000F74E2" w:rsidRDefault="000F74E2" w:rsidP="00BC6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238"/>
    <w:multiLevelType w:val="multilevel"/>
    <w:tmpl w:val="90E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022E5"/>
    <w:multiLevelType w:val="hybridMultilevel"/>
    <w:tmpl w:val="AD74E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485B69"/>
    <w:multiLevelType w:val="hybridMultilevel"/>
    <w:tmpl w:val="4776D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3A18D7"/>
    <w:multiLevelType w:val="hybridMultilevel"/>
    <w:tmpl w:val="4E905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F0A4A01"/>
    <w:multiLevelType w:val="hybridMultilevel"/>
    <w:tmpl w:val="89E20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9A94E0C"/>
    <w:multiLevelType w:val="hybridMultilevel"/>
    <w:tmpl w:val="ADB47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DD642CC"/>
    <w:multiLevelType w:val="hybridMultilevel"/>
    <w:tmpl w:val="9216F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50"/>
    <w:rsid w:val="000C5D60"/>
    <w:rsid w:val="000C6437"/>
    <w:rsid w:val="000D5FD2"/>
    <w:rsid w:val="000F74E2"/>
    <w:rsid w:val="001623E4"/>
    <w:rsid w:val="001C77A3"/>
    <w:rsid w:val="001E3A84"/>
    <w:rsid w:val="001F0981"/>
    <w:rsid w:val="002802F3"/>
    <w:rsid w:val="00296B12"/>
    <w:rsid w:val="00354F31"/>
    <w:rsid w:val="003A5342"/>
    <w:rsid w:val="003D6BD4"/>
    <w:rsid w:val="00432DEB"/>
    <w:rsid w:val="00435FDF"/>
    <w:rsid w:val="00495B49"/>
    <w:rsid w:val="0051220C"/>
    <w:rsid w:val="00556672"/>
    <w:rsid w:val="005838F1"/>
    <w:rsid w:val="005916A0"/>
    <w:rsid w:val="005F1B8B"/>
    <w:rsid w:val="006B2FBD"/>
    <w:rsid w:val="006C444E"/>
    <w:rsid w:val="00721D67"/>
    <w:rsid w:val="007267AC"/>
    <w:rsid w:val="007453A1"/>
    <w:rsid w:val="00746596"/>
    <w:rsid w:val="00790AF8"/>
    <w:rsid w:val="008127EA"/>
    <w:rsid w:val="00835691"/>
    <w:rsid w:val="008435C0"/>
    <w:rsid w:val="008611D6"/>
    <w:rsid w:val="008966C4"/>
    <w:rsid w:val="008A34A3"/>
    <w:rsid w:val="008D0F74"/>
    <w:rsid w:val="008E5391"/>
    <w:rsid w:val="009249D5"/>
    <w:rsid w:val="00960C50"/>
    <w:rsid w:val="00994154"/>
    <w:rsid w:val="009B1C2F"/>
    <w:rsid w:val="00A01797"/>
    <w:rsid w:val="00AA7880"/>
    <w:rsid w:val="00B002DE"/>
    <w:rsid w:val="00B456CF"/>
    <w:rsid w:val="00BC6E3B"/>
    <w:rsid w:val="00C04926"/>
    <w:rsid w:val="00C76A91"/>
    <w:rsid w:val="00D05F7B"/>
    <w:rsid w:val="00D478CD"/>
    <w:rsid w:val="00DB1FA3"/>
    <w:rsid w:val="00DE0998"/>
    <w:rsid w:val="00E11A61"/>
    <w:rsid w:val="00E565FF"/>
    <w:rsid w:val="00E665AD"/>
    <w:rsid w:val="00E70F85"/>
    <w:rsid w:val="00E95FE8"/>
    <w:rsid w:val="00F143F6"/>
    <w:rsid w:val="00F45267"/>
    <w:rsid w:val="00F5062A"/>
    <w:rsid w:val="00F54653"/>
    <w:rsid w:val="00F70494"/>
    <w:rsid w:val="00FA1BCC"/>
    <w:rsid w:val="00FA4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FE4C"/>
  <w15:chartTrackingRefBased/>
  <w15:docId w15:val="{B06D9061-DCAF-4C8F-B398-07B98F9E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6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C6E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6E3B"/>
    <w:rPr>
      <w:sz w:val="20"/>
      <w:szCs w:val="20"/>
    </w:rPr>
  </w:style>
  <w:style w:type="character" w:styleId="Odwoanieprzypisudolnego">
    <w:name w:val="footnote reference"/>
    <w:basedOn w:val="Domylnaczcionkaakapitu"/>
    <w:uiPriority w:val="99"/>
    <w:semiHidden/>
    <w:unhideWhenUsed/>
    <w:rsid w:val="00BC6E3B"/>
    <w:rPr>
      <w:vertAlign w:val="superscript"/>
    </w:rPr>
  </w:style>
  <w:style w:type="character" w:styleId="Odwoaniedokomentarza">
    <w:name w:val="annotation reference"/>
    <w:basedOn w:val="Domylnaczcionkaakapitu"/>
    <w:uiPriority w:val="99"/>
    <w:semiHidden/>
    <w:unhideWhenUsed/>
    <w:rsid w:val="007453A1"/>
    <w:rPr>
      <w:sz w:val="16"/>
      <w:szCs w:val="16"/>
    </w:rPr>
  </w:style>
  <w:style w:type="paragraph" w:styleId="Tekstkomentarza">
    <w:name w:val="annotation text"/>
    <w:basedOn w:val="Normalny"/>
    <w:link w:val="TekstkomentarzaZnak"/>
    <w:uiPriority w:val="99"/>
    <w:semiHidden/>
    <w:unhideWhenUsed/>
    <w:rsid w:val="007453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53A1"/>
    <w:rPr>
      <w:sz w:val="20"/>
      <w:szCs w:val="20"/>
    </w:rPr>
  </w:style>
  <w:style w:type="paragraph" w:styleId="Nagwek">
    <w:name w:val="header"/>
    <w:basedOn w:val="Normalny"/>
    <w:link w:val="NagwekZnak"/>
    <w:uiPriority w:val="99"/>
    <w:unhideWhenUsed/>
    <w:rsid w:val="001F09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981"/>
  </w:style>
  <w:style w:type="paragraph" w:styleId="Stopka">
    <w:name w:val="footer"/>
    <w:basedOn w:val="Normalny"/>
    <w:link w:val="StopkaZnak"/>
    <w:uiPriority w:val="99"/>
    <w:unhideWhenUsed/>
    <w:rsid w:val="001F09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981"/>
  </w:style>
  <w:style w:type="paragraph" w:styleId="Akapitzlist">
    <w:name w:val="List Paragraph"/>
    <w:basedOn w:val="Normalny"/>
    <w:uiPriority w:val="34"/>
    <w:qFormat/>
    <w:rsid w:val="008611D6"/>
    <w:pPr>
      <w:ind w:left="720"/>
      <w:contextualSpacing/>
    </w:pPr>
  </w:style>
  <w:style w:type="character" w:styleId="Hipercze">
    <w:name w:val="Hyperlink"/>
    <w:basedOn w:val="Domylnaczcionkaakapitu"/>
    <w:uiPriority w:val="99"/>
    <w:unhideWhenUsed/>
    <w:rsid w:val="008611D6"/>
    <w:rPr>
      <w:color w:val="0563C1" w:themeColor="hyperlink"/>
      <w:u w:val="single"/>
    </w:rPr>
  </w:style>
  <w:style w:type="character" w:styleId="Nierozpoznanawzmianka">
    <w:name w:val="Unresolved Mention"/>
    <w:basedOn w:val="Domylnaczcionkaakapitu"/>
    <w:uiPriority w:val="99"/>
    <w:semiHidden/>
    <w:unhideWhenUsed/>
    <w:rsid w:val="008611D6"/>
    <w:rPr>
      <w:color w:val="605E5C"/>
      <w:shd w:val="clear" w:color="auto" w:fill="E1DFDD"/>
    </w:rPr>
  </w:style>
  <w:style w:type="paragraph" w:styleId="NormalnyWeb">
    <w:name w:val="Normal (Web)"/>
    <w:basedOn w:val="Normalny"/>
    <w:uiPriority w:val="99"/>
    <w:semiHidden/>
    <w:unhideWhenUsed/>
    <w:rsid w:val="00F452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90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1684">
      <w:bodyDiv w:val="1"/>
      <w:marLeft w:val="0"/>
      <w:marRight w:val="0"/>
      <w:marTop w:val="0"/>
      <w:marBottom w:val="0"/>
      <w:divBdr>
        <w:top w:val="none" w:sz="0" w:space="0" w:color="auto"/>
        <w:left w:val="none" w:sz="0" w:space="0" w:color="auto"/>
        <w:bottom w:val="none" w:sz="0" w:space="0" w:color="auto"/>
        <w:right w:val="none" w:sz="0" w:space="0" w:color="auto"/>
      </w:divBdr>
    </w:div>
    <w:div w:id="281694081">
      <w:bodyDiv w:val="1"/>
      <w:marLeft w:val="0"/>
      <w:marRight w:val="0"/>
      <w:marTop w:val="0"/>
      <w:marBottom w:val="0"/>
      <w:divBdr>
        <w:top w:val="none" w:sz="0" w:space="0" w:color="auto"/>
        <w:left w:val="none" w:sz="0" w:space="0" w:color="auto"/>
        <w:bottom w:val="none" w:sz="0" w:space="0" w:color="auto"/>
        <w:right w:val="none" w:sz="0" w:space="0" w:color="auto"/>
      </w:divBdr>
    </w:div>
    <w:div w:id="561673810">
      <w:bodyDiv w:val="1"/>
      <w:marLeft w:val="0"/>
      <w:marRight w:val="0"/>
      <w:marTop w:val="0"/>
      <w:marBottom w:val="0"/>
      <w:divBdr>
        <w:top w:val="none" w:sz="0" w:space="0" w:color="auto"/>
        <w:left w:val="none" w:sz="0" w:space="0" w:color="auto"/>
        <w:bottom w:val="none" w:sz="0" w:space="0" w:color="auto"/>
        <w:right w:val="none" w:sz="0" w:space="0" w:color="auto"/>
      </w:divBdr>
    </w:div>
    <w:div w:id="703023601">
      <w:bodyDiv w:val="1"/>
      <w:marLeft w:val="0"/>
      <w:marRight w:val="0"/>
      <w:marTop w:val="0"/>
      <w:marBottom w:val="0"/>
      <w:divBdr>
        <w:top w:val="none" w:sz="0" w:space="0" w:color="auto"/>
        <w:left w:val="none" w:sz="0" w:space="0" w:color="auto"/>
        <w:bottom w:val="none" w:sz="0" w:space="0" w:color="auto"/>
        <w:right w:val="none" w:sz="0" w:space="0" w:color="auto"/>
      </w:divBdr>
    </w:div>
    <w:div w:id="771439873">
      <w:bodyDiv w:val="1"/>
      <w:marLeft w:val="0"/>
      <w:marRight w:val="0"/>
      <w:marTop w:val="0"/>
      <w:marBottom w:val="0"/>
      <w:divBdr>
        <w:top w:val="none" w:sz="0" w:space="0" w:color="auto"/>
        <w:left w:val="none" w:sz="0" w:space="0" w:color="auto"/>
        <w:bottom w:val="none" w:sz="0" w:space="0" w:color="auto"/>
        <w:right w:val="none" w:sz="0" w:space="0" w:color="auto"/>
      </w:divBdr>
    </w:div>
    <w:div w:id="881938488">
      <w:bodyDiv w:val="1"/>
      <w:marLeft w:val="0"/>
      <w:marRight w:val="0"/>
      <w:marTop w:val="0"/>
      <w:marBottom w:val="0"/>
      <w:divBdr>
        <w:top w:val="none" w:sz="0" w:space="0" w:color="auto"/>
        <w:left w:val="none" w:sz="0" w:space="0" w:color="auto"/>
        <w:bottom w:val="none" w:sz="0" w:space="0" w:color="auto"/>
        <w:right w:val="none" w:sz="0" w:space="0" w:color="auto"/>
      </w:divBdr>
    </w:div>
    <w:div w:id="999769100">
      <w:bodyDiv w:val="1"/>
      <w:marLeft w:val="0"/>
      <w:marRight w:val="0"/>
      <w:marTop w:val="0"/>
      <w:marBottom w:val="0"/>
      <w:divBdr>
        <w:top w:val="none" w:sz="0" w:space="0" w:color="auto"/>
        <w:left w:val="none" w:sz="0" w:space="0" w:color="auto"/>
        <w:bottom w:val="none" w:sz="0" w:space="0" w:color="auto"/>
        <w:right w:val="none" w:sz="0" w:space="0" w:color="auto"/>
      </w:divBdr>
    </w:div>
    <w:div w:id="1082528666">
      <w:bodyDiv w:val="1"/>
      <w:marLeft w:val="0"/>
      <w:marRight w:val="0"/>
      <w:marTop w:val="0"/>
      <w:marBottom w:val="0"/>
      <w:divBdr>
        <w:top w:val="none" w:sz="0" w:space="0" w:color="auto"/>
        <w:left w:val="none" w:sz="0" w:space="0" w:color="auto"/>
        <w:bottom w:val="none" w:sz="0" w:space="0" w:color="auto"/>
        <w:right w:val="none" w:sz="0" w:space="0" w:color="auto"/>
      </w:divBdr>
    </w:div>
    <w:div w:id="1155953212">
      <w:bodyDiv w:val="1"/>
      <w:marLeft w:val="0"/>
      <w:marRight w:val="0"/>
      <w:marTop w:val="0"/>
      <w:marBottom w:val="0"/>
      <w:divBdr>
        <w:top w:val="none" w:sz="0" w:space="0" w:color="auto"/>
        <w:left w:val="none" w:sz="0" w:space="0" w:color="auto"/>
        <w:bottom w:val="none" w:sz="0" w:space="0" w:color="auto"/>
        <w:right w:val="none" w:sz="0" w:space="0" w:color="auto"/>
      </w:divBdr>
    </w:div>
    <w:div w:id="1156611169">
      <w:bodyDiv w:val="1"/>
      <w:marLeft w:val="0"/>
      <w:marRight w:val="0"/>
      <w:marTop w:val="0"/>
      <w:marBottom w:val="0"/>
      <w:divBdr>
        <w:top w:val="none" w:sz="0" w:space="0" w:color="auto"/>
        <w:left w:val="none" w:sz="0" w:space="0" w:color="auto"/>
        <w:bottom w:val="none" w:sz="0" w:space="0" w:color="auto"/>
        <w:right w:val="none" w:sz="0" w:space="0" w:color="auto"/>
      </w:divBdr>
    </w:div>
    <w:div w:id="1160387720">
      <w:bodyDiv w:val="1"/>
      <w:marLeft w:val="0"/>
      <w:marRight w:val="0"/>
      <w:marTop w:val="0"/>
      <w:marBottom w:val="0"/>
      <w:divBdr>
        <w:top w:val="none" w:sz="0" w:space="0" w:color="auto"/>
        <w:left w:val="none" w:sz="0" w:space="0" w:color="auto"/>
        <w:bottom w:val="none" w:sz="0" w:space="0" w:color="auto"/>
        <w:right w:val="none" w:sz="0" w:space="0" w:color="auto"/>
      </w:divBdr>
    </w:div>
    <w:div w:id="1209998394">
      <w:bodyDiv w:val="1"/>
      <w:marLeft w:val="0"/>
      <w:marRight w:val="0"/>
      <w:marTop w:val="0"/>
      <w:marBottom w:val="0"/>
      <w:divBdr>
        <w:top w:val="none" w:sz="0" w:space="0" w:color="auto"/>
        <w:left w:val="none" w:sz="0" w:space="0" w:color="auto"/>
        <w:bottom w:val="none" w:sz="0" w:space="0" w:color="auto"/>
        <w:right w:val="none" w:sz="0" w:space="0" w:color="auto"/>
      </w:divBdr>
    </w:div>
    <w:div w:id="1385987954">
      <w:bodyDiv w:val="1"/>
      <w:marLeft w:val="0"/>
      <w:marRight w:val="0"/>
      <w:marTop w:val="0"/>
      <w:marBottom w:val="0"/>
      <w:divBdr>
        <w:top w:val="none" w:sz="0" w:space="0" w:color="auto"/>
        <w:left w:val="none" w:sz="0" w:space="0" w:color="auto"/>
        <w:bottom w:val="none" w:sz="0" w:space="0" w:color="auto"/>
        <w:right w:val="none" w:sz="0" w:space="0" w:color="auto"/>
      </w:divBdr>
    </w:div>
    <w:div w:id="1414737246">
      <w:bodyDiv w:val="1"/>
      <w:marLeft w:val="0"/>
      <w:marRight w:val="0"/>
      <w:marTop w:val="0"/>
      <w:marBottom w:val="0"/>
      <w:divBdr>
        <w:top w:val="none" w:sz="0" w:space="0" w:color="auto"/>
        <w:left w:val="none" w:sz="0" w:space="0" w:color="auto"/>
        <w:bottom w:val="none" w:sz="0" w:space="0" w:color="auto"/>
        <w:right w:val="none" w:sz="0" w:space="0" w:color="auto"/>
      </w:divBdr>
    </w:div>
    <w:div w:id="1445808421">
      <w:bodyDiv w:val="1"/>
      <w:marLeft w:val="0"/>
      <w:marRight w:val="0"/>
      <w:marTop w:val="0"/>
      <w:marBottom w:val="0"/>
      <w:divBdr>
        <w:top w:val="none" w:sz="0" w:space="0" w:color="auto"/>
        <w:left w:val="none" w:sz="0" w:space="0" w:color="auto"/>
        <w:bottom w:val="none" w:sz="0" w:space="0" w:color="auto"/>
        <w:right w:val="none" w:sz="0" w:space="0" w:color="auto"/>
      </w:divBdr>
    </w:div>
    <w:div w:id="1532917672">
      <w:bodyDiv w:val="1"/>
      <w:marLeft w:val="0"/>
      <w:marRight w:val="0"/>
      <w:marTop w:val="0"/>
      <w:marBottom w:val="0"/>
      <w:divBdr>
        <w:top w:val="none" w:sz="0" w:space="0" w:color="auto"/>
        <w:left w:val="none" w:sz="0" w:space="0" w:color="auto"/>
        <w:bottom w:val="none" w:sz="0" w:space="0" w:color="auto"/>
        <w:right w:val="none" w:sz="0" w:space="0" w:color="auto"/>
      </w:divBdr>
    </w:div>
    <w:div w:id="1631671067">
      <w:bodyDiv w:val="1"/>
      <w:marLeft w:val="0"/>
      <w:marRight w:val="0"/>
      <w:marTop w:val="0"/>
      <w:marBottom w:val="0"/>
      <w:divBdr>
        <w:top w:val="none" w:sz="0" w:space="0" w:color="auto"/>
        <w:left w:val="none" w:sz="0" w:space="0" w:color="auto"/>
        <w:bottom w:val="none" w:sz="0" w:space="0" w:color="auto"/>
        <w:right w:val="none" w:sz="0" w:space="0" w:color="auto"/>
      </w:divBdr>
    </w:div>
    <w:div w:id="1632205364">
      <w:bodyDiv w:val="1"/>
      <w:marLeft w:val="0"/>
      <w:marRight w:val="0"/>
      <w:marTop w:val="0"/>
      <w:marBottom w:val="0"/>
      <w:divBdr>
        <w:top w:val="none" w:sz="0" w:space="0" w:color="auto"/>
        <w:left w:val="none" w:sz="0" w:space="0" w:color="auto"/>
        <w:bottom w:val="none" w:sz="0" w:space="0" w:color="auto"/>
        <w:right w:val="none" w:sz="0" w:space="0" w:color="auto"/>
      </w:divBdr>
    </w:div>
    <w:div w:id="1684622915">
      <w:bodyDiv w:val="1"/>
      <w:marLeft w:val="0"/>
      <w:marRight w:val="0"/>
      <w:marTop w:val="0"/>
      <w:marBottom w:val="0"/>
      <w:divBdr>
        <w:top w:val="none" w:sz="0" w:space="0" w:color="auto"/>
        <w:left w:val="none" w:sz="0" w:space="0" w:color="auto"/>
        <w:bottom w:val="none" w:sz="0" w:space="0" w:color="auto"/>
        <w:right w:val="none" w:sz="0" w:space="0" w:color="auto"/>
      </w:divBdr>
    </w:div>
    <w:div w:id="1698920136">
      <w:bodyDiv w:val="1"/>
      <w:marLeft w:val="0"/>
      <w:marRight w:val="0"/>
      <w:marTop w:val="0"/>
      <w:marBottom w:val="0"/>
      <w:divBdr>
        <w:top w:val="none" w:sz="0" w:space="0" w:color="auto"/>
        <w:left w:val="none" w:sz="0" w:space="0" w:color="auto"/>
        <w:bottom w:val="none" w:sz="0" w:space="0" w:color="auto"/>
        <w:right w:val="none" w:sz="0" w:space="0" w:color="auto"/>
      </w:divBdr>
    </w:div>
    <w:div w:id="1804500422">
      <w:bodyDiv w:val="1"/>
      <w:marLeft w:val="0"/>
      <w:marRight w:val="0"/>
      <w:marTop w:val="0"/>
      <w:marBottom w:val="0"/>
      <w:divBdr>
        <w:top w:val="none" w:sz="0" w:space="0" w:color="auto"/>
        <w:left w:val="none" w:sz="0" w:space="0" w:color="auto"/>
        <w:bottom w:val="none" w:sz="0" w:space="0" w:color="auto"/>
        <w:right w:val="none" w:sz="0" w:space="0" w:color="auto"/>
      </w:divBdr>
    </w:div>
    <w:div w:id="1926107831">
      <w:bodyDiv w:val="1"/>
      <w:marLeft w:val="0"/>
      <w:marRight w:val="0"/>
      <w:marTop w:val="0"/>
      <w:marBottom w:val="0"/>
      <w:divBdr>
        <w:top w:val="none" w:sz="0" w:space="0" w:color="auto"/>
        <w:left w:val="none" w:sz="0" w:space="0" w:color="auto"/>
        <w:bottom w:val="none" w:sz="0" w:space="0" w:color="auto"/>
        <w:right w:val="none" w:sz="0" w:space="0" w:color="auto"/>
      </w:divBdr>
    </w:div>
    <w:div w:id="2009793532">
      <w:bodyDiv w:val="1"/>
      <w:marLeft w:val="0"/>
      <w:marRight w:val="0"/>
      <w:marTop w:val="0"/>
      <w:marBottom w:val="0"/>
      <w:divBdr>
        <w:top w:val="none" w:sz="0" w:space="0" w:color="auto"/>
        <w:left w:val="none" w:sz="0" w:space="0" w:color="auto"/>
        <w:bottom w:val="none" w:sz="0" w:space="0" w:color="auto"/>
        <w:right w:val="none" w:sz="0" w:space="0" w:color="auto"/>
      </w:divBdr>
    </w:div>
    <w:div w:id="21140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fundusze-regiony" TargetMode="External"/><Relationship Id="rId13" Type="http://schemas.openxmlformats.org/officeDocument/2006/relationships/hyperlink" Target="https://www.gov.pl/web/rolnictwo/krajowy-planu-odbudowy-i-zwiekszania-odpornosci" TargetMode="External"/><Relationship Id="rId18" Type="http://schemas.openxmlformats.org/officeDocument/2006/relationships/hyperlink" Target="https://www.gov.pl/web/kultura" TargetMode="External"/><Relationship Id="rId26" Type="http://schemas.openxmlformats.org/officeDocument/2006/relationships/hyperlink" Target="https://www.gov.pl/web/zdrowie" TargetMode="External"/><Relationship Id="rId3" Type="http://schemas.openxmlformats.org/officeDocument/2006/relationships/settings" Target="settings.xml"/><Relationship Id="rId21" Type="http://schemas.openxmlformats.org/officeDocument/2006/relationships/hyperlink" Target="https://www.gov.pl/web/rolnictwo/krajowy-planu-odbudowy-i-zwiekszania-odpornosc" TargetMode="External"/><Relationship Id="rId7" Type="http://schemas.openxmlformats.org/officeDocument/2006/relationships/image" Target="media/image1.png"/><Relationship Id="rId12" Type="http://schemas.openxmlformats.org/officeDocument/2006/relationships/hyperlink" Target="https://www.gov.pl/web/rolnictwo/krajowy-planu-odbudowy-i-zwiekszania-odpornosci" TargetMode="External"/><Relationship Id="rId17" Type="http://schemas.openxmlformats.org/officeDocument/2006/relationships/hyperlink" Target="https://www.gov.pl/web/edukacja-i-nauka/inwestycje-w-rozbudowe-potencjalu-badawczego" TargetMode="External"/><Relationship Id="rId25" Type="http://schemas.openxmlformats.org/officeDocument/2006/relationships/hyperlink" Target="https://www.gov.pl/web/zdrowie" TargetMode="External"/><Relationship Id="rId2" Type="http://schemas.openxmlformats.org/officeDocument/2006/relationships/styles" Target="styles.xml"/><Relationship Id="rId16" Type="http://schemas.openxmlformats.org/officeDocument/2006/relationships/hyperlink" Target="https://www.gov.pl/web/rolnictwo/krajowy-planu-odbudowy-i-zwiekszania-odpornosci" TargetMode="External"/><Relationship Id="rId20" Type="http://schemas.openxmlformats.org/officeDocument/2006/relationships/hyperlink" Target="https://www.gov.pl/web/rozwoj-technologia/krajowy-plan-odbudowy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rolnictwo/krajowy-planu-odbudowy-i-zwiekszania-odpornosci" TargetMode="External"/><Relationship Id="rId24" Type="http://schemas.openxmlformats.org/officeDocument/2006/relationships/hyperlink" Target="https://www.gov.pl/web/zdrowie" TargetMode="External"/><Relationship Id="rId5" Type="http://schemas.openxmlformats.org/officeDocument/2006/relationships/footnotes" Target="footnotes.xml"/><Relationship Id="rId15" Type="http://schemas.openxmlformats.org/officeDocument/2006/relationships/hyperlink" Target="https://www.gov.pl/web/rozwoj-technologia/krajowy-plan-odbudowy5" TargetMode="External"/><Relationship Id="rId23" Type="http://schemas.openxmlformats.org/officeDocument/2006/relationships/hyperlink" Target="https://www.gov.pl/web/premier" TargetMode="External"/><Relationship Id="rId28" Type="http://schemas.openxmlformats.org/officeDocument/2006/relationships/footer" Target="footer1.xml"/><Relationship Id="rId10" Type="http://schemas.openxmlformats.org/officeDocument/2006/relationships/hyperlink" Target="https://www.gov.pl/web/rolnictwo/krajowy-planu-odbudowy-i-zwiekszania-odpornosci" TargetMode="External"/><Relationship Id="rId19" Type="http://schemas.openxmlformats.org/officeDocument/2006/relationships/hyperlink" Target="https://www.gov.pl/web/klimat/inwestycje-w-technologie-wodorowe-wytwarzanie-magazynowanie-i-transport-wodoru" TargetMode="External"/><Relationship Id="rId4" Type="http://schemas.openxmlformats.org/officeDocument/2006/relationships/webSettings" Target="webSettings.xml"/><Relationship Id="rId9" Type="http://schemas.openxmlformats.org/officeDocument/2006/relationships/hyperlink" Target="https://www.gov.pl/web/rozwoj-technologia/krajowy-plan-odbudowy5" TargetMode="External"/><Relationship Id="rId14" Type="http://schemas.openxmlformats.org/officeDocument/2006/relationships/hyperlink" Target="https://www.gov.pl/web/aktywa-panstwowe/krajowy-plan-odbudowy2" TargetMode="External"/><Relationship Id="rId22" Type="http://schemas.openxmlformats.org/officeDocument/2006/relationships/hyperlink" Target="https://www.gov.pl/web/premier" TargetMode="External"/><Relationship Id="rId27" Type="http://schemas.openxmlformats.org/officeDocument/2006/relationships/hyperlink" Target="https://www.gov.pl/web/zdrowi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1928</Words>
  <Characters>11570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Piątek Daniel</dc:creator>
  <cp:keywords/>
  <dc:description/>
  <cp:lastModifiedBy>Höffner Marta</cp:lastModifiedBy>
  <cp:revision>6</cp:revision>
  <cp:lastPrinted>2022-11-24T07:53:00Z</cp:lastPrinted>
  <dcterms:created xsi:type="dcterms:W3CDTF">2023-05-19T13:36:00Z</dcterms:created>
  <dcterms:modified xsi:type="dcterms:W3CDTF">2023-05-26T11:35:00Z</dcterms:modified>
</cp:coreProperties>
</file>