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36418" w14:textId="6C7D196D" w:rsidR="00A26216" w:rsidRDefault="0023608B" w:rsidP="001C4139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  <w:r w:rsidRPr="001C4139">
        <w:rPr>
          <w:rFonts w:asciiTheme="minorHAnsi" w:hAnsiTheme="minorHAnsi"/>
          <w:b/>
          <w:noProof/>
          <w:sz w:val="22"/>
          <w:szCs w:val="22"/>
        </w:rPr>
        <w:t xml:space="preserve">Załącznik nr </w:t>
      </w:r>
      <w:r w:rsidR="00EB08E0" w:rsidRPr="001C4139">
        <w:rPr>
          <w:rFonts w:asciiTheme="minorHAnsi" w:hAnsiTheme="minorHAnsi"/>
          <w:b/>
          <w:noProof/>
          <w:sz w:val="22"/>
          <w:szCs w:val="22"/>
        </w:rPr>
        <w:t>9</w:t>
      </w:r>
      <w:r w:rsidR="001C4139" w:rsidRPr="001C4139">
        <w:rPr>
          <w:rFonts w:asciiTheme="minorHAnsi" w:hAnsiTheme="minorHAnsi"/>
          <w:b/>
          <w:noProof/>
          <w:sz w:val="22"/>
          <w:szCs w:val="22"/>
        </w:rPr>
        <w:t xml:space="preserve">  - </w:t>
      </w:r>
      <w:r w:rsidRPr="001C4139">
        <w:rPr>
          <w:rFonts w:asciiTheme="minorHAnsi" w:hAnsiTheme="minorHAnsi"/>
          <w:b/>
          <w:noProof/>
          <w:sz w:val="22"/>
          <w:szCs w:val="22"/>
        </w:rPr>
        <w:t>Wzór umowy o partnerstwie na rzecz realizacji Projektu</w:t>
      </w:r>
    </w:p>
    <w:p w14:paraId="1645688E" w14:textId="77777777" w:rsidR="001C4139" w:rsidRPr="001C4139" w:rsidRDefault="001C4139" w:rsidP="001C4139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  <w:sz w:val="22"/>
          <w:szCs w:val="22"/>
        </w:rPr>
      </w:pPr>
    </w:p>
    <w:p w14:paraId="70D86B86" w14:textId="6F1DF3E1" w:rsidR="0023608B" w:rsidRDefault="00A30BC8" w:rsidP="0023608B">
      <w:pPr>
        <w:tabs>
          <w:tab w:val="left" w:pos="900"/>
        </w:tabs>
        <w:jc w:val="both"/>
        <w:rPr>
          <w:rFonts w:ascii="Arial" w:hAnsi="Arial" w:cs="Arial"/>
          <w:b/>
          <w:u w:val="single"/>
        </w:rPr>
      </w:pPr>
      <w:r>
        <w:rPr>
          <w:noProof/>
        </w:rPr>
        <w:drawing>
          <wp:inline distT="0" distB="0" distL="0" distR="0" wp14:anchorId="2E2C663B" wp14:editId="6FF3F4C9">
            <wp:extent cx="5760720" cy="57905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D8517" w14:textId="77777777" w:rsidR="00C562C3" w:rsidRPr="00A26216" w:rsidRDefault="00C562C3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B510D10" w14:textId="70C19B1E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współfinansowanego z Europejskiego Funduszu Społecznego w </w:t>
      </w:r>
      <w:r w:rsidRPr="00A30BC8">
        <w:rPr>
          <w:rFonts w:ascii="Arial" w:eastAsia="Calibri" w:hAnsi="Arial" w:cs="Arial"/>
          <w:sz w:val="22"/>
          <w:szCs w:val="22"/>
          <w:lang w:eastAsia="en-US"/>
        </w:rPr>
        <w:t xml:space="preserve">ramach </w:t>
      </w:r>
      <w:r w:rsidR="00A30BC8" w:rsidRPr="00A30BC8">
        <w:rPr>
          <w:rFonts w:ascii="Arial" w:hAnsi="Arial" w:cs="Arial"/>
          <w:sz w:val="22"/>
          <w:szCs w:val="22"/>
        </w:rPr>
        <w:t>Programu Operacyjnego Wiedza Edukacja Rozwój 2014-2020</w:t>
      </w:r>
      <w:r w:rsidRPr="00A30BC8">
        <w:rPr>
          <w:rFonts w:ascii="Arial" w:eastAsia="Calibri" w:hAnsi="Arial" w:cs="Arial"/>
          <w:sz w:val="22"/>
          <w:szCs w:val="22"/>
          <w:lang w:eastAsia="en-US"/>
        </w:rPr>
        <w:t>, zwana dalej „umową”, zawarta na podstawie art. 33 ustawy z dnia 11 lipca 2014 r. o zasadach realizacji programów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lastRenderedPageBreak/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1E18308" w14:textId="11719FFA" w:rsid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12E594" w14:textId="77777777" w:rsidR="00AB3735" w:rsidRPr="00A26216" w:rsidRDefault="00AB3735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1DCD182E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A30BC8" w:rsidRPr="00A30BC8">
        <w:rPr>
          <w:rFonts w:ascii="Arial" w:eastAsia="Calibri" w:hAnsi="Arial" w:cs="Arial"/>
          <w:sz w:val="22"/>
          <w:szCs w:val="22"/>
          <w:lang w:eastAsia="en-US"/>
        </w:rPr>
        <w:t>Programu Operacyjnego Wiedza Edukacja Rozwój 2014-2020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6E122E5" w14:textId="77777777" w:rsidR="00AB3735" w:rsidRDefault="00AB3735" w:rsidP="00AB3735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BCE57D5" w14:textId="77777777" w:rsidR="00AB3735" w:rsidRDefault="00AB3735" w:rsidP="00AB3735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88E3F93" w14:textId="77777777" w:rsidR="00AB3735" w:rsidRDefault="00AB3735" w:rsidP="00AB3735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EBAED14" w14:textId="660C7FC3" w:rsidR="00A26216" w:rsidRPr="00AB3735" w:rsidRDefault="00A26216" w:rsidP="00AB3735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A53196C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 w:rsidRPr="00AB3735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B37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6339D" w:rsidRPr="00AB3735">
        <w:rPr>
          <w:rFonts w:ascii="Arial" w:eastAsia="Calibri" w:hAnsi="Arial" w:cs="Arial"/>
          <w:sz w:val="22"/>
          <w:szCs w:val="22"/>
          <w:lang w:eastAsia="en-US"/>
        </w:rPr>
        <w:t>PO</w:t>
      </w:r>
      <w:r w:rsidR="0095453C" w:rsidRPr="00AB373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6339D" w:rsidRPr="00AB3735">
        <w:rPr>
          <w:rFonts w:ascii="Arial" w:eastAsia="Calibri" w:hAnsi="Arial" w:cs="Arial"/>
          <w:sz w:val="22"/>
          <w:szCs w:val="22"/>
          <w:lang w:eastAsia="en-US"/>
        </w:rPr>
        <w:t>WER</w:t>
      </w:r>
      <w:r w:rsidRPr="00AB3735">
        <w:rPr>
          <w:rFonts w:ascii="Arial" w:eastAsia="Calibri" w:hAnsi="Arial" w:cs="Arial"/>
          <w:sz w:val="22"/>
          <w:szCs w:val="22"/>
          <w:lang w:eastAsia="en-US"/>
        </w:rPr>
        <w:t xml:space="preserve"> 2014-2020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 procesie ubiegania się o dofinansowanie Projektu, a po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przyjęciu</w:t>
      </w:r>
      <w:r w:rsidR="00D430BD" w:rsidRPr="000F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2E0BFE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Partnerów/grupy zarządzającej partnerstwem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6EB19773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DE7689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planowanych zmianach w zadaniach realizowanych w ramach Projektu;</w:t>
      </w:r>
    </w:p>
    <w:p w14:paraId="4EE7CB00" w14:textId="2951DD8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przeszkodach przy realizacji zadań, w tym o ryzyku zaprzestania realizacji zadań;</w:t>
      </w:r>
    </w:p>
    <w:p w14:paraId="2D63AE32" w14:textId="18DE759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udzielania na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07EBC43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płatniczego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68D35D86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 jest dopuszczalne wzajemne zlecanie </w:t>
      </w:r>
      <w:r w:rsidR="00D430BD" w:rsidRPr="00D430BD">
        <w:rPr>
          <w:rFonts w:ascii="Arial" w:eastAsia="Calibri" w:hAnsi="Arial" w:cs="Arial"/>
          <w:sz w:val="22"/>
          <w:szCs w:val="22"/>
          <w:lang w:eastAsia="en-US"/>
        </w:rPr>
        <w:t>(za wynagrodzeniem płaconym miedzy partnerami) usług, dostaw towarów i robót budowlanych lub realizacji zadań przez personel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3951E1DF" w14:textId="2AA8F32F" w:rsidR="009D7ADA" w:rsidRPr="00A26216" w:rsidRDefault="00A26216" w:rsidP="00A30BC8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informacje na temat 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grupy zarządzającej partnerstwem, jeśli taka zostanie zawiązana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(nazwa, skład, rola i zadania, częstotliwość spotkań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)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system komunikacji w partnerstwie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sposób podejmowania decyzji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w ramach partnerstwa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 sposób dokumentowania posiedzeń i podejmowanych decyzji oraz postanowienia dodatkowe, w przypadku partnerstw wprowadzających dodatkowe rozwiązania w zakresie organizacji wewnętrznej partnerstwa, np. dodatkowe ciało doradcze lub rola i zadania Sekretariatu).</w:t>
      </w:r>
    </w:p>
    <w:p w14:paraId="15DCB0D4" w14:textId="22FE3B9B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0E415ED0" w14:textId="77777777" w:rsidR="00AB3735" w:rsidRPr="00A26216" w:rsidRDefault="00AB3735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5E4E499E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7C6B1DB1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płatniczym</w:t>
      </w:r>
      <w:r w:rsidR="00D430BD" w:rsidRPr="00592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>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przez Partnerów do Partnera Wiodącego zestawień zawierających dane z faktur lub dokumentów księgowych o równoważnej wartości dowodowej, 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45F13B3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płatniczym</w:t>
      </w:r>
      <w:r w:rsidR="00D430BD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3E83925E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892FFE8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nierozliczenia całości otrzymanego dofinansowania, podlega ono zwrotowi na rachunek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6A7D5BC0" w:rsid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6635B9FA" w14:textId="7CDEF932" w:rsidR="00DB7309" w:rsidRDefault="00DB7309" w:rsidP="00DB7309">
      <w:pPr>
        <w:spacing w:after="120" w:line="276" w:lineRule="auto"/>
        <w:ind w:left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10AF6BE" w14:textId="77777777" w:rsidR="00AB3735" w:rsidRPr="00A26216" w:rsidRDefault="00AB3735" w:rsidP="00DB7309">
      <w:pPr>
        <w:spacing w:after="120" w:line="276" w:lineRule="auto"/>
        <w:ind w:left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Projekt rozliczany jest na etapie końcowego wniosku o płatność pod względem finansowym proporcjonalnie do stopnia osiągnięcia założeń merytorycznych ujętych we wniosku 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282A723C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5412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1F3C2EF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</w:t>
      </w:r>
      <w:r w:rsidR="00DB7309" w:rsidRPr="00DB7309">
        <w:rPr>
          <w:rFonts w:ascii="Arial" w:hAnsi="Arial" w:cs="Arial"/>
          <w:sz w:val="22"/>
          <w:szCs w:val="22"/>
        </w:rPr>
        <w:t>Programu Operacyjnego Wiedza Edukacja Rozwój 2014-2020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0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0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14:paraId="4C137797" w14:textId="6853C7E8" w:rsid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porozumienia w sprawie powierzenia przetwarzania danych osobowych w ramach Centralnego systemu teleinformatycznego wspierającego realizację programów operacyjnych w związku z realizacją </w:t>
      </w:r>
      <w:r w:rsidR="00DB7309" w:rsidRPr="00DB7309">
        <w:rPr>
          <w:rFonts w:ascii="Arial" w:eastAsia="Calibri" w:hAnsi="Arial" w:cs="Arial"/>
          <w:sz w:val="22"/>
          <w:szCs w:val="22"/>
          <w:lang w:eastAsia="en-US"/>
        </w:rPr>
        <w:t>Programu Operacyjnego Wiedza Edukacja Rozwój 2014-</w:t>
      </w:r>
      <w:r w:rsidR="00DB7309" w:rsidRPr="005412B0">
        <w:rPr>
          <w:rFonts w:ascii="Arial" w:eastAsia="Calibri" w:hAnsi="Arial" w:cs="Arial"/>
          <w:sz w:val="22"/>
          <w:szCs w:val="22"/>
          <w:lang w:eastAsia="en-US"/>
        </w:rPr>
        <w:t>2020</w:t>
      </w:r>
      <w:r w:rsidRPr="005412B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412B0" w:rsidRPr="005412B0">
        <w:rPr>
          <w:rFonts w:ascii="Arial" w:hAnsi="Arial" w:cs="Arial"/>
          <w:sz w:val="22"/>
          <w:szCs w:val="22"/>
        </w:rPr>
        <w:t xml:space="preserve">z dnia 25 maja 2015 r., nr WER/ŁO/DO/2015 </w:t>
      </w:r>
      <w:r w:rsidR="0003725A" w:rsidRPr="005412B0">
        <w:rPr>
          <w:rFonts w:ascii="Arial" w:eastAsia="Calibri" w:hAnsi="Arial" w:cs="Arial"/>
          <w:sz w:val="22"/>
          <w:szCs w:val="22"/>
          <w:lang w:eastAsia="en-US"/>
        </w:rPr>
        <w:t>z późniejszymi zmianami.</w:t>
      </w:r>
    </w:p>
    <w:p w14:paraId="208C0558" w14:textId="26F1147C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GoBack"/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685537B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</w:t>
      </w:r>
      <w:r w:rsidR="00DB7309" w:rsidRPr="00DB7309">
        <w:rPr>
          <w:rFonts w:ascii="Arial" w:eastAsia="Calibri" w:hAnsi="Arial" w:cs="Arial"/>
          <w:sz w:val="22"/>
          <w:szCs w:val="22"/>
          <w:lang w:eastAsia="en-US"/>
        </w:rPr>
        <w:t>Programu Operacyjnego Wiedza Edukacja Rozwój 2014-2020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wszystkich danych osobowych powierzonych im w trakcie realizacji Projektu lub dokumentów uzyskanych w związku z wykonywaniem czynności objętych niniejszą umową, a także zachowania w poufności informacji o stosowanych 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19B337D8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Ministrowi właściwemu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22505CC8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Kontrolerzy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</w:t>
      </w:r>
      <w:r w:rsidR="00DB7309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389FFC34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są zobowiązani do zastosowania się do zaleceń dotyczących poprawy jakości zabezpieczania danych osobowych oraz sposobu ich przetwarzania sporządzonych w wyniku kontroli przeprowadzonych przez Partnera Wiodącego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198C6B41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udostępnia Partnerom obowiązujące logotypy </w:t>
      </w:r>
      <w:r w:rsidR="00DB7309" w:rsidRPr="00DB7309">
        <w:rPr>
          <w:rFonts w:ascii="Arial" w:hAnsi="Arial" w:cs="Arial"/>
          <w:sz w:val="22"/>
          <w:szCs w:val="22"/>
        </w:rPr>
        <w:t>Programu Operacyjnego Wiedza Edukacja Rozwój 2014-2020</w:t>
      </w:r>
      <w:r w:rsidRPr="00A26216">
        <w:rPr>
          <w:rFonts w:ascii="Arial" w:hAnsi="Arial" w:cs="Arial"/>
          <w:sz w:val="22"/>
          <w:szCs w:val="22"/>
        </w:rPr>
        <w:t xml:space="preserve">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na stronie 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7B06CFC5" w14:textId="542994D0" w:rsid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5A3EC20F" w14:textId="34A792C4" w:rsidR="00AB3735" w:rsidRDefault="00AB3735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1BB63076" w14:textId="376DEEBE" w:rsidR="00AB3735" w:rsidRDefault="00AB3735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0F6CBAA1" w14:textId="77777777" w:rsidR="00AB3735" w:rsidRPr="00A26216" w:rsidRDefault="00AB3735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68F90F96" w14:textId="6CA88900" w:rsid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189CA4C3" w14:textId="77777777" w:rsidR="00AB3735" w:rsidRPr="00A26216" w:rsidRDefault="00AB3735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232B705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="00965F66" w:rsidRPr="00965F66">
        <w:rPr>
          <w:rFonts w:ascii="Arial" w:eastAsia="Calibri" w:hAnsi="Arial" w:cs="Arial"/>
          <w:iCs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6EEB6D83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</w:t>
      </w:r>
      <w:r w:rsidR="0076339D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 wymagają zaakceptowania przez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01FF5FF" w14:textId="4C6985B6" w:rsid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73B6BCA" w14:textId="77777777" w:rsidR="00AB3735" w:rsidRPr="00A26216" w:rsidRDefault="00AB3735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1A70465E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59407087" w:rsid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29D42C" w14:textId="17BD4965" w:rsidR="00AB3735" w:rsidRDefault="00AB3735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C53B598" w14:textId="0DA2E19A" w:rsidR="00AB3735" w:rsidRDefault="00AB3735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CB593C8" w14:textId="77777777" w:rsidR="00AB3735" w:rsidRPr="00A26216" w:rsidRDefault="00AB3735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05D8DF88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Partnerów (w tym Partnera Wiodącego)/ 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wypowiedzieć umowę jednemu lub większej liczbie Partnerów w przypadku rażącego naruszenia obowiązków Partnera wynikających z</w:t>
      </w:r>
      <w:r w:rsidR="0076339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umowy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 lub Umowy o 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3E0F0B30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Spory mogące wyniknąć w związku z realizacją umowy Strony będą starały się rozwiązać polubownie za pośrednictwem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1CF33A66" w:rsid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A140D42" w14:textId="77777777" w:rsidR="00AB3735" w:rsidRPr="00A26216" w:rsidRDefault="00AB3735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2E4D6B47" w:rsidR="00FD0857" w:rsidRDefault="00FD0857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00842F9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="0076339D" w:rsidRPr="0076339D">
        <w:rPr>
          <w:rFonts w:ascii="Arial" w:eastAsia="Calibri" w:hAnsi="Arial" w:cs="Arial"/>
          <w:sz w:val="22"/>
          <w:szCs w:val="22"/>
          <w:lang w:eastAsia="en-US"/>
        </w:rPr>
        <w:t>Programu Operacyjnego Wiedza Edukacja Rozwój 2014-2020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a w szczególności do 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 xml:space="preserve">Umowy o dofinansowanie </w:t>
      </w:r>
      <w:r w:rsidR="000F5A1F" w:rsidRPr="00DE7689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DE7689" w:rsidRPr="00DE76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rozliczenia Projektu.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6B195583" w:rsidR="00FD0857" w:rsidRDefault="00FD0857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45F270CF" w:rsidR="00FD0857" w:rsidRDefault="00FD0857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B6588" w14:textId="77777777" w:rsidR="00011915" w:rsidRDefault="00011915" w:rsidP="00BB57A4">
      <w:r>
        <w:separator/>
      </w:r>
    </w:p>
  </w:endnote>
  <w:endnote w:type="continuationSeparator" w:id="0">
    <w:p w14:paraId="317FA375" w14:textId="77777777" w:rsidR="00011915" w:rsidRDefault="00011915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CBE3" w14:textId="77777777" w:rsidR="005412B0" w:rsidRDefault="005412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4E963" w14:textId="77777777" w:rsidR="005412B0" w:rsidRDefault="005412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7295" w14:textId="77777777" w:rsidR="005412B0" w:rsidRDefault="00541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0AB5" w14:textId="77777777" w:rsidR="00011915" w:rsidRDefault="00011915" w:rsidP="00BB57A4">
      <w:r>
        <w:separator/>
      </w:r>
    </w:p>
  </w:footnote>
  <w:footnote w:type="continuationSeparator" w:id="0">
    <w:p w14:paraId="31A57611" w14:textId="77777777" w:rsidR="00011915" w:rsidRDefault="00011915" w:rsidP="00BB57A4">
      <w:r>
        <w:continuationSeparator/>
      </w:r>
    </w:p>
  </w:footnote>
  <w:footnote w:id="1">
    <w:p w14:paraId="470CCDB2" w14:textId="3A84D7F6" w:rsidR="005412B0" w:rsidRPr="006C4B0D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A30BC8">
        <w:rPr>
          <w:rFonts w:ascii="Arial" w:hAnsi="Arial" w:cs="Arial"/>
          <w:bCs/>
          <w:sz w:val="16"/>
          <w:szCs w:val="16"/>
        </w:rPr>
        <w:t>Programu Operacyjnego Wiedza Edukacja Rozwój 2014-2020</w:t>
      </w:r>
      <w:r w:rsidRPr="006C4B0D">
        <w:rPr>
          <w:rFonts w:ascii="Arial" w:hAnsi="Arial" w:cs="Arial"/>
          <w:sz w:val="16"/>
          <w:szCs w:val="16"/>
        </w:rPr>
        <w:t>.</w:t>
      </w:r>
    </w:p>
  </w:footnote>
  <w:footnote w:id="2">
    <w:p w14:paraId="513C0D37" w14:textId="77777777" w:rsidR="005412B0" w:rsidRPr="00B64F2C" w:rsidRDefault="005412B0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5412B0" w:rsidRPr="006C4B0D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5B4FF6A2" w:rsidR="005412B0" w:rsidRPr="00AC60DF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</w:t>
      </w:r>
      <w:r w:rsidRPr="00DE7689">
        <w:rPr>
          <w:rFonts w:ascii="Arial" w:hAnsi="Arial" w:cs="Arial"/>
          <w:sz w:val="16"/>
          <w:szCs w:val="16"/>
        </w:rPr>
        <w:t>, jeśli takie zostanie zawiązane.</w:t>
      </w:r>
    </w:p>
  </w:footnote>
  <w:footnote w:id="5">
    <w:p w14:paraId="094752AA" w14:textId="77777777" w:rsidR="005412B0" w:rsidRPr="000913E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5412B0" w:rsidRPr="006C4B0D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4B87D5D6" w:rsidR="005412B0" w:rsidRPr="006C4B0D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</w:t>
      </w:r>
      <w:r>
        <w:rPr>
          <w:rFonts w:ascii="Arial" w:hAnsi="Arial" w:cs="Arial"/>
          <w:sz w:val="16"/>
          <w:szCs w:val="16"/>
        </w:rPr>
        <w:t xml:space="preserve"> płatniczego</w:t>
      </w:r>
      <w:r w:rsidRPr="006C4B0D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5412B0" w:rsidRPr="00BB7DD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5412B0" w:rsidRPr="006C4B0D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5412B0" w:rsidRPr="00B64F2C" w:rsidRDefault="005412B0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5412B0" w:rsidRPr="00B64F2C" w:rsidRDefault="005412B0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5412B0" w:rsidRDefault="005412B0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5412B0" w:rsidRPr="000B6AE8" w:rsidRDefault="005412B0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5412B0" w:rsidRPr="002B3E85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35234E28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</w:t>
      </w:r>
      <w:r>
        <w:rPr>
          <w:rFonts w:ascii="Arial" w:hAnsi="Arial" w:cs="Arial"/>
          <w:sz w:val="16"/>
          <w:szCs w:val="16"/>
        </w:rPr>
        <w:t>płatniczego</w:t>
      </w:r>
      <w:r w:rsidRPr="005A707C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ryczałtowe.</w:t>
      </w:r>
    </w:p>
  </w:footnote>
  <w:footnote w:id="19">
    <w:p w14:paraId="535F83C6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5412B0" w:rsidRPr="00242765" w:rsidRDefault="005412B0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5412B0" w:rsidRPr="00AC60DF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267A1F16" w:rsidR="005412B0" w:rsidRPr="00AC60DF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>
        <w:rPr>
          <w:rFonts w:ascii="Arial" w:hAnsi="Arial" w:cs="Arial"/>
          <w:sz w:val="16"/>
          <w:szCs w:val="16"/>
        </w:rPr>
        <w:t>płatniczego</w:t>
      </w:r>
      <w:r w:rsidRPr="00AC60DF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ryczałtowe.</w:t>
      </w:r>
    </w:p>
  </w:footnote>
  <w:footnote w:id="29">
    <w:p w14:paraId="078CA825" w14:textId="3E5ACF38" w:rsidR="005412B0" w:rsidRPr="00531B98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5412B0" w:rsidRPr="000B6AE8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5412B0" w:rsidRPr="00531B98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5412B0" w:rsidRPr="00531B98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5412B0" w:rsidRPr="00531B98" w:rsidRDefault="005412B0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36075E91" w:rsidR="005412B0" w:rsidRPr="00531B98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</w:t>
      </w:r>
      <w:r>
        <w:rPr>
          <w:rFonts w:ascii="Arial" w:hAnsi="Arial" w:cs="Arial"/>
          <w:sz w:val="16"/>
          <w:szCs w:val="16"/>
        </w:rPr>
        <w:t>płatniczego</w:t>
      </w:r>
      <w:r w:rsidRPr="00531B98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ryczałtowe.</w:t>
      </w:r>
    </w:p>
  </w:footnote>
  <w:footnote w:id="35">
    <w:p w14:paraId="650DF0BC" w14:textId="77777777" w:rsidR="005412B0" w:rsidRPr="00B03992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5412B0" w:rsidRDefault="005412B0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5412B0" w:rsidRPr="00AC60DF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53C3B6C4" w:rsidR="005412B0" w:rsidRPr="00AC60DF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>
        <w:rPr>
          <w:rFonts w:ascii="Arial" w:hAnsi="Arial" w:cs="Arial"/>
          <w:sz w:val="16"/>
          <w:szCs w:val="16"/>
        </w:rPr>
        <w:t>płatniczego</w:t>
      </w:r>
      <w:r w:rsidRPr="00AC60DF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ryczałtowe.</w:t>
      </w:r>
    </w:p>
  </w:footnote>
  <w:footnote w:id="39">
    <w:p w14:paraId="1039C60C" w14:textId="16477218" w:rsidR="005412B0" w:rsidRPr="00A72FA5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 płatniczych.</w:t>
      </w:r>
    </w:p>
  </w:footnote>
  <w:footnote w:id="40">
    <w:p w14:paraId="136F7FD2" w14:textId="77777777" w:rsidR="005412B0" w:rsidRPr="003918E6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5412B0" w:rsidRPr="002B3E85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5412B0" w:rsidRPr="002B3E85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5412B0" w:rsidRPr="005A707C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5412B0" w:rsidRDefault="005412B0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5412B0" w:rsidRPr="00275295" w:rsidRDefault="005412B0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5412B0" w:rsidRPr="00275295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5412B0" w:rsidRPr="002B3E85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5412B0" w:rsidRPr="00AC60DF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5412B0" w:rsidRPr="00F40071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5412B0" w:rsidRPr="00154A01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5412B0" w:rsidRPr="00154A01" w:rsidRDefault="005412B0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5412B0" w:rsidRPr="00154A01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5412B0" w:rsidRPr="00154A01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5412B0" w:rsidRPr="00154A01" w:rsidRDefault="005412B0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5412B0" w:rsidRPr="00215096" w:rsidRDefault="005412B0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8DF16" w14:textId="77777777" w:rsidR="005412B0" w:rsidRDefault="005412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BEF7" w14:textId="2073DC98" w:rsidR="005412B0" w:rsidRDefault="005412B0" w:rsidP="009D7ADA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DF4F0" w14:textId="662A6639" w:rsidR="005412B0" w:rsidRDefault="00541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6E"/>
    <w:rsid w:val="00011915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E3A3E"/>
    <w:rsid w:val="000F01CE"/>
    <w:rsid w:val="000F5A1F"/>
    <w:rsid w:val="0011044A"/>
    <w:rsid w:val="00134E6C"/>
    <w:rsid w:val="00137692"/>
    <w:rsid w:val="00155960"/>
    <w:rsid w:val="0017089E"/>
    <w:rsid w:val="00171FA7"/>
    <w:rsid w:val="001919DA"/>
    <w:rsid w:val="001B2899"/>
    <w:rsid w:val="001C413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608B"/>
    <w:rsid w:val="00237D42"/>
    <w:rsid w:val="00242765"/>
    <w:rsid w:val="002730C5"/>
    <w:rsid w:val="00275F4F"/>
    <w:rsid w:val="00284D6E"/>
    <w:rsid w:val="002A7D61"/>
    <w:rsid w:val="002E3592"/>
    <w:rsid w:val="00320BDF"/>
    <w:rsid w:val="00326943"/>
    <w:rsid w:val="003275BC"/>
    <w:rsid w:val="003347AD"/>
    <w:rsid w:val="0035233B"/>
    <w:rsid w:val="00393472"/>
    <w:rsid w:val="003B7F2C"/>
    <w:rsid w:val="00401532"/>
    <w:rsid w:val="004021AF"/>
    <w:rsid w:val="00413F1A"/>
    <w:rsid w:val="00432A2E"/>
    <w:rsid w:val="004648A1"/>
    <w:rsid w:val="00475134"/>
    <w:rsid w:val="004A53BA"/>
    <w:rsid w:val="004A6046"/>
    <w:rsid w:val="004A6C11"/>
    <w:rsid w:val="004C2D7B"/>
    <w:rsid w:val="004D33B6"/>
    <w:rsid w:val="004E0A0E"/>
    <w:rsid w:val="004F1AEF"/>
    <w:rsid w:val="00507C51"/>
    <w:rsid w:val="0053148A"/>
    <w:rsid w:val="005331DC"/>
    <w:rsid w:val="005412B0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210CE"/>
    <w:rsid w:val="00656BD1"/>
    <w:rsid w:val="00662196"/>
    <w:rsid w:val="0067319D"/>
    <w:rsid w:val="006777F8"/>
    <w:rsid w:val="006C7545"/>
    <w:rsid w:val="00744B0D"/>
    <w:rsid w:val="00745EAE"/>
    <w:rsid w:val="00751F6E"/>
    <w:rsid w:val="00760C69"/>
    <w:rsid w:val="0076339D"/>
    <w:rsid w:val="00763F01"/>
    <w:rsid w:val="00782AFA"/>
    <w:rsid w:val="00784921"/>
    <w:rsid w:val="00795916"/>
    <w:rsid w:val="00797E5A"/>
    <w:rsid w:val="007A258A"/>
    <w:rsid w:val="007E1D50"/>
    <w:rsid w:val="008011E3"/>
    <w:rsid w:val="00825796"/>
    <w:rsid w:val="00852C8C"/>
    <w:rsid w:val="00855659"/>
    <w:rsid w:val="00866050"/>
    <w:rsid w:val="00866CA3"/>
    <w:rsid w:val="00884BC7"/>
    <w:rsid w:val="008972D6"/>
    <w:rsid w:val="008A0610"/>
    <w:rsid w:val="008A065A"/>
    <w:rsid w:val="008A329D"/>
    <w:rsid w:val="008C37A4"/>
    <w:rsid w:val="008C6CF2"/>
    <w:rsid w:val="008E26FC"/>
    <w:rsid w:val="00900CD9"/>
    <w:rsid w:val="00914833"/>
    <w:rsid w:val="00926880"/>
    <w:rsid w:val="0092790E"/>
    <w:rsid w:val="00944349"/>
    <w:rsid w:val="0095453C"/>
    <w:rsid w:val="0096120A"/>
    <w:rsid w:val="00965F66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30BC8"/>
    <w:rsid w:val="00A65010"/>
    <w:rsid w:val="00AB3735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562C3"/>
    <w:rsid w:val="00C70234"/>
    <w:rsid w:val="00C72A73"/>
    <w:rsid w:val="00C72F89"/>
    <w:rsid w:val="00C87BFB"/>
    <w:rsid w:val="00CB3CAB"/>
    <w:rsid w:val="00CC625F"/>
    <w:rsid w:val="00CD4D56"/>
    <w:rsid w:val="00CF5FBA"/>
    <w:rsid w:val="00D21E43"/>
    <w:rsid w:val="00D30DDA"/>
    <w:rsid w:val="00D33AE1"/>
    <w:rsid w:val="00D430BD"/>
    <w:rsid w:val="00D46CC7"/>
    <w:rsid w:val="00D53403"/>
    <w:rsid w:val="00D725A2"/>
    <w:rsid w:val="00DA6B13"/>
    <w:rsid w:val="00DB18F0"/>
    <w:rsid w:val="00DB7309"/>
    <w:rsid w:val="00DE7689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B08E0"/>
    <w:rsid w:val="00EC7675"/>
    <w:rsid w:val="00EE79B5"/>
    <w:rsid w:val="00EF4C3D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69AE"/>
    <w:rsid w:val="00FD085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0B8E-4698-4582-BB51-1BF7973CB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27</Pages>
  <Words>8309</Words>
  <Characters>49857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Urbaniak</dc:creator>
  <cp:lastModifiedBy>Joanna Bednarkiewicz</cp:lastModifiedBy>
  <cp:revision>6</cp:revision>
  <cp:lastPrinted>2020-01-07T08:57:00Z</cp:lastPrinted>
  <dcterms:created xsi:type="dcterms:W3CDTF">2020-06-26T07:51:00Z</dcterms:created>
  <dcterms:modified xsi:type="dcterms:W3CDTF">2020-06-30T09:33:00Z</dcterms:modified>
</cp:coreProperties>
</file>