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01FBBC1E" w:rsidR="00886690" w:rsidRPr="00E634E0" w:rsidRDefault="00886690" w:rsidP="00CF03D7">
      <w:pPr>
        <w:jc w:val="center"/>
        <w:rPr>
          <w:rFonts w:cs="Calibri"/>
        </w:rPr>
      </w:pPr>
      <w:r w:rsidRPr="00E634E0">
        <w:rPr>
          <w:rFonts w:cs="Calibri"/>
        </w:rPr>
        <w:t>Ka</w:t>
      </w:r>
      <w:r w:rsidRPr="00CA7094">
        <w:rPr>
          <w:rFonts w:cs="Calibri"/>
        </w:rPr>
        <w:t xml:space="preserve">towice, </w:t>
      </w:r>
      <w:r w:rsidR="00214116">
        <w:rPr>
          <w:rFonts w:cs="Calibri"/>
        </w:rPr>
        <w:t>luty</w:t>
      </w:r>
      <w:bookmarkStart w:id="0" w:name="_GoBack"/>
      <w:bookmarkEnd w:id="0"/>
      <w:r w:rsidR="00326937">
        <w:rPr>
          <w:rFonts w:cs="Calibri"/>
        </w:rPr>
        <w:t xml:space="preserve"> </w:t>
      </w:r>
      <w:r w:rsidR="004E5A71">
        <w:rPr>
          <w:rFonts w:cs="Calibri"/>
        </w:rPr>
        <w:t>20</w:t>
      </w:r>
      <w:r w:rsidR="00972C72">
        <w:rPr>
          <w:rFonts w:cs="Calibri"/>
        </w:rPr>
        <w:t>2</w:t>
      </w:r>
      <w:r w:rsidR="00B57F19">
        <w:rPr>
          <w:rFonts w:cs="Calibri"/>
        </w:rPr>
        <w:t>1</w:t>
      </w:r>
    </w:p>
    <w:p w14:paraId="14AFCD29" w14:textId="0DA728E9" w:rsidR="00B276D6" w:rsidRDefault="00886690">
      <w:pPr>
        <w:pStyle w:val="Spistreci2"/>
        <w:rPr>
          <w:rFonts w:asciiTheme="minorHAnsi" w:eastAsiaTheme="minorEastAsia" w:hAnsiTheme="minorHAnsi" w:cstheme="minorBid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29894903" w:history="1">
        <w:r w:rsidR="00B276D6" w:rsidRPr="00D369A2">
          <w:rPr>
            <w:rStyle w:val="Hipercze"/>
            <w:noProof/>
          </w:rPr>
          <w:t>WSTĘP</w:t>
        </w:r>
        <w:r w:rsidR="00B276D6">
          <w:rPr>
            <w:noProof/>
            <w:webHidden/>
          </w:rPr>
          <w:tab/>
        </w:r>
        <w:r w:rsidR="00B276D6">
          <w:rPr>
            <w:noProof/>
            <w:webHidden/>
          </w:rPr>
          <w:fldChar w:fldCharType="begin"/>
        </w:r>
        <w:r w:rsidR="00B276D6">
          <w:rPr>
            <w:noProof/>
            <w:webHidden/>
          </w:rPr>
          <w:instrText xml:space="preserve"> PAGEREF _Toc29894903 \h </w:instrText>
        </w:r>
        <w:r w:rsidR="00B276D6">
          <w:rPr>
            <w:noProof/>
            <w:webHidden/>
          </w:rPr>
        </w:r>
        <w:r w:rsidR="00B276D6">
          <w:rPr>
            <w:noProof/>
            <w:webHidden/>
          </w:rPr>
          <w:fldChar w:fldCharType="separate"/>
        </w:r>
        <w:r w:rsidR="00B276D6">
          <w:rPr>
            <w:noProof/>
            <w:webHidden/>
          </w:rPr>
          <w:t>4</w:t>
        </w:r>
        <w:r w:rsidR="00B276D6">
          <w:rPr>
            <w:noProof/>
            <w:webHidden/>
          </w:rPr>
          <w:fldChar w:fldCharType="end"/>
        </w:r>
      </w:hyperlink>
    </w:p>
    <w:p w14:paraId="375E6BD2" w14:textId="41E469DD" w:rsidR="00B276D6" w:rsidRDefault="00214116">
      <w:pPr>
        <w:pStyle w:val="Spistreci2"/>
        <w:rPr>
          <w:rFonts w:asciiTheme="minorHAnsi" w:eastAsiaTheme="minorEastAsia" w:hAnsiTheme="minorHAnsi" w:cstheme="minorBidi"/>
          <w:noProof/>
        </w:rPr>
      </w:pPr>
      <w:hyperlink w:anchor="_Toc29894904" w:history="1">
        <w:r w:rsidR="00B276D6" w:rsidRPr="00D369A2">
          <w:rPr>
            <w:rStyle w:val="Hipercze"/>
            <w:noProof/>
          </w:rPr>
          <w:t>OPIS POSZCZEGÓLNYCH PUNKTÓW WNIOSKU O DOFINANSOWANIE</w:t>
        </w:r>
        <w:r w:rsidR="00B276D6">
          <w:rPr>
            <w:noProof/>
            <w:webHidden/>
          </w:rPr>
          <w:tab/>
        </w:r>
        <w:r w:rsidR="00B276D6">
          <w:rPr>
            <w:noProof/>
            <w:webHidden/>
          </w:rPr>
          <w:fldChar w:fldCharType="begin"/>
        </w:r>
        <w:r w:rsidR="00B276D6">
          <w:rPr>
            <w:noProof/>
            <w:webHidden/>
          </w:rPr>
          <w:instrText xml:space="preserve"> PAGEREF _Toc29894904 \h </w:instrText>
        </w:r>
        <w:r w:rsidR="00B276D6">
          <w:rPr>
            <w:noProof/>
            <w:webHidden/>
          </w:rPr>
        </w:r>
        <w:r w:rsidR="00B276D6">
          <w:rPr>
            <w:noProof/>
            <w:webHidden/>
          </w:rPr>
          <w:fldChar w:fldCharType="separate"/>
        </w:r>
        <w:r w:rsidR="00B276D6">
          <w:rPr>
            <w:noProof/>
            <w:webHidden/>
          </w:rPr>
          <w:t>5</w:t>
        </w:r>
        <w:r w:rsidR="00B276D6">
          <w:rPr>
            <w:noProof/>
            <w:webHidden/>
          </w:rPr>
          <w:fldChar w:fldCharType="end"/>
        </w:r>
      </w:hyperlink>
    </w:p>
    <w:p w14:paraId="3C5B2D88" w14:textId="005564A6" w:rsidR="00B276D6" w:rsidRDefault="00214116">
      <w:pPr>
        <w:pStyle w:val="Spistreci2"/>
        <w:rPr>
          <w:rFonts w:asciiTheme="minorHAnsi" w:eastAsiaTheme="minorEastAsia" w:hAnsiTheme="minorHAnsi" w:cstheme="minorBidi"/>
          <w:noProof/>
        </w:rPr>
      </w:pPr>
      <w:hyperlink w:anchor="_Toc29894905" w:history="1">
        <w:r w:rsidR="00B276D6" w:rsidRPr="00D369A2">
          <w:rPr>
            <w:rStyle w:val="Hipercze"/>
            <w:noProof/>
          </w:rPr>
          <w:t>Rozpoczęcie pracy w LSI</w:t>
        </w:r>
        <w:r w:rsidR="00B276D6">
          <w:rPr>
            <w:noProof/>
            <w:webHidden/>
          </w:rPr>
          <w:tab/>
        </w:r>
        <w:r w:rsidR="00B276D6">
          <w:rPr>
            <w:noProof/>
            <w:webHidden/>
          </w:rPr>
          <w:fldChar w:fldCharType="begin"/>
        </w:r>
        <w:r w:rsidR="00B276D6">
          <w:rPr>
            <w:noProof/>
            <w:webHidden/>
          </w:rPr>
          <w:instrText xml:space="preserve"> PAGEREF _Toc29894905 \h </w:instrText>
        </w:r>
        <w:r w:rsidR="00B276D6">
          <w:rPr>
            <w:noProof/>
            <w:webHidden/>
          </w:rPr>
        </w:r>
        <w:r w:rsidR="00B276D6">
          <w:rPr>
            <w:noProof/>
            <w:webHidden/>
          </w:rPr>
          <w:fldChar w:fldCharType="separate"/>
        </w:r>
        <w:r w:rsidR="00B276D6">
          <w:rPr>
            <w:noProof/>
            <w:webHidden/>
          </w:rPr>
          <w:t>5</w:t>
        </w:r>
        <w:r w:rsidR="00B276D6">
          <w:rPr>
            <w:noProof/>
            <w:webHidden/>
          </w:rPr>
          <w:fldChar w:fldCharType="end"/>
        </w:r>
      </w:hyperlink>
    </w:p>
    <w:p w14:paraId="10EE96DF" w14:textId="02F1DDF7" w:rsidR="00B276D6" w:rsidRDefault="00214116">
      <w:pPr>
        <w:pStyle w:val="Spistreci2"/>
        <w:rPr>
          <w:rFonts w:asciiTheme="minorHAnsi" w:eastAsiaTheme="minorEastAsia" w:hAnsiTheme="minorHAnsi" w:cstheme="minorBidi"/>
          <w:noProof/>
        </w:rPr>
      </w:pPr>
      <w:hyperlink w:anchor="_Toc29894906" w:history="1">
        <w:r w:rsidR="00B276D6" w:rsidRPr="00D369A2">
          <w:rPr>
            <w:rStyle w:val="Hipercze"/>
            <w:noProof/>
          </w:rPr>
          <w:t>START – DANE PROJEKTU</w:t>
        </w:r>
        <w:r w:rsidR="00B276D6">
          <w:rPr>
            <w:noProof/>
            <w:webHidden/>
          </w:rPr>
          <w:tab/>
        </w:r>
        <w:r w:rsidR="00B276D6">
          <w:rPr>
            <w:noProof/>
            <w:webHidden/>
          </w:rPr>
          <w:fldChar w:fldCharType="begin"/>
        </w:r>
        <w:r w:rsidR="00B276D6">
          <w:rPr>
            <w:noProof/>
            <w:webHidden/>
          </w:rPr>
          <w:instrText xml:space="preserve"> PAGEREF _Toc29894906 \h </w:instrText>
        </w:r>
        <w:r w:rsidR="00B276D6">
          <w:rPr>
            <w:noProof/>
            <w:webHidden/>
          </w:rPr>
        </w:r>
        <w:r w:rsidR="00B276D6">
          <w:rPr>
            <w:noProof/>
            <w:webHidden/>
          </w:rPr>
          <w:fldChar w:fldCharType="separate"/>
        </w:r>
        <w:r w:rsidR="00B276D6">
          <w:rPr>
            <w:noProof/>
            <w:webHidden/>
          </w:rPr>
          <w:t>5</w:t>
        </w:r>
        <w:r w:rsidR="00B276D6">
          <w:rPr>
            <w:noProof/>
            <w:webHidden/>
          </w:rPr>
          <w:fldChar w:fldCharType="end"/>
        </w:r>
      </w:hyperlink>
    </w:p>
    <w:p w14:paraId="2C1EA209" w14:textId="00553755" w:rsidR="00B276D6" w:rsidRDefault="00214116">
      <w:pPr>
        <w:pStyle w:val="Spistreci1"/>
        <w:rPr>
          <w:rFonts w:asciiTheme="minorHAnsi" w:eastAsiaTheme="minorEastAsia" w:hAnsiTheme="minorHAnsi" w:cstheme="minorBidi"/>
          <w:noProof/>
        </w:rPr>
      </w:pPr>
      <w:hyperlink w:anchor="_Toc29894907" w:history="1">
        <w:r w:rsidR="00B276D6" w:rsidRPr="00D369A2">
          <w:rPr>
            <w:rStyle w:val="Hipercze"/>
            <w:noProof/>
          </w:rPr>
          <w:t>A. PODMIOTY ZAANGAŻOWANE W REALIZACJĘ PROJEKTU</w:t>
        </w:r>
        <w:r w:rsidR="00B276D6">
          <w:rPr>
            <w:noProof/>
            <w:webHidden/>
          </w:rPr>
          <w:tab/>
        </w:r>
        <w:r w:rsidR="00B276D6">
          <w:rPr>
            <w:noProof/>
            <w:webHidden/>
          </w:rPr>
          <w:fldChar w:fldCharType="begin"/>
        </w:r>
        <w:r w:rsidR="00B276D6">
          <w:rPr>
            <w:noProof/>
            <w:webHidden/>
          </w:rPr>
          <w:instrText xml:space="preserve"> PAGEREF _Toc29894907 \h </w:instrText>
        </w:r>
        <w:r w:rsidR="00B276D6">
          <w:rPr>
            <w:noProof/>
            <w:webHidden/>
          </w:rPr>
        </w:r>
        <w:r w:rsidR="00B276D6">
          <w:rPr>
            <w:noProof/>
            <w:webHidden/>
          </w:rPr>
          <w:fldChar w:fldCharType="separate"/>
        </w:r>
        <w:r w:rsidR="00B276D6">
          <w:rPr>
            <w:noProof/>
            <w:webHidden/>
          </w:rPr>
          <w:t>6</w:t>
        </w:r>
        <w:r w:rsidR="00B276D6">
          <w:rPr>
            <w:noProof/>
            <w:webHidden/>
          </w:rPr>
          <w:fldChar w:fldCharType="end"/>
        </w:r>
      </w:hyperlink>
    </w:p>
    <w:p w14:paraId="2E3AEF83" w14:textId="5929B292" w:rsidR="00B276D6" w:rsidRDefault="00214116">
      <w:pPr>
        <w:pStyle w:val="Spistreci2"/>
        <w:rPr>
          <w:rFonts w:asciiTheme="minorHAnsi" w:eastAsiaTheme="minorEastAsia" w:hAnsiTheme="minorHAnsi" w:cstheme="minorBidi"/>
          <w:noProof/>
        </w:rPr>
      </w:pPr>
      <w:hyperlink w:anchor="_Toc29894908" w:history="1">
        <w:r w:rsidR="00B276D6" w:rsidRPr="00D369A2">
          <w:rPr>
            <w:rStyle w:val="Hipercze"/>
            <w:noProof/>
          </w:rPr>
          <w:t>A.1. Dane wnioskodawcy – lidera projektu</w:t>
        </w:r>
        <w:r w:rsidR="00B276D6">
          <w:rPr>
            <w:noProof/>
            <w:webHidden/>
          </w:rPr>
          <w:tab/>
        </w:r>
        <w:r w:rsidR="00B276D6">
          <w:rPr>
            <w:noProof/>
            <w:webHidden/>
          </w:rPr>
          <w:fldChar w:fldCharType="begin"/>
        </w:r>
        <w:r w:rsidR="00B276D6">
          <w:rPr>
            <w:noProof/>
            <w:webHidden/>
          </w:rPr>
          <w:instrText xml:space="preserve"> PAGEREF _Toc29894908 \h </w:instrText>
        </w:r>
        <w:r w:rsidR="00B276D6">
          <w:rPr>
            <w:noProof/>
            <w:webHidden/>
          </w:rPr>
        </w:r>
        <w:r w:rsidR="00B276D6">
          <w:rPr>
            <w:noProof/>
            <w:webHidden/>
          </w:rPr>
          <w:fldChar w:fldCharType="separate"/>
        </w:r>
        <w:r w:rsidR="00B276D6">
          <w:rPr>
            <w:noProof/>
            <w:webHidden/>
          </w:rPr>
          <w:t>6</w:t>
        </w:r>
        <w:r w:rsidR="00B276D6">
          <w:rPr>
            <w:noProof/>
            <w:webHidden/>
          </w:rPr>
          <w:fldChar w:fldCharType="end"/>
        </w:r>
      </w:hyperlink>
    </w:p>
    <w:p w14:paraId="26034FEE" w14:textId="47645307" w:rsidR="00B276D6" w:rsidRDefault="00214116">
      <w:pPr>
        <w:pStyle w:val="Spistreci2"/>
        <w:rPr>
          <w:rFonts w:asciiTheme="minorHAnsi" w:eastAsiaTheme="minorEastAsia" w:hAnsiTheme="minorHAnsi" w:cstheme="minorBidi"/>
          <w:noProof/>
        </w:rPr>
      </w:pPr>
      <w:hyperlink w:anchor="_Toc29894909" w:history="1">
        <w:r w:rsidR="00B276D6" w:rsidRPr="00D369A2">
          <w:rPr>
            <w:rStyle w:val="Hipercze"/>
            <w:noProof/>
          </w:rPr>
          <w:t>A.2. Partnerstwo w ramach projektu</w:t>
        </w:r>
        <w:r w:rsidR="00B276D6">
          <w:rPr>
            <w:noProof/>
            <w:webHidden/>
          </w:rPr>
          <w:tab/>
        </w:r>
        <w:r w:rsidR="00B276D6">
          <w:rPr>
            <w:noProof/>
            <w:webHidden/>
          </w:rPr>
          <w:fldChar w:fldCharType="begin"/>
        </w:r>
        <w:r w:rsidR="00B276D6">
          <w:rPr>
            <w:noProof/>
            <w:webHidden/>
          </w:rPr>
          <w:instrText xml:space="preserve"> PAGEREF _Toc29894909 \h </w:instrText>
        </w:r>
        <w:r w:rsidR="00B276D6">
          <w:rPr>
            <w:noProof/>
            <w:webHidden/>
          </w:rPr>
        </w:r>
        <w:r w:rsidR="00B276D6">
          <w:rPr>
            <w:noProof/>
            <w:webHidden/>
          </w:rPr>
          <w:fldChar w:fldCharType="separate"/>
        </w:r>
        <w:r w:rsidR="00B276D6">
          <w:rPr>
            <w:noProof/>
            <w:webHidden/>
          </w:rPr>
          <w:t>6</w:t>
        </w:r>
        <w:r w:rsidR="00B276D6">
          <w:rPr>
            <w:noProof/>
            <w:webHidden/>
          </w:rPr>
          <w:fldChar w:fldCharType="end"/>
        </w:r>
      </w:hyperlink>
    </w:p>
    <w:p w14:paraId="681E210B" w14:textId="0432D7B8" w:rsidR="00B276D6" w:rsidRDefault="00214116">
      <w:pPr>
        <w:pStyle w:val="Spistreci2"/>
        <w:rPr>
          <w:rFonts w:asciiTheme="minorHAnsi" w:eastAsiaTheme="minorEastAsia" w:hAnsiTheme="minorHAnsi" w:cstheme="minorBidi"/>
          <w:noProof/>
        </w:rPr>
      </w:pPr>
      <w:hyperlink w:anchor="_Toc29894910" w:history="1">
        <w:r w:rsidR="00B276D6" w:rsidRPr="00D369A2">
          <w:rPr>
            <w:rStyle w:val="Hipercze"/>
            <w:noProof/>
          </w:rPr>
          <w:t>A.3. Dane podmiotu - partnera projektu</w:t>
        </w:r>
        <w:r w:rsidR="00B276D6">
          <w:rPr>
            <w:noProof/>
            <w:webHidden/>
          </w:rPr>
          <w:tab/>
        </w:r>
        <w:r w:rsidR="00B276D6">
          <w:rPr>
            <w:noProof/>
            <w:webHidden/>
          </w:rPr>
          <w:fldChar w:fldCharType="begin"/>
        </w:r>
        <w:r w:rsidR="00B276D6">
          <w:rPr>
            <w:noProof/>
            <w:webHidden/>
          </w:rPr>
          <w:instrText xml:space="preserve"> PAGEREF _Toc29894910 \h </w:instrText>
        </w:r>
        <w:r w:rsidR="00B276D6">
          <w:rPr>
            <w:noProof/>
            <w:webHidden/>
          </w:rPr>
        </w:r>
        <w:r w:rsidR="00B276D6">
          <w:rPr>
            <w:noProof/>
            <w:webHidden/>
          </w:rPr>
          <w:fldChar w:fldCharType="separate"/>
        </w:r>
        <w:r w:rsidR="00B276D6">
          <w:rPr>
            <w:noProof/>
            <w:webHidden/>
          </w:rPr>
          <w:t>8</w:t>
        </w:r>
        <w:r w:rsidR="00B276D6">
          <w:rPr>
            <w:noProof/>
            <w:webHidden/>
          </w:rPr>
          <w:fldChar w:fldCharType="end"/>
        </w:r>
      </w:hyperlink>
    </w:p>
    <w:p w14:paraId="66E69D0D" w14:textId="401C9388" w:rsidR="00B276D6" w:rsidRDefault="00214116">
      <w:pPr>
        <w:pStyle w:val="Spistreci2"/>
        <w:rPr>
          <w:rFonts w:asciiTheme="minorHAnsi" w:eastAsiaTheme="minorEastAsia" w:hAnsiTheme="minorHAnsi" w:cstheme="minorBidi"/>
          <w:noProof/>
        </w:rPr>
      </w:pPr>
      <w:hyperlink w:anchor="_Toc29894911" w:history="1">
        <w:r w:rsidR="00B276D6" w:rsidRPr="00D369A2">
          <w:rPr>
            <w:rStyle w:val="Hipercze"/>
            <w:noProof/>
          </w:rPr>
          <w:t>A.4. Podmiot realizujący projekt</w:t>
        </w:r>
        <w:r w:rsidR="00B276D6">
          <w:rPr>
            <w:noProof/>
            <w:webHidden/>
          </w:rPr>
          <w:tab/>
        </w:r>
        <w:r w:rsidR="00B276D6">
          <w:rPr>
            <w:noProof/>
            <w:webHidden/>
          </w:rPr>
          <w:fldChar w:fldCharType="begin"/>
        </w:r>
        <w:r w:rsidR="00B276D6">
          <w:rPr>
            <w:noProof/>
            <w:webHidden/>
          </w:rPr>
          <w:instrText xml:space="preserve"> PAGEREF _Toc29894911 \h </w:instrText>
        </w:r>
        <w:r w:rsidR="00B276D6">
          <w:rPr>
            <w:noProof/>
            <w:webHidden/>
          </w:rPr>
        </w:r>
        <w:r w:rsidR="00B276D6">
          <w:rPr>
            <w:noProof/>
            <w:webHidden/>
          </w:rPr>
          <w:fldChar w:fldCharType="separate"/>
        </w:r>
        <w:r w:rsidR="00B276D6">
          <w:rPr>
            <w:noProof/>
            <w:webHidden/>
          </w:rPr>
          <w:t>8</w:t>
        </w:r>
        <w:r w:rsidR="00B276D6">
          <w:rPr>
            <w:noProof/>
            <w:webHidden/>
          </w:rPr>
          <w:fldChar w:fldCharType="end"/>
        </w:r>
      </w:hyperlink>
    </w:p>
    <w:p w14:paraId="3823F7CE" w14:textId="29819F11" w:rsidR="00B276D6" w:rsidRDefault="00214116">
      <w:pPr>
        <w:pStyle w:val="Spistreci2"/>
        <w:rPr>
          <w:rFonts w:asciiTheme="minorHAnsi" w:eastAsiaTheme="minorEastAsia" w:hAnsiTheme="minorHAnsi" w:cstheme="minorBidi"/>
          <w:noProof/>
        </w:rPr>
      </w:pPr>
      <w:hyperlink w:anchor="_Toc29894912" w:history="1">
        <w:r w:rsidR="00B276D6" w:rsidRPr="00D369A2">
          <w:rPr>
            <w:rStyle w:val="Hipercze"/>
            <w:noProof/>
          </w:rPr>
          <w:t>A.5. Podmiot zarządzający przedmiotem projektu</w:t>
        </w:r>
        <w:r w:rsidR="00B276D6">
          <w:rPr>
            <w:noProof/>
            <w:webHidden/>
          </w:rPr>
          <w:tab/>
        </w:r>
        <w:r w:rsidR="00B276D6">
          <w:rPr>
            <w:noProof/>
            <w:webHidden/>
          </w:rPr>
          <w:fldChar w:fldCharType="begin"/>
        </w:r>
        <w:r w:rsidR="00B276D6">
          <w:rPr>
            <w:noProof/>
            <w:webHidden/>
          </w:rPr>
          <w:instrText xml:space="preserve"> PAGEREF _Toc29894912 \h </w:instrText>
        </w:r>
        <w:r w:rsidR="00B276D6">
          <w:rPr>
            <w:noProof/>
            <w:webHidden/>
          </w:rPr>
        </w:r>
        <w:r w:rsidR="00B276D6">
          <w:rPr>
            <w:noProof/>
            <w:webHidden/>
          </w:rPr>
          <w:fldChar w:fldCharType="separate"/>
        </w:r>
        <w:r w:rsidR="00B276D6">
          <w:rPr>
            <w:noProof/>
            <w:webHidden/>
          </w:rPr>
          <w:t>8</w:t>
        </w:r>
        <w:r w:rsidR="00B276D6">
          <w:rPr>
            <w:noProof/>
            <w:webHidden/>
          </w:rPr>
          <w:fldChar w:fldCharType="end"/>
        </w:r>
      </w:hyperlink>
    </w:p>
    <w:p w14:paraId="56E66BE2" w14:textId="51341D5C" w:rsidR="00B276D6" w:rsidRDefault="00214116">
      <w:pPr>
        <w:pStyle w:val="Spistreci1"/>
        <w:rPr>
          <w:rFonts w:asciiTheme="minorHAnsi" w:eastAsiaTheme="minorEastAsia" w:hAnsiTheme="minorHAnsi" w:cstheme="minorBidi"/>
          <w:noProof/>
        </w:rPr>
      </w:pPr>
      <w:hyperlink w:anchor="_Toc29894913" w:history="1">
        <w:r w:rsidR="00B276D6" w:rsidRPr="00D369A2">
          <w:rPr>
            <w:rStyle w:val="Hipercze"/>
            <w:noProof/>
          </w:rPr>
          <w:t>B. SZCZEGÓŁOWY OPIS PROJEKTU</w:t>
        </w:r>
        <w:r w:rsidR="00B276D6">
          <w:rPr>
            <w:noProof/>
            <w:webHidden/>
          </w:rPr>
          <w:tab/>
        </w:r>
        <w:r w:rsidR="00B276D6">
          <w:rPr>
            <w:noProof/>
            <w:webHidden/>
          </w:rPr>
          <w:fldChar w:fldCharType="begin"/>
        </w:r>
        <w:r w:rsidR="00B276D6">
          <w:rPr>
            <w:noProof/>
            <w:webHidden/>
          </w:rPr>
          <w:instrText xml:space="preserve"> PAGEREF _Toc29894913 \h </w:instrText>
        </w:r>
        <w:r w:rsidR="00B276D6">
          <w:rPr>
            <w:noProof/>
            <w:webHidden/>
          </w:rPr>
        </w:r>
        <w:r w:rsidR="00B276D6">
          <w:rPr>
            <w:noProof/>
            <w:webHidden/>
          </w:rPr>
          <w:fldChar w:fldCharType="separate"/>
        </w:r>
        <w:r w:rsidR="00B276D6">
          <w:rPr>
            <w:noProof/>
            <w:webHidden/>
          </w:rPr>
          <w:t>8</w:t>
        </w:r>
        <w:r w:rsidR="00B276D6">
          <w:rPr>
            <w:noProof/>
            <w:webHidden/>
          </w:rPr>
          <w:fldChar w:fldCharType="end"/>
        </w:r>
      </w:hyperlink>
    </w:p>
    <w:p w14:paraId="60C592F8" w14:textId="70AD9701" w:rsidR="00B276D6" w:rsidRDefault="00214116">
      <w:pPr>
        <w:pStyle w:val="Spistreci2"/>
        <w:rPr>
          <w:rFonts w:asciiTheme="minorHAnsi" w:eastAsiaTheme="minorEastAsia" w:hAnsiTheme="minorHAnsi" w:cstheme="minorBidi"/>
          <w:noProof/>
        </w:rPr>
      </w:pPr>
      <w:hyperlink w:anchor="_Toc29894914" w:history="1">
        <w:r w:rsidR="00B276D6" w:rsidRPr="00D369A2">
          <w:rPr>
            <w:rStyle w:val="Hipercze"/>
            <w:noProof/>
          </w:rPr>
          <w:t>B.1. Tytuł projektu</w:t>
        </w:r>
        <w:r w:rsidR="00B276D6">
          <w:rPr>
            <w:noProof/>
            <w:webHidden/>
          </w:rPr>
          <w:tab/>
        </w:r>
        <w:r w:rsidR="00B276D6">
          <w:rPr>
            <w:noProof/>
            <w:webHidden/>
          </w:rPr>
          <w:fldChar w:fldCharType="begin"/>
        </w:r>
        <w:r w:rsidR="00B276D6">
          <w:rPr>
            <w:noProof/>
            <w:webHidden/>
          </w:rPr>
          <w:instrText xml:space="preserve"> PAGEREF _Toc29894914 \h </w:instrText>
        </w:r>
        <w:r w:rsidR="00B276D6">
          <w:rPr>
            <w:noProof/>
            <w:webHidden/>
          </w:rPr>
        </w:r>
        <w:r w:rsidR="00B276D6">
          <w:rPr>
            <w:noProof/>
            <w:webHidden/>
          </w:rPr>
          <w:fldChar w:fldCharType="separate"/>
        </w:r>
        <w:r w:rsidR="00B276D6">
          <w:rPr>
            <w:noProof/>
            <w:webHidden/>
          </w:rPr>
          <w:t>8</w:t>
        </w:r>
        <w:r w:rsidR="00B276D6">
          <w:rPr>
            <w:noProof/>
            <w:webHidden/>
          </w:rPr>
          <w:fldChar w:fldCharType="end"/>
        </w:r>
      </w:hyperlink>
    </w:p>
    <w:p w14:paraId="16A41414" w14:textId="26E7E30E" w:rsidR="00B276D6" w:rsidRDefault="00214116">
      <w:pPr>
        <w:pStyle w:val="Spistreci2"/>
        <w:rPr>
          <w:rFonts w:asciiTheme="minorHAnsi" w:eastAsiaTheme="minorEastAsia" w:hAnsiTheme="minorHAnsi" w:cstheme="minorBidi"/>
          <w:noProof/>
        </w:rPr>
      </w:pPr>
      <w:hyperlink w:anchor="_Toc29894915" w:history="1">
        <w:r w:rsidR="00B276D6" w:rsidRPr="00D369A2">
          <w:rPr>
            <w:rStyle w:val="Hipercze"/>
            <w:noProof/>
          </w:rPr>
          <w:t>B.2. Krótki opis projektu</w:t>
        </w:r>
        <w:r w:rsidR="00B276D6">
          <w:rPr>
            <w:noProof/>
            <w:webHidden/>
          </w:rPr>
          <w:tab/>
        </w:r>
        <w:r w:rsidR="00B276D6">
          <w:rPr>
            <w:noProof/>
            <w:webHidden/>
          </w:rPr>
          <w:fldChar w:fldCharType="begin"/>
        </w:r>
        <w:r w:rsidR="00B276D6">
          <w:rPr>
            <w:noProof/>
            <w:webHidden/>
          </w:rPr>
          <w:instrText xml:space="preserve"> PAGEREF _Toc29894915 \h </w:instrText>
        </w:r>
        <w:r w:rsidR="00B276D6">
          <w:rPr>
            <w:noProof/>
            <w:webHidden/>
          </w:rPr>
        </w:r>
        <w:r w:rsidR="00B276D6">
          <w:rPr>
            <w:noProof/>
            <w:webHidden/>
          </w:rPr>
          <w:fldChar w:fldCharType="separate"/>
        </w:r>
        <w:r w:rsidR="00B276D6">
          <w:rPr>
            <w:noProof/>
            <w:webHidden/>
          </w:rPr>
          <w:t>8</w:t>
        </w:r>
        <w:r w:rsidR="00B276D6">
          <w:rPr>
            <w:noProof/>
            <w:webHidden/>
          </w:rPr>
          <w:fldChar w:fldCharType="end"/>
        </w:r>
      </w:hyperlink>
    </w:p>
    <w:p w14:paraId="2FA310E5" w14:textId="1C4AC17D" w:rsidR="00B276D6" w:rsidRDefault="00214116">
      <w:pPr>
        <w:pStyle w:val="Spistreci2"/>
        <w:rPr>
          <w:rFonts w:asciiTheme="minorHAnsi" w:eastAsiaTheme="minorEastAsia" w:hAnsiTheme="minorHAnsi" w:cstheme="minorBidi"/>
          <w:noProof/>
        </w:rPr>
      </w:pPr>
      <w:hyperlink w:anchor="_Toc29894916" w:history="1">
        <w:r w:rsidR="00B276D6" w:rsidRPr="00D369A2">
          <w:rPr>
            <w:rStyle w:val="Hipercze"/>
            <w:noProof/>
          </w:rPr>
          <w:t>B.3. Miejsce realizacji projektu</w:t>
        </w:r>
        <w:r w:rsidR="00B276D6">
          <w:rPr>
            <w:noProof/>
            <w:webHidden/>
          </w:rPr>
          <w:tab/>
        </w:r>
        <w:r w:rsidR="00B276D6">
          <w:rPr>
            <w:noProof/>
            <w:webHidden/>
          </w:rPr>
          <w:fldChar w:fldCharType="begin"/>
        </w:r>
        <w:r w:rsidR="00B276D6">
          <w:rPr>
            <w:noProof/>
            <w:webHidden/>
          </w:rPr>
          <w:instrText xml:space="preserve"> PAGEREF _Toc29894916 \h </w:instrText>
        </w:r>
        <w:r w:rsidR="00B276D6">
          <w:rPr>
            <w:noProof/>
            <w:webHidden/>
          </w:rPr>
        </w:r>
        <w:r w:rsidR="00B276D6">
          <w:rPr>
            <w:noProof/>
            <w:webHidden/>
          </w:rPr>
          <w:fldChar w:fldCharType="separate"/>
        </w:r>
        <w:r w:rsidR="00B276D6">
          <w:rPr>
            <w:noProof/>
            <w:webHidden/>
          </w:rPr>
          <w:t>8</w:t>
        </w:r>
        <w:r w:rsidR="00B276D6">
          <w:rPr>
            <w:noProof/>
            <w:webHidden/>
          </w:rPr>
          <w:fldChar w:fldCharType="end"/>
        </w:r>
      </w:hyperlink>
    </w:p>
    <w:p w14:paraId="1DCBDB90" w14:textId="62C5D1ED" w:rsidR="00B276D6" w:rsidRDefault="00214116">
      <w:pPr>
        <w:pStyle w:val="Spistreci2"/>
        <w:rPr>
          <w:rFonts w:asciiTheme="minorHAnsi" w:eastAsiaTheme="minorEastAsia" w:hAnsiTheme="minorHAnsi" w:cstheme="minorBidi"/>
          <w:noProof/>
        </w:rPr>
      </w:pPr>
      <w:hyperlink w:anchor="_Toc29894917" w:history="1">
        <w:r w:rsidR="00B276D6" w:rsidRPr="00D369A2">
          <w:rPr>
            <w:rStyle w:val="Hipercze"/>
            <w:noProof/>
          </w:rPr>
          <w:t>B.4. Klasyfikacja projektu i zakres interwencji</w:t>
        </w:r>
        <w:r w:rsidR="00B276D6">
          <w:rPr>
            <w:noProof/>
            <w:webHidden/>
          </w:rPr>
          <w:tab/>
        </w:r>
        <w:r w:rsidR="00B276D6">
          <w:rPr>
            <w:noProof/>
            <w:webHidden/>
          </w:rPr>
          <w:fldChar w:fldCharType="begin"/>
        </w:r>
        <w:r w:rsidR="00B276D6">
          <w:rPr>
            <w:noProof/>
            <w:webHidden/>
          </w:rPr>
          <w:instrText xml:space="preserve"> PAGEREF _Toc29894917 \h </w:instrText>
        </w:r>
        <w:r w:rsidR="00B276D6">
          <w:rPr>
            <w:noProof/>
            <w:webHidden/>
          </w:rPr>
        </w:r>
        <w:r w:rsidR="00B276D6">
          <w:rPr>
            <w:noProof/>
            <w:webHidden/>
          </w:rPr>
          <w:fldChar w:fldCharType="separate"/>
        </w:r>
        <w:r w:rsidR="00B276D6">
          <w:rPr>
            <w:noProof/>
            <w:webHidden/>
          </w:rPr>
          <w:t>9</w:t>
        </w:r>
        <w:r w:rsidR="00B276D6">
          <w:rPr>
            <w:noProof/>
            <w:webHidden/>
          </w:rPr>
          <w:fldChar w:fldCharType="end"/>
        </w:r>
      </w:hyperlink>
    </w:p>
    <w:p w14:paraId="30B2E9E5" w14:textId="454B10A0" w:rsidR="00B276D6" w:rsidRDefault="00214116">
      <w:pPr>
        <w:pStyle w:val="Spistreci2"/>
        <w:rPr>
          <w:rFonts w:asciiTheme="minorHAnsi" w:eastAsiaTheme="minorEastAsia" w:hAnsiTheme="minorHAnsi" w:cstheme="minorBidi"/>
          <w:noProof/>
        </w:rPr>
      </w:pPr>
      <w:hyperlink w:anchor="_Toc29894918" w:history="1">
        <w:r w:rsidR="00B276D6" w:rsidRPr="00D369A2">
          <w:rPr>
            <w:rStyle w:val="Hipercze"/>
            <w:noProof/>
          </w:rPr>
          <w:t>B.5. Realizacja projektu w formule partnerstwa publiczno-prywatnego</w:t>
        </w:r>
        <w:r w:rsidR="00B276D6">
          <w:rPr>
            <w:noProof/>
            <w:webHidden/>
          </w:rPr>
          <w:tab/>
        </w:r>
        <w:r w:rsidR="00B276D6">
          <w:rPr>
            <w:noProof/>
            <w:webHidden/>
          </w:rPr>
          <w:fldChar w:fldCharType="begin"/>
        </w:r>
        <w:r w:rsidR="00B276D6">
          <w:rPr>
            <w:noProof/>
            <w:webHidden/>
          </w:rPr>
          <w:instrText xml:space="preserve"> PAGEREF _Toc29894918 \h </w:instrText>
        </w:r>
        <w:r w:rsidR="00B276D6">
          <w:rPr>
            <w:noProof/>
            <w:webHidden/>
          </w:rPr>
        </w:r>
        <w:r w:rsidR="00B276D6">
          <w:rPr>
            <w:noProof/>
            <w:webHidden/>
          </w:rPr>
          <w:fldChar w:fldCharType="separate"/>
        </w:r>
        <w:r w:rsidR="00B276D6">
          <w:rPr>
            <w:noProof/>
            <w:webHidden/>
          </w:rPr>
          <w:t>10</w:t>
        </w:r>
        <w:r w:rsidR="00B276D6">
          <w:rPr>
            <w:noProof/>
            <w:webHidden/>
          </w:rPr>
          <w:fldChar w:fldCharType="end"/>
        </w:r>
      </w:hyperlink>
    </w:p>
    <w:p w14:paraId="5AC3D413" w14:textId="2D95129D" w:rsidR="00B276D6" w:rsidRDefault="00214116">
      <w:pPr>
        <w:pStyle w:val="Spistreci2"/>
        <w:rPr>
          <w:rFonts w:asciiTheme="minorHAnsi" w:eastAsiaTheme="minorEastAsia" w:hAnsiTheme="minorHAnsi" w:cstheme="minorBidi"/>
          <w:noProof/>
        </w:rPr>
      </w:pPr>
      <w:hyperlink w:anchor="_Toc29894919" w:history="1">
        <w:r w:rsidR="00B276D6" w:rsidRPr="00D369A2">
          <w:rPr>
            <w:rStyle w:val="Hipercze"/>
            <w:noProof/>
          </w:rPr>
          <w:t>B.6. Komplementarność projektu i powiązanie z projektami</w:t>
        </w:r>
        <w:r w:rsidR="00B276D6">
          <w:rPr>
            <w:noProof/>
            <w:webHidden/>
          </w:rPr>
          <w:tab/>
        </w:r>
        <w:r w:rsidR="00B276D6">
          <w:rPr>
            <w:noProof/>
            <w:webHidden/>
          </w:rPr>
          <w:fldChar w:fldCharType="begin"/>
        </w:r>
        <w:r w:rsidR="00B276D6">
          <w:rPr>
            <w:noProof/>
            <w:webHidden/>
          </w:rPr>
          <w:instrText xml:space="preserve"> PAGEREF _Toc29894919 \h </w:instrText>
        </w:r>
        <w:r w:rsidR="00B276D6">
          <w:rPr>
            <w:noProof/>
            <w:webHidden/>
          </w:rPr>
        </w:r>
        <w:r w:rsidR="00B276D6">
          <w:rPr>
            <w:noProof/>
            <w:webHidden/>
          </w:rPr>
          <w:fldChar w:fldCharType="separate"/>
        </w:r>
        <w:r w:rsidR="00B276D6">
          <w:rPr>
            <w:noProof/>
            <w:webHidden/>
          </w:rPr>
          <w:t>10</w:t>
        </w:r>
        <w:r w:rsidR="00B276D6">
          <w:rPr>
            <w:noProof/>
            <w:webHidden/>
          </w:rPr>
          <w:fldChar w:fldCharType="end"/>
        </w:r>
      </w:hyperlink>
    </w:p>
    <w:p w14:paraId="25ABCD99" w14:textId="6E3A8018" w:rsidR="00B276D6" w:rsidRDefault="00214116">
      <w:pPr>
        <w:pStyle w:val="Spistreci2"/>
        <w:rPr>
          <w:rFonts w:asciiTheme="minorHAnsi" w:eastAsiaTheme="minorEastAsia" w:hAnsiTheme="minorHAnsi" w:cstheme="minorBidi"/>
          <w:noProof/>
        </w:rPr>
      </w:pPr>
      <w:hyperlink w:anchor="_Toc29894920" w:history="1">
        <w:r w:rsidR="00B276D6" w:rsidRPr="00D369A2">
          <w:rPr>
            <w:rStyle w:val="Hipercze"/>
            <w:noProof/>
          </w:rPr>
          <w:t>B.6.1 Komplementarność</w:t>
        </w:r>
        <w:r w:rsidR="00B276D6">
          <w:rPr>
            <w:noProof/>
            <w:webHidden/>
          </w:rPr>
          <w:tab/>
        </w:r>
        <w:r w:rsidR="00B276D6">
          <w:rPr>
            <w:noProof/>
            <w:webHidden/>
          </w:rPr>
          <w:fldChar w:fldCharType="begin"/>
        </w:r>
        <w:r w:rsidR="00B276D6">
          <w:rPr>
            <w:noProof/>
            <w:webHidden/>
          </w:rPr>
          <w:instrText xml:space="preserve"> PAGEREF _Toc29894920 \h </w:instrText>
        </w:r>
        <w:r w:rsidR="00B276D6">
          <w:rPr>
            <w:noProof/>
            <w:webHidden/>
          </w:rPr>
        </w:r>
        <w:r w:rsidR="00B276D6">
          <w:rPr>
            <w:noProof/>
            <w:webHidden/>
          </w:rPr>
          <w:fldChar w:fldCharType="separate"/>
        </w:r>
        <w:r w:rsidR="00B276D6">
          <w:rPr>
            <w:noProof/>
            <w:webHidden/>
          </w:rPr>
          <w:t>10</w:t>
        </w:r>
        <w:r w:rsidR="00B276D6">
          <w:rPr>
            <w:noProof/>
            <w:webHidden/>
          </w:rPr>
          <w:fldChar w:fldCharType="end"/>
        </w:r>
      </w:hyperlink>
    </w:p>
    <w:p w14:paraId="4AFB2140" w14:textId="5E8FC573" w:rsidR="00B276D6" w:rsidRDefault="00214116">
      <w:pPr>
        <w:pStyle w:val="Spistreci2"/>
        <w:rPr>
          <w:rFonts w:asciiTheme="minorHAnsi" w:eastAsiaTheme="minorEastAsia" w:hAnsiTheme="minorHAnsi" w:cstheme="minorBidi"/>
          <w:noProof/>
        </w:rPr>
      </w:pPr>
      <w:hyperlink w:anchor="_Toc29894921" w:history="1">
        <w:r w:rsidR="00B276D6" w:rsidRPr="00D369A2">
          <w:rPr>
            <w:rStyle w:val="Hipercze"/>
            <w:noProof/>
          </w:rPr>
          <w:t>B.6.2 Powiązania</w:t>
        </w:r>
        <w:r w:rsidR="00B276D6">
          <w:rPr>
            <w:noProof/>
            <w:webHidden/>
          </w:rPr>
          <w:tab/>
        </w:r>
        <w:r w:rsidR="00B276D6">
          <w:rPr>
            <w:noProof/>
            <w:webHidden/>
          </w:rPr>
          <w:fldChar w:fldCharType="begin"/>
        </w:r>
        <w:r w:rsidR="00B276D6">
          <w:rPr>
            <w:noProof/>
            <w:webHidden/>
          </w:rPr>
          <w:instrText xml:space="preserve"> PAGEREF _Toc29894921 \h </w:instrText>
        </w:r>
        <w:r w:rsidR="00B276D6">
          <w:rPr>
            <w:noProof/>
            <w:webHidden/>
          </w:rPr>
        </w:r>
        <w:r w:rsidR="00B276D6">
          <w:rPr>
            <w:noProof/>
            <w:webHidden/>
          </w:rPr>
          <w:fldChar w:fldCharType="separate"/>
        </w:r>
        <w:r w:rsidR="00B276D6">
          <w:rPr>
            <w:noProof/>
            <w:webHidden/>
          </w:rPr>
          <w:t>11</w:t>
        </w:r>
        <w:r w:rsidR="00B276D6">
          <w:rPr>
            <w:noProof/>
            <w:webHidden/>
          </w:rPr>
          <w:fldChar w:fldCharType="end"/>
        </w:r>
      </w:hyperlink>
    </w:p>
    <w:p w14:paraId="1F3776B5" w14:textId="6D043972" w:rsidR="00B276D6" w:rsidRDefault="00214116">
      <w:pPr>
        <w:pStyle w:val="Spistreci2"/>
        <w:rPr>
          <w:rFonts w:asciiTheme="minorHAnsi" w:eastAsiaTheme="minorEastAsia" w:hAnsiTheme="minorHAnsi" w:cstheme="minorBidi"/>
          <w:noProof/>
        </w:rPr>
      </w:pPr>
      <w:hyperlink w:anchor="_Toc29894922" w:history="1">
        <w:r w:rsidR="00B276D6" w:rsidRPr="00D369A2">
          <w:rPr>
            <w:rStyle w:val="Hipercze"/>
            <w:noProof/>
          </w:rPr>
          <w:t>B.7. Zaprojektuj i wybuduj</w:t>
        </w:r>
        <w:r w:rsidR="00B276D6">
          <w:rPr>
            <w:noProof/>
            <w:webHidden/>
          </w:rPr>
          <w:tab/>
        </w:r>
        <w:r w:rsidR="00B276D6">
          <w:rPr>
            <w:noProof/>
            <w:webHidden/>
          </w:rPr>
          <w:fldChar w:fldCharType="begin"/>
        </w:r>
        <w:r w:rsidR="00B276D6">
          <w:rPr>
            <w:noProof/>
            <w:webHidden/>
          </w:rPr>
          <w:instrText xml:space="preserve"> PAGEREF _Toc29894922 \h </w:instrText>
        </w:r>
        <w:r w:rsidR="00B276D6">
          <w:rPr>
            <w:noProof/>
            <w:webHidden/>
          </w:rPr>
        </w:r>
        <w:r w:rsidR="00B276D6">
          <w:rPr>
            <w:noProof/>
            <w:webHidden/>
          </w:rPr>
          <w:fldChar w:fldCharType="separate"/>
        </w:r>
        <w:r w:rsidR="00B276D6">
          <w:rPr>
            <w:noProof/>
            <w:webHidden/>
          </w:rPr>
          <w:t>12</w:t>
        </w:r>
        <w:r w:rsidR="00B276D6">
          <w:rPr>
            <w:noProof/>
            <w:webHidden/>
          </w:rPr>
          <w:fldChar w:fldCharType="end"/>
        </w:r>
      </w:hyperlink>
    </w:p>
    <w:p w14:paraId="2DD1CB28" w14:textId="2BC99270" w:rsidR="00B276D6" w:rsidRDefault="00214116">
      <w:pPr>
        <w:pStyle w:val="Spistreci2"/>
        <w:rPr>
          <w:rFonts w:asciiTheme="minorHAnsi" w:eastAsiaTheme="minorEastAsia" w:hAnsiTheme="minorHAnsi" w:cstheme="minorBidi"/>
          <w:noProof/>
        </w:rPr>
      </w:pPr>
      <w:hyperlink w:anchor="_Toc29894923" w:history="1">
        <w:r w:rsidR="00B276D6" w:rsidRPr="00D369A2">
          <w:rPr>
            <w:rStyle w:val="Hipercze"/>
            <w:noProof/>
          </w:rPr>
          <w:t>B.8. Diagnoza, cele projektu, sposób realizacji celów RPO WSL (osi priorytetowej, działania)</w:t>
        </w:r>
        <w:r w:rsidR="00B276D6">
          <w:rPr>
            <w:noProof/>
            <w:webHidden/>
          </w:rPr>
          <w:tab/>
        </w:r>
        <w:r w:rsidR="00B276D6">
          <w:rPr>
            <w:noProof/>
            <w:webHidden/>
          </w:rPr>
          <w:fldChar w:fldCharType="begin"/>
        </w:r>
        <w:r w:rsidR="00B276D6">
          <w:rPr>
            <w:noProof/>
            <w:webHidden/>
          </w:rPr>
          <w:instrText xml:space="preserve"> PAGEREF _Toc29894923 \h </w:instrText>
        </w:r>
        <w:r w:rsidR="00B276D6">
          <w:rPr>
            <w:noProof/>
            <w:webHidden/>
          </w:rPr>
        </w:r>
        <w:r w:rsidR="00B276D6">
          <w:rPr>
            <w:noProof/>
            <w:webHidden/>
          </w:rPr>
          <w:fldChar w:fldCharType="separate"/>
        </w:r>
        <w:r w:rsidR="00B276D6">
          <w:rPr>
            <w:noProof/>
            <w:webHidden/>
          </w:rPr>
          <w:t>12</w:t>
        </w:r>
        <w:r w:rsidR="00B276D6">
          <w:rPr>
            <w:noProof/>
            <w:webHidden/>
          </w:rPr>
          <w:fldChar w:fldCharType="end"/>
        </w:r>
      </w:hyperlink>
    </w:p>
    <w:p w14:paraId="646B895B" w14:textId="7967A27A" w:rsidR="00B276D6" w:rsidRDefault="00214116">
      <w:pPr>
        <w:pStyle w:val="Spistreci2"/>
        <w:rPr>
          <w:rFonts w:asciiTheme="minorHAnsi" w:eastAsiaTheme="minorEastAsia" w:hAnsiTheme="minorHAnsi" w:cstheme="minorBidi"/>
          <w:noProof/>
        </w:rPr>
      </w:pPr>
      <w:hyperlink w:anchor="_Toc29894924" w:history="1">
        <w:r w:rsidR="00B276D6" w:rsidRPr="00D369A2">
          <w:rPr>
            <w:rStyle w:val="Hipercze"/>
            <w:noProof/>
          </w:rPr>
          <w:t>B.9. Uzasadnienie  spełnienia kryteriów</w:t>
        </w:r>
        <w:r w:rsidR="00B276D6">
          <w:rPr>
            <w:noProof/>
            <w:webHidden/>
          </w:rPr>
          <w:tab/>
        </w:r>
        <w:r w:rsidR="00B276D6">
          <w:rPr>
            <w:noProof/>
            <w:webHidden/>
          </w:rPr>
          <w:fldChar w:fldCharType="begin"/>
        </w:r>
        <w:r w:rsidR="00B276D6">
          <w:rPr>
            <w:noProof/>
            <w:webHidden/>
          </w:rPr>
          <w:instrText xml:space="preserve"> PAGEREF _Toc29894924 \h </w:instrText>
        </w:r>
        <w:r w:rsidR="00B276D6">
          <w:rPr>
            <w:noProof/>
            <w:webHidden/>
          </w:rPr>
        </w:r>
        <w:r w:rsidR="00B276D6">
          <w:rPr>
            <w:noProof/>
            <w:webHidden/>
          </w:rPr>
          <w:fldChar w:fldCharType="separate"/>
        </w:r>
        <w:r w:rsidR="00B276D6">
          <w:rPr>
            <w:noProof/>
            <w:webHidden/>
          </w:rPr>
          <w:t>13</w:t>
        </w:r>
        <w:r w:rsidR="00B276D6">
          <w:rPr>
            <w:noProof/>
            <w:webHidden/>
          </w:rPr>
          <w:fldChar w:fldCharType="end"/>
        </w:r>
      </w:hyperlink>
    </w:p>
    <w:p w14:paraId="0C81615F" w14:textId="7546A499" w:rsidR="00B276D6" w:rsidRDefault="00214116">
      <w:pPr>
        <w:pStyle w:val="Spistreci2"/>
        <w:rPr>
          <w:rFonts w:asciiTheme="minorHAnsi" w:eastAsiaTheme="minorEastAsia" w:hAnsiTheme="minorHAnsi" w:cstheme="minorBidi"/>
          <w:noProof/>
        </w:rPr>
      </w:pPr>
      <w:hyperlink w:anchor="_Toc29894925" w:history="1">
        <w:r w:rsidR="00B276D6" w:rsidRPr="00D369A2">
          <w:rPr>
            <w:rStyle w:val="Hipercze"/>
            <w:noProof/>
          </w:rPr>
          <w:t>B.10. Analiza instytucjonalna i prawna projektu i wnioskodawcy (doświadczenie)</w:t>
        </w:r>
        <w:r w:rsidR="00B276D6">
          <w:rPr>
            <w:noProof/>
            <w:webHidden/>
          </w:rPr>
          <w:tab/>
        </w:r>
        <w:r w:rsidR="00B276D6">
          <w:rPr>
            <w:noProof/>
            <w:webHidden/>
          </w:rPr>
          <w:fldChar w:fldCharType="begin"/>
        </w:r>
        <w:r w:rsidR="00B276D6">
          <w:rPr>
            <w:noProof/>
            <w:webHidden/>
          </w:rPr>
          <w:instrText xml:space="preserve"> PAGEREF _Toc29894925 \h </w:instrText>
        </w:r>
        <w:r w:rsidR="00B276D6">
          <w:rPr>
            <w:noProof/>
            <w:webHidden/>
          </w:rPr>
        </w:r>
        <w:r w:rsidR="00B276D6">
          <w:rPr>
            <w:noProof/>
            <w:webHidden/>
          </w:rPr>
          <w:fldChar w:fldCharType="separate"/>
        </w:r>
        <w:r w:rsidR="00B276D6">
          <w:rPr>
            <w:noProof/>
            <w:webHidden/>
          </w:rPr>
          <w:t>13</w:t>
        </w:r>
        <w:r w:rsidR="00B276D6">
          <w:rPr>
            <w:noProof/>
            <w:webHidden/>
          </w:rPr>
          <w:fldChar w:fldCharType="end"/>
        </w:r>
      </w:hyperlink>
    </w:p>
    <w:p w14:paraId="5A812FE9" w14:textId="6F4F2938" w:rsidR="00B276D6" w:rsidRDefault="00214116">
      <w:pPr>
        <w:pStyle w:val="Spistreci2"/>
        <w:rPr>
          <w:rFonts w:asciiTheme="minorHAnsi" w:eastAsiaTheme="minorEastAsia" w:hAnsiTheme="minorHAnsi" w:cstheme="minorBidi"/>
          <w:noProof/>
        </w:rPr>
      </w:pPr>
      <w:hyperlink w:anchor="_Toc29894926" w:history="1">
        <w:r w:rsidR="00B276D6" w:rsidRPr="00D369A2">
          <w:rPr>
            <w:rStyle w:val="Hipercze"/>
            <w:noProof/>
          </w:rPr>
          <w:t>B.11. Decyzje/zezwolenia/opinie, które są niezbędne do realizacji projektu/prowadzenia działalności w ramach projektu</w:t>
        </w:r>
        <w:r w:rsidR="00B276D6">
          <w:rPr>
            <w:noProof/>
            <w:webHidden/>
          </w:rPr>
          <w:tab/>
        </w:r>
        <w:r w:rsidR="00B276D6">
          <w:rPr>
            <w:noProof/>
            <w:webHidden/>
          </w:rPr>
          <w:fldChar w:fldCharType="begin"/>
        </w:r>
        <w:r w:rsidR="00B276D6">
          <w:rPr>
            <w:noProof/>
            <w:webHidden/>
          </w:rPr>
          <w:instrText xml:space="preserve"> PAGEREF _Toc29894926 \h </w:instrText>
        </w:r>
        <w:r w:rsidR="00B276D6">
          <w:rPr>
            <w:noProof/>
            <w:webHidden/>
          </w:rPr>
        </w:r>
        <w:r w:rsidR="00B276D6">
          <w:rPr>
            <w:noProof/>
            <w:webHidden/>
          </w:rPr>
          <w:fldChar w:fldCharType="separate"/>
        </w:r>
        <w:r w:rsidR="00B276D6">
          <w:rPr>
            <w:noProof/>
            <w:webHidden/>
          </w:rPr>
          <w:t>15</w:t>
        </w:r>
        <w:r w:rsidR="00B276D6">
          <w:rPr>
            <w:noProof/>
            <w:webHidden/>
          </w:rPr>
          <w:fldChar w:fldCharType="end"/>
        </w:r>
      </w:hyperlink>
    </w:p>
    <w:p w14:paraId="2917D28A" w14:textId="0572DCCF" w:rsidR="00B276D6" w:rsidRDefault="00214116">
      <w:pPr>
        <w:pStyle w:val="Spistreci2"/>
        <w:rPr>
          <w:rFonts w:asciiTheme="minorHAnsi" w:eastAsiaTheme="minorEastAsia" w:hAnsiTheme="minorHAnsi" w:cstheme="minorBidi"/>
          <w:noProof/>
        </w:rPr>
      </w:pPr>
      <w:hyperlink w:anchor="_Toc29894927" w:history="1">
        <w:r w:rsidR="00B276D6" w:rsidRPr="00D369A2">
          <w:rPr>
            <w:rStyle w:val="Hipercze"/>
            <w:noProof/>
          </w:rPr>
          <w:t>B.12. Utrzymanie celów i trwałości projektu</w:t>
        </w:r>
        <w:r w:rsidR="00B276D6">
          <w:rPr>
            <w:noProof/>
            <w:webHidden/>
          </w:rPr>
          <w:tab/>
        </w:r>
        <w:r w:rsidR="00B276D6">
          <w:rPr>
            <w:noProof/>
            <w:webHidden/>
          </w:rPr>
          <w:fldChar w:fldCharType="begin"/>
        </w:r>
        <w:r w:rsidR="00B276D6">
          <w:rPr>
            <w:noProof/>
            <w:webHidden/>
          </w:rPr>
          <w:instrText xml:space="preserve"> PAGEREF _Toc29894927 \h </w:instrText>
        </w:r>
        <w:r w:rsidR="00B276D6">
          <w:rPr>
            <w:noProof/>
            <w:webHidden/>
          </w:rPr>
        </w:r>
        <w:r w:rsidR="00B276D6">
          <w:rPr>
            <w:noProof/>
            <w:webHidden/>
          </w:rPr>
          <w:fldChar w:fldCharType="separate"/>
        </w:r>
        <w:r w:rsidR="00B276D6">
          <w:rPr>
            <w:noProof/>
            <w:webHidden/>
          </w:rPr>
          <w:t>15</w:t>
        </w:r>
        <w:r w:rsidR="00B276D6">
          <w:rPr>
            <w:noProof/>
            <w:webHidden/>
          </w:rPr>
          <w:fldChar w:fldCharType="end"/>
        </w:r>
      </w:hyperlink>
    </w:p>
    <w:p w14:paraId="11F4CA42" w14:textId="15FCC065" w:rsidR="00B276D6" w:rsidRDefault="00214116">
      <w:pPr>
        <w:pStyle w:val="Spistreci2"/>
        <w:rPr>
          <w:rFonts w:asciiTheme="minorHAnsi" w:eastAsiaTheme="minorEastAsia" w:hAnsiTheme="minorHAnsi" w:cstheme="minorBidi"/>
          <w:noProof/>
        </w:rPr>
      </w:pPr>
      <w:hyperlink w:anchor="_Toc29894928" w:history="1">
        <w:r w:rsidR="00B276D6" w:rsidRPr="00D369A2">
          <w:rPr>
            <w:rStyle w:val="Hipercze"/>
            <w:noProof/>
          </w:rPr>
          <w:t>B.13. Pomoc publiczna w projekcie</w:t>
        </w:r>
        <w:r w:rsidR="00B276D6">
          <w:rPr>
            <w:noProof/>
            <w:webHidden/>
          </w:rPr>
          <w:tab/>
        </w:r>
        <w:r w:rsidR="00B276D6">
          <w:rPr>
            <w:noProof/>
            <w:webHidden/>
          </w:rPr>
          <w:fldChar w:fldCharType="begin"/>
        </w:r>
        <w:r w:rsidR="00B276D6">
          <w:rPr>
            <w:noProof/>
            <w:webHidden/>
          </w:rPr>
          <w:instrText xml:space="preserve"> PAGEREF _Toc29894928 \h </w:instrText>
        </w:r>
        <w:r w:rsidR="00B276D6">
          <w:rPr>
            <w:noProof/>
            <w:webHidden/>
          </w:rPr>
        </w:r>
        <w:r w:rsidR="00B276D6">
          <w:rPr>
            <w:noProof/>
            <w:webHidden/>
          </w:rPr>
          <w:fldChar w:fldCharType="separate"/>
        </w:r>
        <w:r w:rsidR="00B276D6">
          <w:rPr>
            <w:noProof/>
            <w:webHidden/>
          </w:rPr>
          <w:t>15</w:t>
        </w:r>
        <w:r w:rsidR="00B276D6">
          <w:rPr>
            <w:noProof/>
            <w:webHidden/>
          </w:rPr>
          <w:fldChar w:fldCharType="end"/>
        </w:r>
      </w:hyperlink>
    </w:p>
    <w:p w14:paraId="76FFFC72" w14:textId="7E0C4D0E" w:rsidR="00B276D6" w:rsidRDefault="00214116">
      <w:pPr>
        <w:pStyle w:val="Spistreci2"/>
        <w:rPr>
          <w:rFonts w:asciiTheme="minorHAnsi" w:eastAsiaTheme="minorEastAsia" w:hAnsiTheme="minorHAnsi" w:cstheme="minorBidi"/>
          <w:noProof/>
        </w:rPr>
      </w:pPr>
      <w:hyperlink w:anchor="_Toc29894929" w:history="1">
        <w:r w:rsidR="00B276D6" w:rsidRPr="00D369A2">
          <w:rPr>
            <w:rStyle w:val="Hipercze"/>
            <w:noProof/>
          </w:rPr>
          <w:t>B.13.1 Test pomocy publicznej</w:t>
        </w:r>
        <w:r w:rsidR="00B276D6">
          <w:rPr>
            <w:noProof/>
            <w:webHidden/>
          </w:rPr>
          <w:tab/>
        </w:r>
        <w:r w:rsidR="00B276D6">
          <w:rPr>
            <w:noProof/>
            <w:webHidden/>
          </w:rPr>
          <w:fldChar w:fldCharType="begin"/>
        </w:r>
        <w:r w:rsidR="00B276D6">
          <w:rPr>
            <w:noProof/>
            <w:webHidden/>
          </w:rPr>
          <w:instrText xml:space="preserve"> PAGEREF _Toc29894929 \h </w:instrText>
        </w:r>
        <w:r w:rsidR="00B276D6">
          <w:rPr>
            <w:noProof/>
            <w:webHidden/>
          </w:rPr>
        </w:r>
        <w:r w:rsidR="00B276D6">
          <w:rPr>
            <w:noProof/>
            <w:webHidden/>
          </w:rPr>
          <w:fldChar w:fldCharType="separate"/>
        </w:r>
        <w:r w:rsidR="00B276D6">
          <w:rPr>
            <w:noProof/>
            <w:webHidden/>
          </w:rPr>
          <w:t>16</w:t>
        </w:r>
        <w:r w:rsidR="00B276D6">
          <w:rPr>
            <w:noProof/>
            <w:webHidden/>
          </w:rPr>
          <w:fldChar w:fldCharType="end"/>
        </w:r>
      </w:hyperlink>
    </w:p>
    <w:p w14:paraId="5584A3A3" w14:textId="6B7FB655" w:rsidR="00B276D6" w:rsidRDefault="00214116">
      <w:pPr>
        <w:pStyle w:val="Spistreci2"/>
        <w:rPr>
          <w:rFonts w:asciiTheme="minorHAnsi" w:eastAsiaTheme="minorEastAsia" w:hAnsiTheme="minorHAnsi" w:cstheme="minorBidi"/>
          <w:noProof/>
        </w:rPr>
      </w:pPr>
      <w:hyperlink w:anchor="_Toc29894930" w:history="1">
        <w:r w:rsidR="00B276D6" w:rsidRPr="00D369A2">
          <w:rPr>
            <w:rStyle w:val="Hipercze"/>
            <w:noProof/>
          </w:rPr>
          <w:t>B.13.2 Zakres pomocy publicznej i / lub de minimis</w:t>
        </w:r>
        <w:r w:rsidR="00B276D6">
          <w:rPr>
            <w:noProof/>
            <w:webHidden/>
          </w:rPr>
          <w:tab/>
        </w:r>
        <w:r w:rsidR="00B276D6">
          <w:rPr>
            <w:noProof/>
            <w:webHidden/>
          </w:rPr>
          <w:fldChar w:fldCharType="begin"/>
        </w:r>
        <w:r w:rsidR="00B276D6">
          <w:rPr>
            <w:noProof/>
            <w:webHidden/>
          </w:rPr>
          <w:instrText xml:space="preserve"> PAGEREF _Toc29894930 \h </w:instrText>
        </w:r>
        <w:r w:rsidR="00B276D6">
          <w:rPr>
            <w:noProof/>
            <w:webHidden/>
          </w:rPr>
        </w:r>
        <w:r w:rsidR="00B276D6">
          <w:rPr>
            <w:noProof/>
            <w:webHidden/>
          </w:rPr>
          <w:fldChar w:fldCharType="separate"/>
        </w:r>
        <w:r w:rsidR="00B276D6">
          <w:rPr>
            <w:noProof/>
            <w:webHidden/>
          </w:rPr>
          <w:t>19</w:t>
        </w:r>
        <w:r w:rsidR="00B276D6">
          <w:rPr>
            <w:noProof/>
            <w:webHidden/>
          </w:rPr>
          <w:fldChar w:fldCharType="end"/>
        </w:r>
      </w:hyperlink>
    </w:p>
    <w:p w14:paraId="5C8698BA" w14:textId="433492D5" w:rsidR="00B276D6" w:rsidRDefault="00214116">
      <w:pPr>
        <w:pStyle w:val="Spistreci2"/>
        <w:rPr>
          <w:rFonts w:asciiTheme="minorHAnsi" w:eastAsiaTheme="minorEastAsia" w:hAnsiTheme="minorHAnsi" w:cstheme="minorBidi"/>
          <w:noProof/>
        </w:rPr>
      </w:pPr>
      <w:hyperlink w:anchor="_Toc29894931" w:history="1">
        <w:r w:rsidR="00B276D6" w:rsidRPr="00D369A2">
          <w:rPr>
            <w:rStyle w:val="Hipercze"/>
            <w:noProof/>
          </w:rPr>
          <w:t>B.14. Analiza techniczna – stan aktualny</w:t>
        </w:r>
        <w:r w:rsidR="00B276D6">
          <w:rPr>
            <w:noProof/>
            <w:webHidden/>
          </w:rPr>
          <w:tab/>
        </w:r>
        <w:r w:rsidR="00B276D6">
          <w:rPr>
            <w:noProof/>
            <w:webHidden/>
          </w:rPr>
          <w:fldChar w:fldCharType="begin"/>
        </w:r>
        <w:r w:rsidR="00B276D6">
          <w:rPr>
            <w:noProof/>
            <w:webHidden/>
          </w:rPr>
          <w:instrText xml:space="preserve"> PAGEREF _Toc29894931 \h </w:instrText>
        </w:r>
        <w:r w:rsidR="00B276D6">
          <w:rPr>
            <w:noProof/>
            <w:webHidden/>
          </w:rPr>
        </w:r>
        <w:r w:rsidR="00B276D6">
          <w:rPr>
            <w:noProof/>
            <w:webHidden/>
          </w:rPr>
          <w:fldChar w:fldCharType="separate"/>
        </w:r>
        <w:r w:rsidR="00B276D6">
          <w:rPr>
            <w:noProof/>
            <w:webHidden/>
          </w:rPr>
          <w:t>25</w:t>
        </w:r>
        <w:r w:rsidR="00B276D6">
          <w:rPr>
            <w:noProof/>
            <w:webHidden/>
          </w:rPr>
          <w:fldChar w:fldCharType="end"/>
        </w:r>
      </w:hyperlink>
    </w:p>
    <w:p w14:paraId="329E02B8" w14:textId="49B90F23" w:rsidR="00B276D6" w:rsidRDefault="00214116">
      <w:pPr>
        <w:pStyle w:val="Spistreci2"/>
        <w:rPr>
          <w:rFonts w:asciiTheme="minorHAnsi" w:eastAsiaTheme="minorEastAsia" w:hAnsiTheme="minorHAnsi" w:cstheme="minorBidi"/>
          <w:noProof/>
        </w:rPr>
      </w:pPr>
      <w:hyperlink w:anchor="_Toc29894932" w:history="1">
        <w:r w:rsidR="00B276D6" w:rsidRPr="00D369A2">
          <w:rPr>
            <w:rStyle w:val="Hipercze"/>
            <w:noProof/>
          </w:rPr>
          <w:t>B.15. Analiza techniczna – stan projektowany</w:t>
        </w:r>
        <w:r w:rsidR="00B276D6">
          <w:rPr>
            <w:noProof/>
            <w:webHidden/>
          </w:rPr>
          <w:tab/>
        </w:r>
        <w:r w:rsidR="00B276D6">
          <w:rPr>
            <w:noProof/>
            <w:webHidden/>
          </w:rPr>
          <w:fldChar w:fldCharType="begin"/>
        </w:r>
        <w:r w:rsidR="00B276D6">
          <w:rPr>
            <w:noProof/>
            <w:webHidden/>
          </w:rPr>
          <w:instrText xml:space="preserve"> PAGEREF _Toc29894932 \h </w:instrText>
        </w:r>
        <w:r w:rsidR="00B276D6">
          <w:rPr>
            <w:noProof/>
            <w:webHidden/>
          </w:rPr>
        </w:r>
        <w:r w:rsidR="00B276D6">
          <w:rPr>
            <w:noProof/>
            <w:webHidden/>
          </w:rPr>
          <w:fldChar w:fldCharType="separate"/>
        </w:r>
        <w:r w:rsidR="00B276D6">
          <w:rPr>
            <w:noProof/>
            <w:webHidden/>
          </w:rPr>
          <w:t>25</w:t>
        </w:r>
        <w:r w:rsidR="00B276D6">
          <w:rPr>
            <w:noProof/>
            <w:webHidden/>
          </w:rPr>
          <w:fldChar w:fldCharType="end"/>
        </w:r>
      </w:hyperlink>
    </w:p>
    <w:p w14:paraId="72DB1CF0" w14:textId="3B99E9F9" w:rsidR="00B276D6" w:rsidRDefault="00214116">
      <w:pPr>
        <w:pStyle w:val="Spistreci2"/>
        <w:rPr>
          <w:rFonts w:asciiTheme="minorHAnsi" w:eastAsiaTheme="minorEastAsia" w:hAnsiTheme="minorHAnsi" w:cstheme="minorBidi"/>
          <w:noProof/>
        </w:rPr>
      </w:pPr>
      <w:hyperlink w:anchor="_Toc29894933" w:history="1">
        <w:r w:rsidR="00B276D6" w:rsidRPr="00D369A2">
          <w:rPr>
            <w:rStyle w:val="Hipercze"/>
            <w:noProof/>
          </w:rPr>
          <w:t>B.16. Analiza specyficzna</w:t>
        </w:r>
        <w:r w:rsidR="00B276D6">
          <w:rPr>
            <w:noProof/>
            <w:webHidden/>
          </w:rPr>
          <w:tab/>
        </w:r>
        <w:r w:rsidR="00B276D6">
          <w:rPr>
            <w:noProof/>
            <w:webHidden/>
          </w:rPr>
          <w:fldChar w:fldCharType="begin"/>
        </w:r>
        <w:r w:rsidR="00B276D6">
          <w:rPr>
            <w:noProof/>
            <w:webHidden/>
          </w:rPr>
          <w:instrText xml:space="preserve"> PAGEREF _Toc29894933 \h </w:instrText>
        </w:r>
        <w:r w:rsidR="00B276D6">
          <w:rPr>
            <w:noProof/>
            <w:webHidden/>
          </w:rPr>
        </w:r>
        <w:r w:rsidR="00B276D6">
          <w:rPr>
            <w:noProof/>
            <w:webHidden/>
          </w:rPr>
          <w:fldChar w:fldCharType="separate"/>
        </w:r>
        <w:r w:rsidR="00B276D6">
          <w:rPr>
            <w:noProof/>
            <w:webHidden/>
          </w:rPr>
          <w:t>25</w:t>
        </w:r>
        <w:r w:rsidR="00B276D6">
          <w:rPr>
            <w:noProof/>
            <w:webHidden/>
          </w:rPr>
          <w:fldChar w:fldCharType="end"/>
        </w:r>
      </w:hyperlink>
    </w:p>
    <w:p w14:paraId="5AF22A0F" w14:textId="1EA1535C" w:rsidR="00B276D6" w:rsidRDefault="00214116">
      <w:pPr>
        <w:pStyle w:val="Spistreci2"/>
        <w:rPr>
          <w:rFonts w:asciiTheme="minorHAnsi" w:eastAsiaTheme="minorEastAsia" w:hAnsiTheme="minorHAnsi" w:cstheme="minorBidi"/>
          <w:noProof/>
        </w:rPr>
      </w:pPr>
      <w:hyperlink w:anchor="_Toc29894934" w:history="1">
        <w:r w:rsidR="00B276D6" w:rsidRPr="00D369A2">
          <w:rPr>
            <w:rStyle w:val="Hipercze"/>
            <w:noProof/>
          </w:rPr>
          <w:t>B.17. Analiza finansowa</w:t>
        </w:r>
        <w:r w:rsidR="00B276D6">
          <w:rPr>
            <w:noProof/>
            <w:webHidden/>
          </w:rPr>
          <w:tab/>
        </w:r>
        <w:r w:rsidR="00B276D6">
          <w:rPr>
            <w:noProof/>
            <w:webHidden/>
          </w:rPr>
          <w:fldChar w:fldCharType="begin"/>
        </w:r>
        <w:r w:rsidR="00B276D6">
          <w:rPr>
            <w:noProof/>
            <w:webHidden/>
          </w:rPr>
          <w:instrText xml:space="preserve"> PAGEREF _Toc29894934 \h </w:instrText>
        </w:r>
        <w:r w:rsidR="00B276D6">
          <w:rPr>
            <w:noProof/>
            <w:webHidden/>
          </w:rPr>
        </w:r>
        <w:r w:rsidR="00B276D6">
          <w:rPr>
            <w:noProof/>
            <w:webHidden/>
          </w:rPr>
          <w:fldChar w:fldCharType="separate"/>
        </w:r>
        <w:r w:rsidR="00B276D6">
          <w:rPr>
            <w:noProof/>
            <w:webHidden/>
          </w:rPr>
          <w:t>28</w:t>
        </w:r>
        <w:r w:rsidR="00B276D6">
          <w:rPr>
            <w:noProof/>
            <w:webHidden/>
          </w:rPr>
          <w:fldChar w:fldCharType="end"/>
        </w:r>
      </w:hyperlink>
    </w:p>
    <w:p w14:paraId="1744597E" w14:textId="2B25D127" w:rsidR="00B276D6" w:rsidRDefault="00214116">
      <w:pPr>
        <w:pStyle w:val="Spistreci2"/>
        <w:rPr>
          <w:rFonts w:asciiTheme="minorHAnsi" w:eastAsiaTheme="minorEastAsia" w:hAnsiTheme="minorHAnsi" w:cstheme="minorBidi"/>
          <w:noProof/>
        </w:rPr>
      </w:pPr>
      <w:hyperlink w:anchor="_Toc29894935" w:history="1">
        <w:r w:rsidR="00B276D6" w:rsidRPr="00D369A2">
          <w:rPr>
            <w:rStyle w:val="Hipercze"/>
            <w:noProof/>
          </w:rPr>
          <w:t>B.18. Analiza ekonomiczna</w:t>
        </w:r>
        <w:r w:rsidR="00B276D6">
          <w:rPr>
            <w:noProof/>
            <w:webHidden/>
          </w:rPr>
          <w:tab/>
        </w:r>
        <w:r w:rsidR="00B276D6">
          <w:rPr>
            <w:noProof/>
            <w:webHidden/>
          </w:rPr>
          <w:fldChar w:fldCharType="begin"/>
        </w:r>
        <w:r w:rsidR="00B276D6">
          <w:rPr>
            <w:noProof/>
            <w:webHidden/>
          </w:rPr>
          <w:instrText xml:space="preserve"> PAGEREF _Toc29894935 \h </w:instrText>
        </w:r>
        <w:r w:rsidR="00B276D6">
          <w:rPr>
            <w:noProof/>
            <w:webHidden/>
          </w:rPr>
        </w:r>
        <w:r w:rsidR="00B276D6">
          <w:rPr>
            <w:noProof/>
            <w:webHidden/>
          </w:rPr>
          <w:fldChar w:fldCharType="separate"/>
        </w:r>
        <w:r w:rsidR="00B276D6">
          <w:rPr>
            <w:noProof/>
            <w:webHidden/>
          </w:rPr>
          <w:t>29</w:t>
        </w:r>
        <w:r w:rsidR="00B276D6">
          <w:rPr>
            <w:noProof/>
            <w:webHidden/>
          </w:rPr>
          <w:fldChar w:fldCharType="end"/>
        </w:r>
      </w:hyperlink>
    </w:p>
    <w:p w14:paraId="3429FAA9" w14:textId="0E659ADE" w:rsidR="00B276D6" w:rsidRDefault="00214116">
      <w:pPr>
        <w:pStyle w:val="Spistreci2"/>
        <w:rPr>
          <w:rFonts w:asciiTheme="minorHAnsi" w:eastAsiaTheme="minorEastAsia" w:hAnsiTheme="minorHAnsi" w:cstheme="minorBidi"/>
          <w:noProof/>
        </w:rPr>
      </w:pPr>
      <w:hyperlink w:anchor="_Toc29894936" w:history="1">
        <w:r w:rsidR="00B276D6" w:rsidRPr="00D369A2">
          <w:rPr>
            <w:rStyle w:val="Hipercze"/>
            <w:noProof/>
          </w:rPr>
          <w:t>B.19. Analiza ryzyka i wrażliwości</w:t>
        </w:r>
        <w:r w:rsidR="00B276D6">
          <w:rPr>
            <w:noProof/>
            <w:webHidden/>
          </w:rPr>
          <w:tab/>
        </w:r>
        <w:r w:rsidR="00B276D6">
          <w:rPr>
            <w:noProof/>
            <w:webHidden/>
          </w:rPr>
          <w:fldChar w:fldCharType="begin"/>
        </w:r>
        <w:r w:rsidR="00B276D6">
          <w:rPr>
            <w:noProof/>
            <w:webHidden/>
          </w:rPr>
          <w:instrText xml:space="preserve"> PAGEREF _Toc29894936 \h </w:instrText>
        </w:r>
        <w:r w:rsidR="00B276D6">
          <w:rPr>
            <w:noProof/>
            <w:webHidden/>
          </w:rPr>
        </w:r>
        <w:r w:rsidR="00B276D6">
          <w:rPr>
            <w:noProof/>
            <w:webHidden/>
          </w:rPr>
          <w:fldChar w:fldCharType="separate"/>
        </w:r>
        <w:r w:rsidR="00B276D6">
          <w:rPr>
            <w:noProof/>
            <w:webHidden/>
          </w:rPr>
          <w:t>30</w:t>
        </w:r>
        <w:r w:rsidR="00B276D6">
          <w:rPr>
            <w:noProof/>
            <w:webHidden/>
          </w:rPr>
          <w:fldChar w:fldCharType="end"/>
        </w:r>
      </w:hyperlink>
    </w:p>
    <w:p w14:paraId="4981EE99" w14:textId="7559D1B0" w:rsidR="00B276D6" w:rsidRDefault="00214116">
      <w:pPr>
        <w:pStyle w:val="Spistreci2"/>
        <w:rPr>
          <w:rFonts w:asciiTheme="minorHAnsi" w:eastAsiaTheme="minorEastAsia" w:hAnsiTheme="minorHAnsi" w:cstheme="minorBidi"/>
          <w:noProof/>
        </w:rPr>
      </w:pPr>
      <w:hyperlink w:anchor="_Toc29894937" w:history="1">
        <w:r w:rsidR="00B276D6" w:rsidRPr="00D369A2">
          <w:rPr>
            <w:rStyle w:val="Hipercze"/>
            <w:noProof/>
          </w:rPr>
          <w:t>B.20. Powiązanie ze strategiami</w:t>
        </w:r>
        <w:r w:rsidR="00B276D6">
          <w:rPr>
            <w:noProof/>
            <w:webHidden/>
          </w:rPr>
          <w:tab/>
        </w:r>
        <w:r w:rsidR="00B276D6">
          <w:rPr>
            <w:noProof/>
            <w:webHidden/>
          </w:rPr>
          <w:fldChar w:fldCharType="begin"/>
        </w:r>
        <w:r w:rsidR="00B276D6">
          <w:rPr>
            <w:noProof/>
            <w:webHidden/>
          </w:rPr>
          <w:instrText xml:space="preserve"> PAGEREF _Toc29894937 \h </w:instrText>
        </w:r>
        <w:r w:rsidR="00B276D6">
          <w:rPr>
            <w:noProof/>
            <w:webHidden/>
          </w:rPr>
        </w:r>
        <w:r w:rsidR="00B276D6">
          <w:rPr>
            <w:noProof/>
            <w:webHidden/>
          </w:rPr>
          <w:fldChar w:fldCharType="separate"/>
        </w:r>
        <w:r w:rsidR="00B276D6">
          <w:rPr>
            <w:noProof/>
            <w:webHidden/>
          </w:rPr>
          <w:t>31</w:t>
        </w:r>
        <w:r w:rsidR="00B276D6">
          <w:rPr>
            <w:noProof/>
            <w:webHidden/>
          </w:rPr>
          <w:fldChar w:fldCharType="end"/>
        </w:r>
      </w:hyperlink>
    </w:p>
    <w:p w14:paraId="18AB4F2F" w14:textId="20975BA6" w:rsidR="00B276D6" w:rsidRDefault="00214116">
      <w:pPr>
        <w:pStyle w:val="Spistreci2"/>
        <w:rPr>
          <w:rFonts w:asciiTheme="minorHAnsi" w:eastAsiaTheme="minorEastAsia" w:hAnsiTheme="minorHAnsi" w:cstheme="minorBidi"/>
          <w:noProof/>
        </w:rPr>
      </w:pPr>
      <w:hyperlink w:anchor="_Toc29894938" w:history="1">
        <w:r w:rsidR="00B276D6" w:rsidRPr="00D369A2">
          <w:rPr>
            <w:rStyle w:val="Hipercze"/>
            <w:noProof/>
          </w:rPr>
          <w:t>B.21. Realizacja zasad horyzontalnych.</w:t>
        </w:r>
        <w:r w:rsidR="00B276D6">
          <w:rPr>
            <w:noProof/>
            <w:webHidden/>
          </w:rPr>
          <w:tab/>
        </w:r>
        <w:r w:rsidR="00B276D6">
          <w:rPr>
            <w:noProof/>
            <w:webHidden/>
          </w:rPr>
          <w:fldChar w:fldCharType="begin"/>
        </w:r>
        <w:r w:rsidR="00B276D6">
          <w:rPr>
            <w:noProof/>
            <w:webHidden/>
          </w:rPr>
          <w:instrText xml:space="preserve"> PAGEREF _Toc29894938 \h </w:instrText>
        </w:r>
        <w:r w:rsidR="00B276D6">
          <w:rPr>
            <w:noProof/>
            <w:webHidden/>
          </w:rPr>
        </w:r>
        <w:r w:rsidR="00B276D6">
          <w:rPr>
            <w:noProof/>
            <w:webHidden/>
          </w:rPr>
          <w:fldChar w:fldCharType="separate"/>
        </w:r>
        <w:r w:rsidR="00B276D6">
          <w:rPr>
            <w:noProof/>
            <w:webHidden/>
          </w:rPr>
          <w:t>32</w:t>
        </w:r>
        <w:r w:rsidR="00B276D6">
          <w:rPr>
            <w:noProof/>
            <w:webHidden/>
          </w:rPr>
          <w:fldChar w:fldCharType="end"/>
        </w:r>
      </w:hyperlink>
    </w:p>
    <w:p w14:paraId="7F096B41" w14:textId="79B4B473" w:rsidR="00B276D6" w:rsidRDefault="00214116">
      <w:pPr>
        <w:pStyle w:val="Spistreci1"/>
        <w:rPr>
          <w:rFonts w:asciiTheme="minorHAnsi" w:eastAsiaTheme="minorEastAsia" w:hAnsiTheme="minorHAnsi" w:cstheme="minorBidi"/>
          <w:noProof/>
        </w:rPr>
      </w:pPr>
      <w:hyperlink w:anchor="_Toc29894939" w:history="1">
        <w:r w:rsidR="00B276D6" w:rsidRPr="00D369A2">
          <w:rPr>
            <w:rStyle w:val="Hipercze"/>
            <w:noProof/>
          </w:rPr>
          <w:t>C. ZAKRES RZECZOWO-FINANSOWY PROJEKTU</w:t>
        </w:r>
        <w:r w:rsidR="00B276D6">
          <w:rPr>
            <w:noProof/>
            <w:webHidden/>
          </w:rPr>
          <w:tab/>
        </w:r>
        <w:r w:rsidR="00B276D6">
          <w:rPr>
            <w:noProof/>
            <w:webHidden/>
          </w:rPr>
          <w:fldChar w:fldCharType="begin"/>
        </w:r>
        <w:r w:rsidR="00B276D6">
          <w:rPr>
            <w:noProof/>
            <w:webHidden/>
          </w:rPr>
          <w:instrText xml:space="preserve"> PAGEREF _Toc29894939 \h </w:instrText>
        </w:r>
        <w:r w:rsidR="00B276D6">
          <w:rPr>
            <w:noProof/>
            <w:webHidden/>
          </w:rPr>
        </w:r>
        <w:r w:rsidR="00B276D6">
          <w:rPr>
            <w:noProof/>
            <w:webHidden/>
          </w:rPr>
          <w:fldChar w:fldCharType="separate"/>
        </w:r>
        <w:r w:rsidR="00B276D6">
          <w:rPr>
            <w:noProof/>
            <w:webHidden/>
          </w:rPr>
          <w:t>36</w:t>
        </w:r>
        <w:r w:rsidR="00B276D6">
          <w:rPr>
            <w:noProof/>
            <w:webHidden/>
          </w:rPr>
          <w:fldChar w:fldCharType="end"/>
        </w:r>
      </w:hyperlink>
    </w:p>
    <w:p w14:paraId="27648AC2" w14:textId="626A7A92" w:rsidR="00B276D6" w:rsidRDefault="00214116">
      <w:pPr>
        <w:pStyle w:val="Spistreci2"/>
        <w:rPr>
          <w:rFonts w:asciiTheme="minorHAnsi" w:eastAsiaTheme="minorEastAsia" w:hAnsiTheme="minorHAnsi" w:cstheme="minorBidi"/>
          <w:noProof/>
        </w:rPr>
      </w:pPr>
      <w:hyperlink w:anchor="_Toc29894940" w:history="1">
        <w:r w:rsidR="00B276D6" w:rsidRPr="00D369A2">
          <w:rPr>
            <w:rStyle w:val="Hipercze"/>
            <w:noProof/>
          </w:rPr>
          <w:t>C.1.a Kluczowe etapy realizacji inwestycji dla kosztów kwalifikowalnych</w:t>
        </w:r>
        <w:r w:rsidR="00B276D6">
          <w:rPr>
            <w:noProof/>
            <w:webHidden/>
          </w:rPr>
          <w:tab/>
        </w:r>
        <w:r w:rsidR="00B276D6">
          <w:rPr>
            <w:noProof/>
            <w:webHidden/>
          </w:rPr>
          <w:fldChar w:fldCharType="begin"/>
        </w:r>
        <w:r w:rsidR="00B276D6">
          <w:rPr>
            <w:noProof/>
            <w:webHidden/>
          </w:rPr>
          <w:instrText xml:space="preserve"> PAGEREF _Toc29894940 \h </w:instrText>
        </w:r>
        <w:r w:rsidR="00B276D6">
          <w:rPr>
            <w:noProof/>
            <w:webHidden/>
          </w:rPr>
        </w:r>
        <w:r w:rsidR="00B276D6">
          <w:rPr>
            <w:noProof/>
            <w:webHidden/>
          </w:rPr>
          <w:fldChar w:fldCharType="separate"/>
        </w:r>
        <w:r w:rsidR="00B276D6">
          <w:rPr>
            <w:noProof/>
            <w:webHidden/>
          </w:rPr>
          <w:t>36</w:t>
        </w:r>
        <w:r w:rsidR="00B276D6">
          <w:rPr>
            <w:noProof/>
            <w:webHidden/>
          </w:rPr>
          <w:fldChar w:fldCharType="end"/>
        </w:r>
      </w:hyperlink>
    </w:p>
    <w:p w14:paraId="572C0EEA" w14:textId="5E9FE139" w:rsidR="00B276D6" w:rsidRDefault="00214116">
      <w:pPr>
        <w:pStyle w:val="Spistreci2"/>
        <w:rPr>
          <w:rFonts w:asciiTheme="minorHAnsi" w:eastAsiaTheme="minorEastAsia" w:hAnsiTheme="minorHAnsi" w:cstheme="minorBidi"/>
          <w:noProof/>
        </w:rPr>
      </w:pPr>
      <w:hyperlink w:anchor="_Toc29894941" w:history="1">
        <w:r w:rsidR="00B276D6" w:rsidRPr="00D369A2">
          <w:rPr>
            <w:rStyle w:val="Hipercze"/>
            <w:noProof/>
          </w:rPr>
          <w:t>C.1.b Uzasadnienie wskazanego terminu realizacji oraz opis stopnia zaawansowania prac (jeśli rzeczowa realizacja projektu została rozpoczęta)</w:t>
        </w:r>
        <w:r w:rsidR="00B276D6">
          <w:rPr>
            <w:noProof/>
            <w:webHidden/>
          </w:rPr>
          <w:tab/>
        </w:r>
        <w:r w:rsidR="00B276D6">
          <w:rPr>
            <w:noProof/>
            <w:webHidden/>
          </w:rPr>
          <w:fldChar w:fldCharType="begin"/>
        </w:r>
        <w:r w:rsidR="00B276D6">
          <w:rPr>
            <w:noProof/>
            <w:webHidden/>
          </w:rPr>
          <w:instrText xml:space="preserve"> PAGEREF _Toc29894941 \h </w:instrText>
        </w:r>
        <w:r w:rsidR="00B276D6">
          <w:rPr>
            <w:noProof/>
            <w:webHidden/>
          </w:rPr>
        </w:r>
        <w:r w:rsidR="00B276D6">
          <w:rPr>
            <w:noProof/>
            <w:webHidden/>
          </w:rPr>
          <w:fldChar w:fldCharType="separate"/>
        </w:r>
        <w:r w:rsidR="00B276D6">
          <w:rPr>
            <w:noProof/>
            <w:webHidden/>
          </w:rPr>
          <w:t>37</w:t>
        </w:r>
        <w:r w:rsidR="00B276D6">
          <w:rPr>
            <w:noProof/>
            <w:webHidden/>
          </w:rPr>
          <w:fldChar w:fldCharType="end"/>
        </w:r>
      </w:hyperlink>
    </w:p>
    <w:p w14:paraId="50450A10" w14:textId="6724D99F" w:rsidR="00B276D6" w:rsidRDefault="00214116">
      <w:pPr>
        <w:pStyle w:val="Spistreci2"/>
        <w:rPr>
          <w:rFonts w:asciiTheme="minorHAnsi" w:eastAsiaTheme="minorEastAsia" w:hAnsiTheme="minorHAnsi" w:cstheme="minorBidi"/>
          <w:noProof/>
        </w:rPr>
      </w:pPr>
      <w:hyperlink w:anchor="_Toc29894942" w:history="1">
        <w:r w:rsidR="00B276D6" w:rsidRPr="00D369A2">
          <w:rPr>
            <w:rStyle w:val="Hipercze"/>
            <w:noProof/>
          </w:rPr>
          <w:t>C.2. Planowane koszty</w:t>
        </w:r>
        <w:r w:rsidR="00B276D6">
          <w:rPr>
            <w:noProof/>
            <w:webHidden/>
          </w:rPr>
          <w:tab/>
        </w:r>
        <w:r w:rsidR="00B276D6">
          <w:rPr>
            <w:noProof/>
            <w:webHidden/>
          </w:rPr>
          <w:fldChar w:fldCharType="begin"/>
        </w:r>
        <w:r w:rsidR="00B276D6">
          <w:rPr>
            <w:noProof/>
            <w:webHidden/>
          </w:rPr>
          <w:instrText xml:space="preserve"> PAGEREF _Toc29894942 \h </w:instrText>
        </w:r>
        <w:r w:rsidR="00B276D6">
          <w:rPr>
            <w:noProof/>
            <w:webHidden/>
          </w:rPr>
        </w:r>
        <w:r w:rsidR="00B276D6">
          <w:rPr>
            <w:noProof/>
            <w:webHidden/>
          </w:rPr>
          <w:fldChar w:fldCharType="separate"/>
        </w:r>
        <w:r w:rsidR="00B276D6">
          <w:rPr>
            <w:noProof/>
            <w:webHidden/>
          </w:rPr>
          <w:t>37</w:t>
        </w:r>
        <w:r w:rsidR="00B276D6">
          <w:rPr>
            <w:noProof/>
            <w:webHidden/>
          </w:rPr>
          <w:fldChar w:fldCharType="end"/>
        </w:r>
      </w:hyperlink>
    </w:p>
    <w:p w14:paraId="039FE69A" w14:textId="4CB12CF5" w:rsidR="00B276D6" w:rsidRDefault="00214116">
      <w:pPr>
        <w:pStyle w:val="Spistreci2"/>
        <w:rPr>
          <w:rFonts w:asciiTheme="minorHAnsi" w:eastAsiaTheme="minorEastAsia" w:hAnsiTheme="minorHAnsi" w:cstheme="minorBidi"/>
          <w:noProof/>
        </w:rPr>
      </w:pPr>
      <w:hyperlink w:anchor="_Toc29894943" w:history="1">
        <w:r w:rsidR="00B276D6" w:rsidRPr="00D369A2">
          <w:rPr>
            <w:rStyle w:val="Hipercze"/>
            <w:noProof/>
          </w:rPr>
          <w:t>C.2.1 Zadania w ramach projektu</w:t>
        </w:r>
        <w:r w:rsidR="00B276D6">
          <w:rPr>
            <w:noProof/>
            <w:webHidden/>
          </w:rPr>
          <w:tab/>
        </w:r>
        <w:r w:rsidR="00B276D6">
          <w:rPr>
            <w:noProof/>
            <w:webHidden/>
          </w:rPr>
          <w:fldChar w:fldCharType="begin"/>
        </w:r>
        <w:r w:rsidR="00B276D6">
          <w:rPr>
            <w:noProof/>
            <w:webHidden/>
          </w:rPr>
          <w:instrText xml:space="preserve"> PAGEREF _Toc29894943 \h </w:instrText>
        </w:r>
        <w:r w:rsidR="00B276D6">
          <w:rPr>
            <w:noProof/>
            <w:webHidden/>
          </w:rPr>
        </w:r>
        <w:r w:rsidR="00B276D6">
          <w:rPr>
            <w:noProof/>
            <w:webHidden/>
          </w:rPr>
          <w:fldChar w:fldCharType="separate"/>
        </w:r>
        <w:r w:rsidR="00B276D6">
          <w:rPr>
            <w:noProof/>
            <w:webHidden/>
          </w:rPr>
          <w:t>37</w:t>
        </w:r>
        <w:r w:rsidR="00B276D6">
          <w:rPr>
            <w:noProof/>
            <w:webHidden/>
          </w:rPr>
          <w:fldChar w:fldCharType="end"/>
        </w:r>
      </w:hyperlink>
    </w:p>
    <w:p w14:paraId="285E4CCE" w14:textId="42307CD2" w:rsidR="00B276D6" w:rsidRDefault="00214116">
      <w:pPr>
        <w:pStyle w:val="Spistreci2"/>
        <w:rPr>
          <w:rFonts w:asciiTheme="minorHAnsi" w:eastAsiaTheme="minorEastAsia" w:hAnsiTheme="minorHAnsi" w:cstheme="minorBidi"/>
          <w:noProof/>
        </w:rPr>
      </w:pPr>
      <w:hyperlink w:anchor="_Toc29894944" w:history="1">
        <w:r w:rsidR="00B276D6" w:rsidRPr="00D369A2">
          <w:rPr>
            <w:rStyle w:val="Hipercze"/>
            <w:noProof/>
          </w:rPr>
          <w:t>C.2.2 Koszty kwalifikowalne (bez ryczałtów)</w:t>
        </w:r>
        <w:r w:rsidR="00B276D6">
          <w:rPr>
            <w:noProof/>
            <w:webHidden/>
          </w:rPr>
          <w:tab/>
        </w:r>
        <w:r w:rsidR="00B276D6">
          <w:rPr>
            <w:noProof/>
            <w:webHidden/>
          </w:rPr>
          <w:fldChar w:fldCharType="begin"/>
        </w:r>
        <w:r w:rsidR="00B276D6">
          <w:rPr>
            <w:noProof/>
            <w:webHidden/>
          </w:rPr>
          <w:instrText xml:space="preserve"> PAGEREF _Toc29894944 \h </w:instrText>
        </w:r>
        <w:r w:rsidR="00B276D6">
          <w:rPr>
            <w:noProof/>
            <w:webHidden/>
          </w:rPr>
        </w:r>
        <w:r w:rsidR="00B276D6">
          <w:rPr>
            <w:noProof/>
            <w:webHidden/>
          </w:rPr>
          <w:fldChar w:fldCharType="separate"/>
        </w:r>
        <w:r w:rsidR="00B276D6">
          <w:rPr>
            <w:noProof/>
            <w:webHidden/>
          </w:rPr>
          <w:t>38</w:t>
        </w:r>
        <w:r w:rsidR="00B276D6">
          <w:rPr>
            <w:noProof/>
            <w:webHidden/>
          </w:rPr>
          <w:fldChar w:fldCharType="end"/>
        </w:r>
      </w:hyperlink>
    </w:p>
    <w:p w14:paraId="44B550C7" w14:textId="4920BF29" w:rsidR="00B276D6" w:rsidRDefault="00214116">
      <w:pPr>
        <w:pStyle w:val="Spistreci2"/>
        <w:rPr>
          <w:rFonts w:asciiTheme="minorHAnsi" w:eastAsiaTheme="minorEastAsia" w:hAnsiTheme="minorHAnsi" w:cstheme="minorBidi"/>
          <w:noProof/>
        </w:rPr>
      </w:pPr>
      <w:hyperlink w:anchor="_Toc29894945" w:history="1">
        <w:r w:rsidR="00B276D6" w:rsidRPr="00D369A2">
          <w:rPr>
            <w:rStyle w:val="Hipercze"/>
            <w:noProof/>
          </w:rPr>
          <w:t>C.2.3 Koszty niekwalifikowalne (bez ryczałtów)</w:t>
        </w:r>
        <w:r w:rsidR="00B276D6">
          <w:rPr>
            <w:noProof/>
            <w:webHidden/>
          </w:rPr>
          <w:tab/>
        </w:r>
        <w:r w:rsidR="00B276D6">
          <w:rPr>
            <w:noProof/>
            <w:webHidden/>
          </w:rPr>
          <w:fldChar w:fldCharType="begin"/>
        </w:r>
        <w:r w:rsidR="00B276D6">
          <w:rPr>
            <w:noProof/>
            <w:webHidden/>
          </w:rPr>
          <w:instrText xml:space="preserve"> PAGEREF _Toc29894945 \h </w:instrText>
        </w:r>
        <w:r w:rsidR="00B276D6">
          <w:rPr>
            <w:noProof/>
            <w:webHidden/>
          </w:rPr>
        </w:r>
        <w:r w:rsidR="00B276D6">
          <w:rPr>
            <w:noProof/>
            <w:webHidden/>
          </w:rPr>
          <w:fldChar w:fldCharType="separate"/>
        </w:r>
        <w:r w:rsidR="00B276D6">
          <w:rPr>
            <w:noProof/>
            <w:webHidden/>
          </w:rPr>
          <w:t>42</w:t>
        </w:r>
        <w:r w:rsidR="00B276D6">
          <w:rPr>
            <w:noProof/>
            <w:webHidden/>
          </w:rPr>
          <w:fldChar w:fldCharType="end"/>
        </w:r>
      </w:hyperlink>
    </w:p>
    <w:p w14:paraId="7AE8C93E" w14:textId="474A53FC" w:rsidR="00B276D6" w:rsidRDefault="00214116">
      <w:pPr>
        <w:pStyle w:val="Spistreci2"/>
        <w:rPr>
          <w:rFonts w:asciiTheme="minorHAnsi" w:eastAsiaTheme="minorEastAsia" w:hAnsiTheme="minorHAnsi" w:cstheme="minorBidi"/>
          <w:noProof/>
        </w:rPr>
      </w:pPr>
      <w:hyperlink w:anchor="_Toc29894946" w:history="1">
        <w:r w:rsidR="00B276D6" w:rsidRPr="00D369A2">
          <w:rPr>
            <w:rStyle w:val="Hipercze"/>
            <w:noProof/>
          </w:rPr>
          <w:t>C.2.4 Koszty do rozliczenia ryczałtem</w:t>
        </w:r>
        <w:r w:rsidR="00B276D6">
          <w:rPr>
            <w:noProof/>
            <w:webHidden/>
          </w:rPr>
          <w:tab/>
        </w:r>
        <w:r w:rsidR="00B276D6">
          <w:rPr>
            <w:noProof/>
            <w:webHidden/>
          </w:rPr>
          <w:fldChar w:fldCharType="begin"/>
        </w:r>
        <w:r w:rsidR="00B276D6">
          <w:rPr>
            <w:noProof/>
            <w:webHidden/>
          </w:rPr>
          <w:instrText xml:space="preserve"> PAGEREF _Toc29894946 \h </w:instrText>
        </w:r>
        <w:r w:rsidR="00B276D6">
          <w:rPr>
            <w:noProof/>
            <w:webHidden/>
          </w:rPr>
        </w:r>
        <w:r w:rsidR="00B276D6">
          <w:rPr>
            <w:noProof/>
            <w:webHidden/>
          </w:rPr>
          <w:fldChar w:fldCharType="separate"/>
        </w:r>
        <w:r w:rsidR="00B276D6">
          <w:rPr>
            <w:noProof/>
            <w:webHidden/>
          </w:rPr>
          <w:t>42</w:t>
        </w:r>
        <w:r w:rsidR="00B276D6">
          <w:rPr>
            <w:noProof/>
            <w:webHidden/>
          </w:rPr>
          <w:fldChar w:fldCharType="end"/>
        </w:r>
      </w:hyperlink>
    </w:p>
    <w:p w14:paraId="4F7D3F64" w14:textId="440C54B2" w:rsidR="00B276D6" w:rsidRDefault="00214116">
      <w:pPr>
        <w:pStyle w:val="Spistreci2"/>
        <w:rPr>
          <w:rFonts w:asciiTheme="minorHAnsi" w:eastAsiaTheme="minorEastAsia" w:hAnsiTheme="minorHAnsi" w:cstheme="minorBidi"/>
          <w:noProof/>
        </w:rPr>
      </w:pPr>
      <w:hyperlink w:anchor="_Toc29894947" w:history="1">
        <w:r w:rsidR="00B276D6" w:rsidRPr="00D369A2">
          <w:rPr>
            <w:rStyle w:val="Hipercze"/>
            <w:noProof/>
          </w:rPr>
          <w:t>C.2.5 Podsumowanie zadań</w:t>
        </w:r>
        <w:r w:rsidR="00B276D6">
          <w:rPr>
            <w:noProof/>
            <w:webHidden/>
          </w:rPr>
          <w:tab/>
        </w:r>
        <w:r w:rsidR="00B276D6">
          <w:rPr>
            <w:noProof/>
            <w:webHidden/>
          </w:rPr>
          <w:fldChar w:fldCharType="begin"/>
        </w:r>
        <w:r w:rsidR="00B276D6">
          <w:rPr>
            <w:noProof/>
            <w:webHidden/>
          </w:rPr>
          <w:instrText xml:space="preserve"> PAGEREF _Toc29894947 \h </w:instrText>
        </w:r>
        <w:r w:rsidR="00B276D6">
          <w:rPr>
            <w:noProof/>
            <w:webHidden/>
          </w:rPr>
        </w:r>
        <w:r w:rsidR="00B276D6">
          <w:rPr>
            <w:noProof/>
            <w:webHidden/>
          </w:rPr>
          <w:fldChar w:fldCharType="separate"/>
        </w:r>
        <w:r w:rsidR="00B276D6">
          <w:rPr>
            <w:noProof/>
            <w:webHidden/>
          </w:rPr>
          <w:t>42</w:t>
        </w:r>
        <w:r w:rsidR="00B276D6">
          <w:rPr>
            <w:noProof/>
            <w:webHidden/>
          </w:rPr>
          <w:fldChar w:fldCharType="end"/>
        </w:r>
      </w:hyperlink>
    </w:p>
    <w:p w14:paraId="12F5C083" w14:textId="30E6B096" w:rsidR="00B276D6" w:rsidRDefault="00214116">
      <w:pPr>
        <w:pStyle w:val="Spistreci2"/>
        <w:rPr>
          <w:rFonts w:asciiTheme="minorHAnsi" w:eastAsiaTheme="minorEastAsia" w:hAnsiTheme="minorHAnsi" w:cstheme="minorBidi"/>
          <w:noProof/>
        </w:rPr>
      </w:pPr>
      <w:hyperlink w:anchor="_Toc29894948" w:history="1">
        <w:r w:rsidR="00B276D6" w:rsidRPr="00D369A2">
          <w:rPr>
            <w:rStyle w:val="Hipercze"/>
            <w:noProof/>
          </w:rPr>
          <w:t>C.2.6 Podsumowanie kategorii kosztów</w:t>
        </w:r>
        <w:r w:rsidR="00B276D6">
          <w:rPr>
            <w:noProof/>
            <w:webHidden/>
          </w:rPr>
          <w:tab/>
        </w:r>
        <w:r w:rsidR="00B276D6">
          <w:rPr>
            <w:noProof/>
            <w:webHidden/>
          </w:rPr>
          <w:fldChar w:fldCharType="begin"/>
        </w:r>
        <w:r w:rsidR="00B276D6">
          <w:rPr>
            <w:noProof/>
            <w:webHidden/>
          </w:rPr>
          <w:instrText xml:space="preserve"> PAGEREF _Toc29894948 \h </w:instrText>
        </w:r>
        <w:r w:rsidR="00B276D6">
          <w:rPr>
            <w:noProof/>
            <w:webHidden/>
          </w:rPr>
        </w:r>
        <w:r w:rsidR="00B276D6">
          <w:rPr>
            <w:noProof/>
            <w:webHidden/>
          </w:rPr>
          <w:fldChar w:fldCharType="separate"/>
        </w:r>
        <w:r w:rsidR="00B276D6">
          <w:rPr>
            <w:noProof/>
            <w:webHidden/>
          </w:rPr>
          <w:t>42</w:t>
        </w:r>
        <w:r w:rsidR="00B276D6">
          <w:rPr>
            <w:noProof/>
            <w:webHidden/>
          </w:rPr>
          <w:fldChar w:fldCharType="end"/>
        </w:r>
      </w:hyperlink>
    </w:p>
    <w:p w14:paraId="78E72B9E" w14:textId="180F77F6" w:rsidR="00B276D6" w:rsidRDefault="00214116">
      <w:pPr>
        <w:pStyle w:val="Spistreci1"/>
        <w:rPr>
          <w:rFonts w:asciiTheme="minorHAnsi" w:eastAsiaTheme="minorEastAsia" w:hAnsiTheme="minorHAnsi" w:cstheme="minorBidi"/>
          <w:noProof/>
        </w:rPr>
      </w:pPr>
      <w:hyperlink w:anchor="_Toc29894949" w:history="1">
        <w:r w:rsidR="00B276D6" w:rsidRPr="00D369A2">
          <w:rPr>
            <w:rStyle w:val="Hipercze"/>
            <w:noProof/>
          </w:rPr>
          <w:t>D.   POZIOM DOFINANSOWANIA, MONTAŻ FINANSOWY</w:t>
        </w:r>
        <w:r w:rsidR="00B276D6">
          <w:rPr>
            <w:noProof/>
            <w:webHidden/>
          </w:rPr>
          <w:tab/>
        </w:r>
        <w:r w:rsidR="00B276D6">
          <w:rPr>
            <w:noProof/>
            <w:webHidden/>
          </w:rPr>
          <w:fldChar w:fldCharType="begin"/>
        </w:r>
        <w:r w:rsidR="00B276D6">
          <w:rPr>
            <w:noProof/>
            <w:webHidden/>
          </w:rPr>
          <w:instrText xml:space="preserve"> PAGEREF _Toc29894949 \h </w:instrText>
        </w:r>
        <w:r w:rsidR="00B276D6">
          <w:rPr>
            <w:noProof/>
            <w:webHidden/>
          </w:rPr>
        </w:r>
        <w:r w:rsidR="00B276D6">
          <w:rPr>
            <w:noProof/>
            <w:webHidden/>
          </w:rPr>
          <w:fldChar w:fldCharType="separate"/>
        </w:r>
        <w:r w:rsidR="00B276D6">
          <w:rPr>
            <w:noProof/>
            <w:webHidden/>
          </w:rPr>
          <w:t>42</w:t>
        </w:r>
        <w:r w:rsidR="00B276D6">
          <w:rPr>
            <w:noProof/>
            <w:webHidden/>
          </w:rPr>
          <w:fldChar w:fldCharType="end"/>
        </w:r>
      </w:hyperlink>
    </w:p>
    <w:p w14:paraId="578137EB" w14:textId="42746291" w:rsidR="00B276D6" w:rsidRDefault="00214116">
      <w:pPr>
        <w:pStyle w:val="Spistreci2"/>
        <w:rPr>
          <w:rFonts w:asciiTheme="minorHAnsi" w:eastAsiaTheme="minorEastAsia" w:hAnsiTheme="minorHAnsi" w:cstheme="minorBidi"/>
          <w:noProof/>
        </w:rPr>
      </w:pPr>
      <w:hyperlink w:anchor="_Toc29894950" w:history="1">
        <w:r w:rsidR="00B276D6" w:rsidRPr="00D369A2">
          <w:rPr>
            <w:rStyle w:val="Hipercze"/>
            <w:noProof/>
          </w:rPr>
          <w:t>D.1. Potencjalne dochody operacji – Luka w finansowaniu</w:t>
        </w:r>
        <w:r w:rsidR="00B276D6">
          <w:rPr>
            <w:noProof/>
            <w:webHidden/>
          </w:rPr>
          <w:tab/>
        </w:r>
        <w:r w:rsidR="00B276D6">
          <w:rPr>
            <w:noProof/>
            <w:webHidden/>
          </w:rPr>
          <w:fldChar w:fldCharType="begin"/>
        </w:r>
        <w:r w:rsidR="00B276D6">
          <w:rPr>
            <w:noProof/>
            <w:webHidden/>
          </w:rPr>
          <w:instrText xml:space="preserve"> PAGEREF _Toc29894950 \h </w:instrText>
        </w:r>
        <w:r w:rsidR="00B276D6">
          <w:rPr>
            <w:noProof/>
            <w:webHidden/>
          </w:rPr>
        </w:r>
        <w:r w:rsidR="00B276D6">
          <w:rPr>
            <w:noProof/>
            <w:webHidden/>
          </w:rPr>
          <w:fldChar w:fldCharType="separate"/>
        </w:r>
        <w:r w:rsidR="00B276D6">
          <w:rPr>
            <w:noProof/>
            <w:webHidden/>
          </w:rPr>
          <w:t>42</w:t>
        </w:r>
        <w:r w:rsidR="00B276D6">
          <w:rPr>
            <w:noProof/>
            <w:webHidden/>
          </w:rPr>
          <w:fldChar w:fldCharType="end"/>
        </w:r>
      </w:hyperlink>
    </w:p>
    <w:p w14:paraId="134B2564" w14:textId="45B303BD" w:rsidR="00B276D6" w:rsidRDefault="00214116">
      <w:pPr>
        <w:pStyle w:val="Spistreci2"/>
        <w:rPr>
          <w:rFonts w:asciiTheme="minorHAnsi" w:eastAsiaTheme="minorEastAsia" w:hAnsiTheme="minorHAnsi" w:cstheme="minorBidi"/>
          <w:noProof/>
        </w:rPr>
      </w:pPr>
      <w:hyperlink w:anchor="_Toc29894951" w:history="1">
        <w:r w:rsidR="00B276D6" w:rsidRPr="00D369A2">
          <w:rPr>
            <w:rStyle w:val="Hipercze"/>
            <w:noProof/>
          </w:rPr>
          <w:t>D.2. Montaż finansowy i budżet projektu</w:t>
        </w:r>
        <w:r w:rsidR="00B276D6">
          <w:rPr>
            <w:noProof/>
            <w:webHidden/>
          </w:rPr>
          <w:tab/>
        </w:r>
        <w:r w:rsidR="00B276D6">
          <w:rPr>
            <w:noProof/>
            <w:webHidden/>
          </w:rPr>
          <w:fldChar w:fldCharType="begin"/>
        </w:r>
        <w:r w:rsidR="00B276D6">
          <w:rPr>
            <w:noProof/>
            <w:webHidden/>
          </w:rPr>
          <w:instrText xml:space="preserve"> PAGEREF _Toc29894951 \h </w:instrText>
        </w:r>
        <w:r w:rsidR="00B276D6">
          <w:rPr>
            <w:noProof/>
            <w:webHidden/>
          </w:rPr>
        </w:r>
        <w:r w:rsidR="00B276D6">
          <w:rPr>
            <w:noProof/>
            <w:webHidden/>
          </w:rPr>
          <w:fldChar w:fldCharType="separate"/>
        </w:r>
        <w:r w:rsidR="00B276D6">
          <w:rPr>
            <w:noProof/>
            <w:webHidden/>
          </w:rPr>
          <w:t>43</w:t>
        </w:r>
        <w:r w:rsidR="00B276D6">
          <w:rPr>
            <w:noProof/>
            <w:webHidden/>
          </w:rPr>
          <w:fldChar w:fldCharType="end"/>
        </w:r>
      </w:hyperlink>
    </w:p>
    <w:p w14:paraId="44E619D6" w14:textId="7FF20769" w:rsidR="00B276D6" w:rsidRDefault="00214116">
      <w:pPr>
        <w:pStyle w:val="Spistreci2"/>
        <w:rPr>
          <w:rFonts w:asciiTheme="minorHAnsi" w:eastAsiaTheme="minorEastAsia" w:hAnsiTheme="minorHAnsi" w:cstheme="minorBidi"/>
          <w:noProof/>
        </w:rPr>
      </w:pPr>
      <w:hyperlink w:anchor="_Toc29894952" w:history="1">
        <w:r w:rsidR="00B276D6" w:rsidRPr="00D369A2">
          <w:rPr>
            <w:rStyle w:val="Hipercze"/>
            <w:noProof/>
          </w:rPr>
          <w:t>D.3.a Źródła finansowania wydatków</w:t>
        </w:r>
        <w:r w:rsidR="00B276D6">
          <w:rPr>
            <w:noProof/>
            <w:webHidden/>
          </w:rPr>
          <w:tab/>
        </w:r>
        <w:r w:rsidR="00B276D6">
          <w:rPr>
            <w:noProof/>
            <w:webHidden/>
          </w:rPr>
          <w:fldChar w:fldCharType="begin"/>
        </w:r>
        <w:r w:rsidR="00B276D6">
          <w:rPr>
            <w:noProof/>
            <w:webHidden/>
          </w:rPr>
          <w:instrText xml:space="preserve"> PAGEREF _Toc29894952 \h </w:instrText>
        </w:r>
        <w:r w:rsidR="00B276D6">
          <w:rPr>
            <w:noProof/>
            <w:webHidden/>
          </w:rPr>
        </w:r>
        <w:r w:rsidR="00B276D6">
          <w:rPr>
            <w:noProof/>
            <w:webHidden/>
          </w:rPr>
          <w:fldChar w:fldCharType="separate"/>
        </w:r>
        <w:r w:rsidR="00B276D6">
          <w:rPr>
            <w:noProof/>
            <w:webHidden/>
          </w:rPr>
          <w:t>43</w:t>
        </w:r>
        <w:r w:rsidR="00B276D6">
          <w:rPr>
            <w:noProof/>
            <w:webHidden/>
          </w:rPr>
          <w:fldChar w:fldCharType="end"/>
        </w:r>
      </w:hyperlink>
    </w:p>
    <w:p w14:paraId="4A79FC89" w14:textId="369E8AD2" w:rsidR="00B276D6" w:rsidRDefault="00214116">
      <w:pPr>
        <w:pStyle w:val="Spistreci2"/>
        <w:rPr>
          <w:rFonts w:asciiTheme="minorHAnsi" w:eastAsiaTheme="minorEastAsia" w:hAnsiTheme="minorHAnsi" w:cstheme="minorBidi"/>
          <w:noProof/>
        </w:rPr>
      </w:pPr>
      <w:hyperlink w:anchor="_Toc29894953" w:history="1">
        <w:r w:rsidR="00B276D6" w:rsidRPr="00D369A2">
          <w:rPr>
            <w:rStyle w:val="Hipercze"/>
            <w:noProof/>
          </w:rPr>
          <w:t>D.3.b Założenia przyjęte do określenia źródeł finansowania wydatków</w:t>
        </w:r>
        <w:r w:rsidR="00B276D6">
          <w:rPr>
            <w:noProof/>
            <w:webHidden/>
          </w:rPr>
          <w:tab/>
        </w:r>
        <w:r w:rsidR="00B276D6">
          <w:rPr>
            <w:noProof/>
            <w:webHidden/>
          </w:rPr>
          <w:fldChar w:fldCharType="begin"/>
        </w:r>
        <w:r w:rsidR="00B276D6">
          <w:rPr>
            <w:noProof/>
            <w:webHidden/>
          </w:rPr>
          <w:instrText xml:space="preserve"> PAGEREF _Toc29894953 \h </w:instrText>
        </w:r>
        <w:r w:rsidR="00B276D6">
          <w:rPr>
            <w:noProof/>
            <w:webHidden/>
          </w:rPr>
        </w:r>
        <w:r w:rsidR="00B276D6">
          <w:rPr>
            <w:noProof/>
            <w:webHidden/>
          </w:rPr>
          <w:fldChar w:fldCharType="separate"/>
        </w:r>
        <w:r w:rsidR="00B276D6">
          <w:rPr>
            <w:noProof/>
            <w:webHidden/>
          </w:rPr>
          <w:t>44</w:t>
        </w:r>
        <w:r w:rsidR="00B276D6">
          <w:rPr>
            <w:noProof/>
            <w:webHidden/>
          </w:rPr>
          <w:fldChar w:fldCharType="end"/>
        </w:r>
      </w:hyperlink>
    </w:p>
    <w:p w14:paraId="44D9ECC9" w14:textId="3CA0D61F" w:rsidR="00B276D6" w:rsidRDefault="00214116">
      <w:pPr>
        <w:pStyle w:val="Spistreci2"/>
        <w:rPr>
          <w:rFonts w:asciiTheme="minorHAnsi" w:eastAsiaTheme="minorEastAsia" w:hAnsiTheme="minorHAnsi" w:cstheme="minorBidi"/>
          <w:noProof/>
        </w:rPr>
      </w:pPr>
      <w:hyperlink w:anchor="_Toc29894954" w:history="1">
        <w:r w:rsidR="00B276D6" w:rsidRPr="00D369A2">
          <w:rPr>
            <w:rStyle w:val="Hipercze"/>
            <w:noProof/>
          </w:rPr>
          <w:t>D.4.a Wymagane zabezpieczenie środków [ZŁ] na potrzeby podpisania umowy</w:t>
        </w:r>
        <w:r w:rsidR="00B276D6">
          <w:rPr>
            <w:noProof/>
            <w:webHidden/>
          </w:rPr>
          <w:tab/>
        </w:r>
        <w:r w:rsidR="00B276D6">
          <w:rPr>
            <w:noProof/>
            <w:webHidden/>
          </w:rPr>
          <w:fldChar w:fldCharType="begin"/>
        </w:r>
        <w:r w:rsidR="00B276D6">
          <w:rPr>
            <w:noProof/>
            <w:webHidden/>
          </w:rPr>
          <w:instrText xml:space="preserve"> PAGEREF _Toc29894954 \h </w:instrText>
        </w:r>
        <w:r w:rsidR="00B276D6">
          <w:rPr>
            <w:noProof/>
            <w:webHidden/>
          </w:rPr>
        </w:r>
        <w:r w:rsidR="00B276D6">
          <w:rPr>
            <w:noProof/>
            <w:webHidden/>
          </w:rPr>
          <w:fldChar w:fldCharType="separate"/>
        </w:r>
        <w:r w:rsidR="00B276D6">
          <w:rPr>
            <w:noProof/>
            <w:webHidden/>
          </w:rPr>
          <w:t>45</w:t>
        </w:r>
        <w:r w:rsidR="00B276D6">
          <w:rPr>
            <w:noProof/>
            <w:webHidden/>
          </w:rPr>
          <w:fldChar w:fldCharType="end"/>
        </w:r>
      </w:hyperlink>
    </w:p>
    <w:p w14:paraId="775DACC3" w14:textId="30C078AE" w:rsidR="00B276D6" w:rsidRDefault="00214116">
      <w:pPr>
        <w:pStyle w:val="Spistreci2"/>
        <w:rPr>
          <w:rFonts w:asciiTheme="minorHAnsi" w:eastAsiaTheme="minorEastAsia" w:hAnsiTheme="minorHAnsi" w:cstheme="minorBidi"/>
          <w:noProof/>
        </w:rPr>
      </w:pPr>
      <w:hyperlink w:anchor="_Toc29894955" w:history="1">
        <w:r w:rsidR="00B276D6" w:rsidRPr="00D369A2">
          <w:rPr>
            <w:rStyle w:val="Hipercze"/>
            <w:noProof/>
          </w:rPr>
          <w:t>D.4.b Wyjaśnienia dot. zabezpieczenia środków</w:t>
        </w:r>
        <w:r w:rsidR="00B276D6">
          <w:rPr>
            <w:noProof/>
            <w:webHidden/>
          </w:rPr>
          <w:tab/>
        </w:r>
        <w:r w:rsidR="00B276D6">
          <w:rPr>
            <w:noProof/>
            <w:webHidden/>
          </w:rPr>
          <w:fldChar w:fldCharType="begin"/>
        </w:r>
        <w:r w:rsidR="00B276D6">
          <w:rPr>
            <w:noProof/>
            <w:webHidden/>
          </w:rPr>
          <w:instrText xml:space="preserve"> PAGEREF _Toc29894955 \h </w:instrText>
        </w:r>
        <w:r w:rsidR="00B276D6">
          <w:rPr>
            <w:noProof/>
            <w:webHidden/>
          </w:rPr>
        </w:r>
        <w:r w:rsidR="00B276D6">
          <w:rPr>
            <w:noProof/>
            <w:webHidden/>
          </w:rPr>
          <w:fldChar w:fldCharType="separate"/>
        </w:r>
        <w:r w:rsidR="00B276D6">
          <w:rPr>
            <w:noProof/>
            <w:webHidden/>
          </w:rPr>
          <w:t>45</w:t>
        </w:r>
        <w:r w:rsidR="00B276D6">
          <w:rPr>
            <w:noProof/>
            <w:webHidden/>
          </w:rPr>
          <w:fldChar w:fldCharType="end"/>
        </w:r>
      </w:hyperlink>
    </w:p>
    <w:p w14:paraId="5FB9BB8F" w14:textId="072100EE" w:rsidR="00B276D6" w:rsidRDefault="00214116">
      <w:pPr>
        <w:pStyle w:val="Spistreci1"/>
        <w:rPr>
          <w:rFonts w:asciiTheme="minorHAnsi" w:eastAsiaTheme="minorEastAsia" w:hAnsiTheme="minorHAnsi" w:cstheme="minorBidi"/>
          <w:noProof/>
        </w:rPr>
      </w:pPr>
      <w:hyperlink w:anchor="_Toc29894956" w:history="1">
        <w:r w:rsidR="00B276D6" w:rsidRPr="00D369A2">
          <w:rPr>
            <w:rStyle w:val="Hipercze"/>
            <w:noProof/>
          </w:rPr>
          <w:t>E.   POSTĘPOWANIA / ZAMÓWIENIA W PROJEKCIE</w:t>
        </w:r>
        <w:r w:rsidR="00B276D6">
          <w:rPr>
            <w:noProof/>
            <w:webHidden/>
          </w:rPr>
          <w:tab/>
        </w:r>
        <w:r w:rsidR="00B276D6">
          <w:rPr>
            <w:noProof/>
            <w:webHidden/>
          </w:rPr>
          <w:fldChar w:fldCharType="begin"/>
        </w:r>
        <w:r w:rsidR="00B276D6">
          <w:rPr>
            <w:noProof/>
            <w:webHidden/>
          </w:rPr>
          <w:instrText xml:space="preserve"> PAGEREF _Toc29894956 \h </w:instrText>
        </w:r>
        <w:r w:rsidR="00B276D6">
          <w:rPr>
            <w:noProof/>
            <w:webHidden/>
          </w:rPr>
        </w:r>
        <w:r w:rsidR="00B276D6">
          <w:rPr>
            <w:noProof/>
            <w:webHidden/>
          </w:rPr>
          <w:fldChar w:fldCharType="separate"/>
        </w:r>
        <w:r w:rsidR="00B276D6">
          <w:rPr>
            <w:noProof/>
            <w:webHidden/>
          </w:rPr>
          <w:t>45</w:t>
        </w:r>
        <w:r w:rsidR="00B276D6">
          <w:rPr>
            <w:noProof/>
            <w:webHidden/>
          </w:rPr>
          <w:fldChar w:fldCharType="end"/>
        </w:r>
      </w:hyperlink>
    </w:p>
    <w:p w14:paraId="735D4D90" w14:textId="52FB2273" w:rsidR="00B276D6" w:rsidRDefault="00214116">
      <w:pPr>
        <w:pStyle w:val="Spistreci1"/>
        <w:rPr>
          <w:rFonts w:asciiTheme="minorHAnsi" w:eastAsiaTheme="minorEastAsia" w:hAnsiTheme="minorHAnsi" w:cstheme="minorBidi"/>
          <w:noProof/>
        </w:rPr>
      </w:pPr>
      <w:hyperlink w:anchor="_Toc29894957" w:history="1">
        <w:r w:rsidR="00B276D6" w:rsidRPr="00D369A2">
          <w:rPr>
            <w:rStyle w:val="Hipercze"/>
            <w:noProof/>
          </w:rPr>
          <w:t>F. MIERZALNE WSKAŹNIKI PROJEKTU</w:t>
        </w:r>
        <w:r w:rsidR="00B276D6">
          <w:rPr>
            <w:noProof/>
            <w:webHidden/>
          </w:rPr>
          <w:tab/>
        </w:r>
        <w:r w:rsidR="00B276D6">
          <w:rPr>
            <w:noProof/>
            <w:webHidden/>
          </w:rPr>
          <w:fldChar w:fldCharType="begin"/>
        </w:r>
        <w:r w:rsidR="00B276D6">
          <w:rPr>
            <w:noProof/>
            <w:webHidden/>
          </w:rPr>
          <w:instrText xml:space="preserve"> PAGEREF _Toc29894957 \h </w:instrText>
        </w:r>
        <w:r w:rsidR="00B276D6">
          <w:rPr>
            <w:noProof/>
            <w:webHidden/>
          </w:rPr>
        </w:r>
        <w:r w:rsidR="00B276D6">
          <w:rPr>
            <w:noProof/>
            <w:webHidden/>
          </w:rPr>
          <w:fldChar w:fldCharType="separate"/>
        </w:r>
        <w:r w:rsidR="00B276D6">
          <w:rPr>
            <w:noProof/>
            <w:webHidden/>
          </w:rPr>
          <w:t>45</w:t>
        </w:r>
        <w:r w:rsidR="00B276D6">
          <w:rPr>
            <w:noProof/>
            <w:webHidden/>
          </w:rPr>
          <w:fldChar w:fldCharType="end"/>
        </w:r>
      </w:hyperlink>
    </w:p>
    <w:p w14:paraId="5D758DBD" w14:textId="4244870B" w:rsidR="00B276D6" w:rsidRDefault="00214116">
      <w:pPr>
        <w:pStyle w:val="Spistreci2"/>
        <w:rPr>
          <w:rFonts w:asciiTheme="minorHAnsi" w:eastAsiaTheme="minorEastAsia" w:hAnsiTheme="minorHAnsi" w:cstheme="minorBidi"/>
          <w:noProof/>
        </w:rPr>
      </w:pPr>
      <w:hyperlink w:anchor="_Toc29894958" w:history="1">
        <w:r w:rsidR="00B276D6" w:rsidRPr="00D369A2">
          <w:rPr>
            <w:rStyle w:val="Hipercze"/>
            <w:noProof/>
          </w:rPr>
          <w:t>F.1. Wskaźniki produktu</w:t>
        </w:r>
        <w:r w:rsidR="00B276D6">
          <w:rPr>
            <w:noProof/>
            <w:webHidden/>
          </w:rPr>
          <w:tab/>
        </w:r>
        <w:r w:rsidR="00B276D6">
          <w:rPr>
            <w:noProof/>
            <w:webHidden/>
          </w:rPr>
          <w:fldChar w:fldCharType="begin"/>
        </w:r>
        <w:r w:rsidR="00B276D6">
          <w:rPr>
            <w:noProof/>
            <w:webHidden/>
          </w:rPr>
          <w:instrText xml:space="preserve"> PAGEREF _Toc29894958 \h </w:instrText>
        </w:r>
        <w:r w:rsidR="00B276D6">
          <w:rPr>
            <w:noProof/>
            <w:webHidden/>
          </w:rPr>
        </w:r>
        <w:r w:rsidR="00B276D6">
          <w:rPr>
            <w:noProof/>
            <w:webHidden/>
          </w:rPr>
          <w:fldChar w:fldCharType="separate"/>
        </w:r>
        <w:r w:rsidR="00B276D6">
          <w:rPr>
            <w:noProof/>
            <w:webHidden/>
          </w:rPr>
          <w:t>46</w:t>
        </w:r>
        <w:r w:rsidR="00B276D6">
          <w:rPr>
            <w:noProof/>
            <w:webHidden/>
          </w:rPr>
          <w:fldChar w:fldCharType="end"/>
        </w:r>
      </w:hyperlink>
    </w:p>
    <w:p w14:paraId="01CB7264" w14:textId="7A841370" w:rsidR="00B276D6" w:rsidRDefault="00214116">
      <w:pPr>
        <w:pStyle w:val="Spistreci2"/>
        <w:rPr>
          <w:rFonts w:asciiTheme="minorHAnsi" w:eastAsiaTheme="minorEastAsia" w:hAnsiTheme="minorHAnsi" w:cstheme="minorBidi"/>
          <w:noProof/>
        </w:rPr>
      </w:pPr>
      <w:hyperlink w:anchor="_Toc29894959" w:history="1">
        <w:r w:rsidR="00B276D6" w:rsidRPr="00D369A2">
          <w:rPr>
            <w:rStyle w:val="Hipercze"/>
            <w:noProof/>
          </w:rPr>
          <w:t>F.2. Wskaźniki rezultatu</w:t>
        </w:r>
        <w:r w:rsidR="00B276D6">
          <w:rPr>
            <w:noProof/>
            <w:webHidden/>
          </w:rPr>
          <w:tab/>
        </w:r>
        <w:r w:rsidR="00B276D6">
          <w:rPr>
            <w:noProof/>
            <w:webHidden/>
          </w:rPr>
          <w:fldChar w:fldCharType="begin"/>
        </w:r>
        <w:r w:rsidR="00B276D6">
          <w:rPr>
            <w:noProof/>
            <w:webHidden/>
          </w:rPr>
          <w:instrText xml:space="preserve"> PAGEREF _Toc29894959 \h </w:instrText>
        </w:r>
        <w:r w:rsidR="00B276D6">
          <w:rPr>
            <w:noProof/>
            <w:webHidden/>
          </w:rPr>
        </w:r>
        <w:r w:rsidR="00B276D6">
          <w:rPr>
            <w:noProof/>
            <w:webHidden/>
          </w:rPr>
          <w:fldChar w:fldCharType="separate"/>
        </w:r>
        <w:r w:rsidR="00B276D6">
          <w:rPr>
            <w:noProof/>
            <w:webHidden/>
          </w:rPr>
          <w:t>47</w:t>
        </w:r>
        <w:r w:rsidR="00B276D6">
          <w:rPr>
            <w:noProof/>
            <w:webHidden/>
          </w:rPr>
          <w:fldChar w:fldCharType="end"/>
        </w:r>
      </w:hyperlink>
    </w:p>
    <w:p w14:paraId="74F01AED" w14:textId="1F918631" w:rsidR="00B276D6" w:rsidRDefault="00214116">
      <w:pPr>
        <w:pStyle w:val="Spistreci2"/>
        <w:rPr>
          <w:rFonts w:asciiTheme="minorHAnsi" w:eastAsiaTheme="minorEastAsia" w:hAnsiTheme="minorHAnsi" w:cstheme="minorBidi"/>
          <w:noProof/>
        </w:rPr>
      </w:pPr>
      <w:hyperlink w:anchor="_Toc29894960" w:history="1">
        <w:r w:rsidR="00B276D6" w:rsidRPr="00D369A2">
          <w:rPr>
            <w:rStyle w:val="Hipercze"/>
            <w:noProof/>
          </w:rPr>
          <w:t>F.3. Wpływ projektu na zatrudnienie</w:t>
        </w:r>
        <w:r w:rsidR="00B276D6">
          <w:rPr>
            <w:noProof/>
            <w:webHidden/>
          </w:rPr>
          <w:tab/>
        </w:r>
        <w:r w:rsidR="00B276D6">
          <w:rPr>
            <w:noProof/>
            <w:webHidden/>
          </w:rPr>
          <w:fldChar w:fldCharType="begin"/>
        </w:r>
        <w:r w:rsidR="00B276D6">
          <w:rPr>
            <w:noProof/>
            <w:webHidden/>
          </w:rPr>
          <w:instrText xml:space="preserve"> PAGEREF _Toc29894960 \h </w:instrText>
        </w:r>
        <w:r w:rsidR="00B276D6">
          <w:rPr>
            <w:noProof/>
            <w:webHidden/>
          </w:rPr>
        </w:r>
        <w:r w:rsidR="00B276D6">
          <w:rPr>
            <w:noProof/>
            <w:webHidden/>
          </w:rPr>
          <w:fldChar w:fldCharType="separate"/>
        </w:r>
        <w:r w:rsidR="00B276D6">
          <w:rPr>
            <w:noProof/>
            <w:webHidden/>
          </w:rPr>
          <w:t>48</w:t>
        </w:r>
        <w:r w:rsidR="00B276D6">
          <w:rPr>
            <w:noProof/>
            <w:webHidden/>
          </w:rPr>
          <w:fldChar w:fldCharType="end"/>
        </w:r>
      </w:hyperlink>
    </w:p>
    <w:p w14:paraId="3A45E392" w14:textId="62579E1C" w:rsidR="00B276D6" w:rsidRDefault="00214116">
      <w:pPr>
        <w:pStyle w:val="Spistreci1"/>
        <w:rPr>
          <w:rFonts w:asciiTheme="minorHAnsi" w:eastAsiaTheme="minorEastAsia" w:hAnsiTheme="minorHAnsi" w:cstheme="minorBidi"/>
          <w:noProof/>
        </w:rPr>
      </w:pPr>
      <w:hyperlink w:anchor="_Toc29894961" w:history="1">
        <w:r w:rsidR="00B276D6" w:rsidRPr="00D369A2">
          <w:rPr>
            <w:rStyle w:val="Hipercze"/>
            <w:noProof/>
          </w:rPr>
          <w:t>G.   ZAŁĄCZNIKI DO WNIOSKU</w:t>
        </w:r>
        <w:r w:rsidR="00B276D6">
          <w:rPr>
            <w:noProof/>
            <w:webHidden/>
          </w:rPr>
          <w:tab/>
        </w:r>
        <w:r w:rsidR="00B276D6">
          <w:rPr>
            <w:noProof/>
            <w:webHidden/>
          </w:rPr>
          <w:fldChar w:fldCharType="begin"/>
        </w:r>
        <w:r w:rsidR="00B276D6">
          <w:rPr>
            <w:noProof/>
            <w:webHidden/>
          </w:rPr>
          <w:instrText xml:space="preserve"> PAGEREF _Toc29894961 \h </w:instrText>
        </w:r>
        <w:r w:rsidR="00B276D6">
          <w:rPr>
            <w:noProof/>
            <w:webHidden/>
          </w:rPr>
        </w:r>
        <w:r w:rsidR="00B276D6">
          <w:rPr>
            <w:noProof/>
            <w:webHidden/>
          </w:rPr>
          <w:fldChar w:fldCharType="separate"/>
        </w:r>
        <w:r w:rsidR="00B276D6">
          <w:rPr>
            <w:noProof/>
            <w:webHidden/>
          </w:rPr>
          <w:t>48</w:t>
        </w:r>
        <w:r w:rsidR="00B276D6">
          <w:rPr>
            <w:noProof/>
            <w:webHidden/>
          </w:rPr>
          <w:fldChar w:fldCharType="end"/>
        </w:r>
      </w:hyperlink>
    </w:p>
    <w:p w14:paraId="263830FB" w14:textId="0227BD9C" w:rsidR="00B276D6" w:rsidRDefault="00214116">
      <w:pPr>
        <w:pStyle w:val="Spistreci2"/>
        <w:rPr>
          <w:rFonts w:asciiTheme="minorHAnsi" w:eastAsiaTheme="minorEastAsia" w:hAnsiTheme="minorHAnsi" w:cstheme="minorBidi"/>
          <w:noProof/>
        </w:rPr>
      </w:pPr>
      <w:hyperlink w:anchor="_Toc29894962" w:history="1">
        <w:r w:rsidR="00B276D6" w:rsidRPr="00D369A2">
          <w:rPr>
            <w:rStyle w:val="Hipercze"/>
            <w:noProof/>
          </w:rPr>
          <w:t>G.1. Załączniki obowiązkowe</w:t>
        </w:r>
        <w:r w:rsidR="00B276D6">
          <w:rPr>
            <w:noProof/>
            <w:webHidden/>
          </w:rPr>
          <w:tab/>
        </w:r>
        <w:r w:rsidR="00B276D6">
          <w:rPr>
            <w:noProof/>
            <w:webHidden/>
          </w:rPr>
          <w:fldChar w:fldCharType="begin"/>
        </w:r>
        <w:r w:rsidR="00B276D6">
          <w:rPr>
            <w:noProof/>
            <w:webHidden/>
          </w:rPr>
          <w:instrText xml:space="preserve"> PAGEREF _Toc29894962 \h </w:instrText>
        </w:r>
        <w:r w:rsidR="00B276D6">
          <w:rPr>
            <w:noProof/>
            <w:webHidden/>
          </w:rPr>
        </w:r>
        <w:r w:rsidR="00B276D6">
          <w:rPr>
            <w:noProof/>
            <w:webHidden/>
          </w:rPr>
          <w:fldChar w:fldCharType="separate"/>
        </w:r>
        <w:r w:rsidR="00B276D6">
          <w:rPr>
            <w:noProof/>
            <w:webHidden/>
          </w:rPr>
          <w:t>48</w:t>
        </w:r>
        <w:r w:rsidR="00B276D6">
          <w:rPr>
            <w:noProof/>
            <w:webHidden/>
          </w:rPr>
          <w:fldChar w:fldCharType="end"/>
        </w:r>
      </w:hyperlink>
    </w:p>
    <w:p w14:paraId="54BBD7F6" w14:textId="0C6F5DE5" w:rsidR="00B276D6" w:rsidRDefault="00214116">
      <w:pPr>
        <w:pStyle w:val="Spistreci2"/>
        <w:rPr>
          <w:rFonts w:asciiTheme="minorHAnsi" w:eastAsiaTheme="minorEastAsia" w:hAnsiTheme="minorHAnsi" w:cstheme="minorBidi"/>
          <w:noProof/>
        </w:rPr>
      </w:pPr>
      <w:hyperlink w:anchor="_Toc29894963" w:history="1">
        <w:r w:rsidR="00B276D6" w:rsidRPr="00D369A2">
          <w:rPr>
            <w:rStyle w:val="Hipercze"/>
            <w:noProof/>
          </w:rPr>
          <w:t>G.2. Załączniki dodatkowe</w:t>
        </w:r>
        <w:r w:rsidR="00B276D6">
          <w:rPr>
            <w:noProof/>
            <w:webHidden/>
          </w:rPr>
          <w:tab/>
        </w:r>
        <w:r w:rsidR="00B276D6">
          <w:rPr>
            <w:noProof/>
            <w:webHidden/>
          </w:rPr>
          <w:fldChar w:fldCharType="begin"/>
        </w:r>
        <w:r w:rsidR="00B276D6">
          <w:rPr>
            <w:noProof/>
            <w:webHidden/>
          </w:rPr>
          <w:instrText xml:space="preserve"> PAGEREF _Toc29894963 \h </w:instrText>
        </w:r>
        <w:r w:rsidR="00B276D6">
          <w:rPr>
            <w:noProof/>
            <w:webHidden/>
          </w:rPr>
        </w:r>
        <w:r w:rsidR="00B276D6">
          <w:rPr>
            <w:noProof/>
            <w:webHidden/>
          </w:rPr>
          <w:fldChar w:fldCharType="separate"/>
        </w:r>
        <w:r w:rsidR="00B276D6">
          <w:rPr>
            <w:noProof/>
            <w:webHidden/>
          </w:rPr>
          <w:t>56</w:t>
        </w:r>
        <w:r w:rsidR="00B276D6">
          <w:rPr>
            <w:noProof/>
            <w:webHidden/>
          </w:rPr>
          <w:fldChar w:fldCharType="end"/>
        </w:r>
      </w:hyperlink>
    </w:p>
    <w:p w14:paraId="4558DCD9" w14:textId="3E1EB331" w:rsidR="00B276D6" w:rsidRDefault="00214116">
      <w:pPr>
        <w:pStyle w:val="Spistreci1"/>
        <w:rPr>
          <w:rFonts w:asciiTheme="minorHAnsi" w:eastAsiaTheme="minorEastAsia" w:hAnsiTheme="minorHAnsi" w:cstheme="minorBidi"/>
          <w:noProof/>
        </w:rPr>
      </w:pPr>
      <w:hyperlink w:anchor="_Toc29894964" w:history="1">
        <w:r w:rsidR="00B276D6" w:rsidRPr="00D369A2">
          <w:rPr>
            <w:rStyle w:val="Hipercze"/>
            <w:noProof/>
          </w:rPr>
          <w:t>H.   OŚWIADCZENIA BENEFICJENTA</w:t>
        </w:r>
        <w:r w:rsidR="00B276D6">
          <w:rPr>
            <w:noProof/>
            <w:webHidden/>
          </w:rPr>
          <w:tab/>
        </w:r>
        <w:r w:rsidR="00B276D6">
          <w:rPr>
            <w:noProof/>
            <w:webHidden/>
          </w:rPr>
          <w:fldChar w:fldCharType="begin"/>
        </w:r>
        <w:r w:rsidR="00B276D6">
          <w:rPr>
            <w:noProof/>
            <w:webHidden/>
          </w:rPr>
          <w:instrText xml:space="preserve"> PAGEREF _Toc29894964 \h </w:instrText>
        </w:r>
        <w:r w:rsidR="00B276D6">
          <w:rPr>
            <w:noProof/>
            <w:webHidden/>
          </w:rPr>
        </w:r>
        <w:r w:rsidR="00B276D6">
          <w:rPr>
            <w:noProof/>
            <w:webHidden/>
          </w:rPr>
          <w:fldChar w:fldCharType="separate"/>
        </w:r>
        <w:r w:rsidR="00B276D6">
          <w:rPr>
            <w:noProof/>
            <w:webHidden/>
          </w:rPr>
          <w:t>74</w:t>
        </w:r>
        <w:r w:rsidR="00B276D6">
          <w:rPr>
            <w:noProof/>
            <w:webHidden/>
          </w:rPr>
          <w:fldChar w:fldCharType="end"/>
        </w:r>
      </w:hyperlink>
    </w:p>
    <w:p w14:paraId="7D1D3A8F" w14:textId="04EA67F1" w:rsidR="00B276D6" w:rsidRDefault="00214116">
      <w:pPr>
        <w:pStyle w:val="Spistreci1"/>
        <w:rPr>
          <w:rFonts w:asciiTheme="minorHAnsi" w:eastAsiaTheme="minorEastAsia" w:hAnsiTheme="minorHAnsi" w:cstheme="minorBidi"/>
          <w:noProof/>
        </w:rPr>
      </w:pPr>
      <w:hyperlink w:anchor="_Toc29894965" w:history="1">
        <w:r w:rsidR="00B276D6" w:rsidRPr="00D369A2">
          <w:rPr>
            <w:rStyle w:val="Hipercze"/>
            <w:noProof/>
          </w:rPr>
          <w:t>I. ZAŁĄCZNIKI GENEROWANE W SYSTEMIE</w:t>
        </w:r>
        <w:r w:rsidR="00B276D6">
          <w:rPr>
            <w:noProof/>
            <w:webHidden/>
          </w:rPr>
          <w:tab/>
        </w:r>
        <w:r w:rsidR="00B276D6">
          <w:rPr>
            <w:noProof/>
            <w:webHidden/>
          </w:rPr>
          <w:fldChar w:fldCharType="begin"/>
        </w:r>
        <w:r w:rsidR="00B276D6">
          <w:rPr>
            <w:noProof/>
            <w:webHidden/>
          </w:rPr>
          <w:instrText xml:space="preserve"> PAGEREF _Toc29894965 \h </w:instrText>
        </w:r>
        <w:r w:rsidR="00B276D6">
          <w:rPr>
            <w:noProof/>
            <w:webHidden/>
          </w:rPr>
        </w:r>
        <w:r w:rsidR="00B276D6">
          <w:rPr>
            <w:noProof/>
            <w:webHidden/>
          </w:rPr>
          <w:fldChar w:fldCharType="separate"/>
        </w:r>
        <w:r w:rsidR="00B276D6">
          <w:rPr>
            <w:noProof/>
            <w:webHidden/>
          </w:rPr>
          <w:t>74</w:t>
        </w:r>
        <w:r w:rsidR="00B276D6">
          <w:rPr>
            <w:noProof/>
            <w:webHidden/>
          </w:rPr>
          <w:fldChar w:fldCharType="end"/>
        </w:r>
      </w:hyperlink>
    </w:p>
    <w:p w14:paraId="655C75F6" w14:textId="7D3EAF08" w:rsidR="00B276D6" w:rsidRDefault="00214116">
      <w:pPr>
        <w:pStyle w:val="Spistreci2"/>
        <w:rPr>
          <w:rFonts w:asciiTheme="minorHAnsi" w:eastAsiaTheme="minorEastAsia" w:hAnsiTheme="minorHAnsi" w:cstheme="minorBidi"/>
          <w:noProof/>
        </w:rPr>
      </w:pPr>
      <w:hyperlink w:anchor="_Toc29894966" w:history="1">
        <w:r w:rsidR="00B276D6" w:rsidRPr="00D369A2">
          <w:rPr>
            <w:rStyle w:val="Hipercze"/>
            <w:noProof/>
          </w:rPr>
          <w:t>I.1. Dane stosowne do określenia statusu przedsiębiorstwa</w:t>
        </w:r>
        <w:r w:rsidR="00B276D6">
          <w:rPr>
            <w:noProof/>
            <w:webHidden/>
          </w:rPr>
          <w:tab/>
        </w:r>
        <w:r w:rsidR="00B276D6">
          <w:rPr>
            <w:noProof/>
            <w:webHidden/>
          </w:rPr>
          <w:fldChar w:fldCharType="begin"/>
        </w:r>
        <w:r w:rsidR="00B276D6">
          <w:rPr>
            <w:noProof/>
            <w:webHidden/>
          </w:rPr>
          <w:instrText xml:space="preserve"> PAGEREF _Toc29894966 \h </w:instrText>
        </w:r>
        <w:r w:rsidR="00B276D6">
          <w:rPr>
            <w:noProof/>
            <w:webHidden/>
          </w:rPr>
        </w:r>
        <w:r w:rsidR="00B276D6">
          <w:rPr>
            <w:noProof/>
            <w:webHidden/>
          </w:rPr>
          <w:fldChar w:fldCharType="separate"/>
        </w:r>
        <w:r w:rsidR="00B276D6">
          <w:rPr>
            <w:noProof/>
            <w:webHidden/>
          </w:rPr>
          <w:t>74</w:t>
        </w:r>
        <w:r w:rsidR="00B276D6">
          <w:rPr>
            <w:noProof/>
            <w:webHidden/>
          </w:rPr>
          <w:fldChar w:fldCharType="end"/>
        </w:r>
      </w:hyperlink>
    </w:p>
    <w:p w14:paraId="27263B81" w14:textId="66422D99" w:rsidR="00B276D6" w:rsidRDefault="00214116">
      <w:pPr>
        <w:pStyle w:val="Spistreci2"/>
        <w:rPr>
          <w:rFonts w:asciiTheme="minorHAnsi" w:eastAsiaTheme="minorEastAsia" w:hAnsiTheme="minorHAnsi" w:cstheme="minorBidi"/>
          <w:noProof/>
        </w:rPr>
      </w:pPr>
      <w:hyperlink w:anchor="_Toc29894967" w:history="1">
        <w:r w:rsidR="00B276D6" w:rsidRPr="00D369A2">
          <w:rPr>
            <w:rStyle w:val="Hipercze"/>
            <w:noProof/>
          </w:rPr>
          <w:t>Podsumowanie</w:t>
        </w:r>
        <w:r w:rsidR="00B276D6">
          <w:rPr>
            <w:noProof/>
            <w:webHidden/>
          </w:rPr>
          <w:tab/>
        </w:r>
        <w:r w:rsidR="00B276D6">
          <w:rPr>
            <w:noProof/>
            <w:webHidden/>
          </w:rPr>
          <w:fldChar w:fldCharType="begin"/>
        </w:r>
        <w:r w:rsidR="00B276D6">
          <w:rPr>
            <w:noProof/>
            <w:webHidden/>
          </w:rPr>
          <w:instrText xml:space="preserve"> PAGEREF _Toc29894967 \h </w:instrText>
        </w:r>
        <w:r w:rsidR="00B276D6">
          <w:rPr>
            <w:noProof/>
            <w:webHidden/>
          </w:rPr>
        </w:r>
        <w:r w:rsidR="00B276D6">
          <w:rPr>
            <w:noProof/>
            <w:webHidden/>
          </w:rPr>
          <w:fldChar w:fldCharType="separate"/>
        </w:r>
        <w:r w:rsidR="00B276D6">
          <w:rPr>
            <w:noProof/>
            <w:webHidden/>
          </w:rPr>
          <w:t>79</w:t>
        </w:r>
        <w:r w:rsidR="00B276D6">
          <w:rPr>
            <w:noProof/>
            <w:webHidden/>
          </w:rPr>
          <w:fldChar w:fldCharType="end"/>
        </w:r>
      </w:hyperlink>
    </w:p>
    <w:p w14:paraId="00C5953D" w14:textId="3AA82F6D" w:rsidR="00B276D6" w:rsidRDefault="00214116">
      <w:pPr>
        <w:pStyle w:val="Spistreci1"/>
        <w:rPr>
          <w:rFonts w:asciiTheme="minorHAnsi" w:eastAsiaTheme="minorEastAsia" w:hAnsiTheme="minorHAnsi" w:cstheme="minorBidi"/>
          <w:noProof/>
        </w:rPr>
      </w:pPr>
      <w:hyperlink w:anchor="_Toc29894968" w:history="1">
        <w:r w:rsidR="00B276D6" w:rsidRPr="00D369A2">
          <w:rPr>
            <w:rStyle w:val="Hipercze"/>
            <w:noProof/>
          </w:rPr>
          <w:t>Załączniki do Instrukcji wypełniania wniosku – formularze dokumentów:</w:t>
        </w:r>
        <w:r w:rsidR="00B276D6">
          <w:rPr>
            <w:noProof/>
            <w:webHidden/>
          </w:rPr>
          <w:tab/>
        </w:r>
        <w:r w:rsidR="00B276D6">
          <w:rPr>
            <w:noProof/>
            <w:webHidden/>
          </w:rPr>
          <w:fldChar w:fldCharType="begin"/>
        </w:r>
        <w:r w:rsidR="00B276D6">
          <w:rPr>
            <w:noProof/>
            <w:webHidden/>
          </w:rPr>
          <w:instrText xml:space="preserve"> PAGEREF _Toc29894968 \h </w:instrText>
        </w:r>
        <w:r w:rsidR="00B276D6">
          <w:rPr>
            <w:noProof/>
            <w:webHidden/>
          </w:rPr>
        </w:r>
        <w:r w:rsidR="00B276D6">
          <w:rPr>
            <w:noProof/>
            <w:webHidden/>
          </w:rPr>
          <w:fldChar w:fldCharType="separate"/>
        </w:r>
        <w:r w:rsidR="00B276D6">
          <w:rPr>
            <w:noProof/>
            <w:webHidden/>
          </w:rPr>
          <w:t>82</w:t>
        </w:r>
        <w:r w:rsidR="00B276D6">
          <w:rPr>
            <w:noProof/>
            <w:webHidden/>
          </w:rPr>
          <w:fldChar w:fldCharType="end"/>
        </w:r>
      </w:hyperlink>
    </w:p>
    <w:p w14:paraId="28F3193F" w14:textId="27E198CE"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1" w:name="_Toc29894903"/>
      <w:r w:rsidRPr="00E634E0">
        <w:lastRenderedPageBreak/>
        <w:t>WSTĘP</w:t>
      </w:r>
      <w:bookmarkEnd w:id="1"/>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 xml:space="preserve">Wniosek o dofinansowanie co do zasady powinien zawierać informacje kluczowe wymagane Instrukcją, będące podsumowaniem szerszych opisów i szczegółowych uzasadnień spełnienia kryteriów wyboru projektów. Należy unikać ogólnikowych stwierdzeń </w:t>
      </w:r>
      <w:proofErr w:type="gramStart"/>
      <w:r w:rsidRPr="00E634E0">
        <w:rPr>
          <w:rFonts w:cs="Calibri"/>
          <w:sz w:val="20"/>
          <w:szCs w:val="20"/>
        </w:rPr>
        <w:t>nie</w:t>
      </w:r>
      <w:r>
        <w:rPr>
          <w:rFonts w:cs="Calibri"/>
          <w:sz w:val="20"/>
          <w:szCs w:val="20"/>
        </w:rPr>
        <w:t xml:space="preserve"> </w:t>
      </w:r>
      <w:r w:rsidRPr="00E634E0">
        <w:rPr>
          <w:rFonts w:cs="Calibri"/>
          <w:sz w:val="20"/>
          <w:szCs w:val="20"/>
        </w:rPr>
        <w:t>wnoszących</w:t>
      </w:r>
      <w:proofErr w:type="gramEnd"/>
      <w:r w:rsidRPr="00E634E0">
        <w:rPr>
          <w:rFonts w:cs="Calibri"/>
          <w:sz w:val="20"/>
          <w:szCs w:val="20"/>
        </w:rPr>
        <w:t xml:space="preserve">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2" w:name="_Toc29894904"/>
      <w:r w:rsidRPr="00E634E0">
        <w:lastRenderedPageBreak/>
        <w:t>OPIS POSZCZEGÓLNYCH PUNKTÓW WNIOSKU O DOFINANSOWANIE</w:t>
      </w:r>
      <w:bookmarkEnd w:id="2"/>
    </w:p>
    <w:p w14:paraId="346A1ECF" w14:textId="77777777" w:rsidR="00886690" w:rsidRPr="00E634E0" w:rsidRDefault="00886690" w:rsidP="00E354DA">
      <w:pPr>
        <w:pStyle w:val="Pole"/>
      </w:pPr>
      <w:bookmarkStart w:id="3" w:name="_Toc29894905"/>
      <w:r w:rsidRPr="00E634E0">
        <w:t>Rozpoczęcie pracy w LSI</w:t>
      </w:r>
      <w:bookmarkEnd w:id="3"/>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 xml:space="preserve">j.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z późn.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4" w:name="_Toc29894906"/>
      <w:r w:rsidRPr="00E634E0">
        <w:t>START – DANE PROJEKTU</w:t>
      </w:r>
      <w:bookmarkEnd w:id="4"/>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5" w:name="_Toc29894907"/>
      <w:r w:rsidRPr="00E634E0">
        <w:lastRenderedPageBreak/>
        <w:t>A. PODMIOTY ZAANGAŻOWANE W REALIZACJĘ PROJEKTU</w:t>
      </w:r>
      <w:bookmarkEnd w:id="5"/>
    </w:p>
    <w:p w14:paraId="4B37312C" w14:textId="77777777" w:rsidR="00886690" w:rsidRPr="00E634E0" w:rsidRDefault="00886690" w:rsidP="00E354DA">
      <w:pPr>
        <w:pStyle w:val="Pole"/>
      </w:pPr>
      <w:bookmarkStart w:id="6" w:name="_Toc29894908"/>
      <w:r w:rsidRPr="00E634E0">
        <w:t>A.1. Dane wnioskodawcy – lidera projektu</w:t>
      </w:r>
      <w:bookmarkEnd w:id="6"/>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TAK/NIE</w:t>
      </w:r>
      <w:proofErr w:type="gramStart"/>
      <w:r w:rsidR="00394896">
        <w:rPr>
          <w:rFonts w:cs="Calibri"/>
        </w:rPr>
        <w:t>/„</w:t>
      </w:r>
      <w:proofErr w:type="gramEnd"/>
      <w:r w:rsidR="00394896">
        <w:rPr>
          <w:rFonts w:cs="Calibri"/>
        </w:rPr>
        <w:t xml:space="preserv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7" w:name="_Toc29894909"/>
      <w:r w:rsidRPr="00E634E0">
        <w:t>A.2. Partnerstwo w ramach projektu</w:t>
      </w:r>
      <w:bookmarkEnd w:id="7"/>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w:t>
      </w:r>
      <w:proofErr w:type="gramStart"/>
      <w:r w:rsidRPr="00E634E0">
        <w:rPr>
          <w:rFonts w:cs="Calibri"/>
        </w:rPr>
        <w:t>przypadku  projektów</w:t>
      </w:r>
      <w:proofErr w:type="gramEnd"/>
      <w:r w:rsidRPr="00E634E0">
        <w:rPr>
          <w:rFonts w:cs="Calibri"/>
        </w:rPr>
        <w:t xml:space="preserve">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 xml:space="preserve">Wniosek o dofinansowanie do Instytucji Ogłaszającej Konkurs składa lider, z </w:t>
      </w:r>
      <w:proofErr w:type="gramStart"/>
      <w:r w:rsidRPr="00E634E0">
        <w:rPr>
          <w:rFonts w:cs="Calibri"/>
          <w:sz w:val="20"/>
          <w:szCs w:val="20"/>
        </w:rPr>
        <w:t>tym</w:t>
      </w:r>
      <w:proofErr w:type="gramEnd"/>
      <w:r w:rsidRPr="00E634E0">
        <w:rPr>
          <w:rFonts w:cs="Calibri"/>
          <w:sz w:val="20"/>
          <w:szCs w:val="20"/>
        </w:rPr>
        <w:t xml:space="preserve">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w:t>
      </w:r>
      <w:proofErr w:type="gramStart"/>
      <w:r w:rsidRPr="00E634E0">
        <w:rPr>
          <w:rFonts w:cs="Calibri"/>
          <w:sz w:val="20"/>
          <w:szCs w:val="20"/>
        </w:rPr>
        <w:t>sytuacji,  gdy</w:t>
      </w:r>
      <w:proofErr w:type="gramEnd"/>
      <w:r w:rsidRPr="00E634E0">
        <w:rPr>
          <w:rFonts w:cs="Calibri"/>
          <w:sz w:val="20"/>
          <w:szCs w:val="20"/>
        </w:rPr>
        <w:t xml:space="preserve">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lastRenderedPageBreak/>
        <w:t xml:space="preserve"> </w:t>
      </w:r>
      <w:bookmarkStart w:id="8" w:name="_Toc29894910"/>
      <w:r w:rsidRPr="00E634E0">
        <w:t>A.3. Dane podmiotu - partnera projektu</w:t>
      </w:r>
      <w:bookmarkEnd w:id="8"/>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9" w:name="_Toc29894911"/>
      <w:r w:rsidRPr="00E634E0">
        <w:t>A.4. Podmiot realizujący projekt</w:t>
      </w:r>
      <w:bookmarkEnd w:id="9"/>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10" w:name="_Toc29894912"/>
      <w:r w:rsidRPr="00E634E0">
        <w:t>A.5. Podmiot zarządzający przedmiotem projektu</w:t>
      </w:r>
      <w:bookmarkEnd w:id="10"/>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1" w:name="_Toc421605145"/>
      <w:bookmarkStart w:id="12" w:name="_Toc422824208"/>
      <w:bookmarkStart w:id="13" w:name="_Toc422824449"/>
      <w:bookmarkStart w:id="14" w:name="_Toc422824577"/>
      <w:bookmarkStart w:id="15" w:name="_Toc422824815"/>
      <w:bookmarkStart w:id="16" w:name="_Toc422824909"/>
      <w:bookmarkStart w:id="17" w:name="_Toc421605146"/>
      <w:bookmarkStart w:id="18" w:name="_Toc422824209"/>
      <w:bookmarkStart w:id="19" w:name="_Toc422824450"/>
      <w:bookmarkStart w:id="20" w:name="_Toc422824578"/>
      <w:bookmarkStart w:id="21" w:name="_Toc422824816"/>
      <w:bookmarkStart w:id="22" w:name="_Toc422824910"/>
      <w:bookmarkStart w:id="23" w:name="_Toc29894913"/>
      <w:bookmarkEnd w:id="11"/>
      <w:bookmarkEnd w:id="12"/>
      <w:bookmarkEnd w:id="13"/>
      <w:bookmarkEnd w:id="14"/>
      <w:bookmarkEnd w:id="15"/>
      <w:bookmarkEnd w:id="16"/>
      <w:bookmarkEnd w:id="17"/>
      <w:bookmarkEnd w:id="18"/>
      <w:bookmarkEnd w:id="19"/>
      <w:bookmarkEnd w:id="20"/>
      <w:bookmarkEnd w:id="21"/>
      <w:bookmarkEnd w:id="22"/>
      <w:r w:rsidRPr="00E634E0">
        <w:t>B. SZCZEGÓŁOWY OPIS PROJEKTU</w:t>
      </w:r>
      <w:bookmarkEnd w:id="23"/>
    </w:p>
    <w:p w14:paraId="2E042A35" w14:textId="77777777" w:rsidR="00886690" w:rsidRPr="00E634E0" w:rsidRDefault="00886690" w:rsidP="00E354DA">
      <w:pPr>
        <w:pStyle w:val="Pole"/>
      </w:pPr>
      <w:bookmarkStart w:id="24" w:name="_Toc29894914"/>
      <w:r w:rsidRPr="00E634E0">
        <w:t>B.1. Tytuł projektu</w:t>
      </w:r>
      <w:bookmarkEnd w:id="24"/>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5" w:name="_Toc29894915"/>
      <w:r w:rsidRPr="00E634E0">
        <w:t>B.2. Krótki opis projektu</w:t>
      </w:r>
      <w:bookmarkEnd w:id="25"/>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6" w:name="_Toc29894916"/>
      <w:r w:rsidRPr="00E634E0">
        <w:t>B.3. Miejsce realizacji projektu</w:t>
      </w:r>
      <w:bookmarkEnd w:id="26"/>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7" w:name="_Toc29894917"/>
      <w:r w:rsidRPr="00E634E0">
        <w:lastRenderedPageBreak/>
        <w:t>B.4. Klasyfikacja projektu i zakres interwencji</w:t>
      </w:r>
      <w:bookmarkEnd w:id="27"/>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9255E96" w14:textId="50D43737" w:rsidR="00045CA3" w:rsidRPr="00697E5E" w:rsidRDefault="00AF2083" w:rsidP="000E7694">
      <w:pPr>
        <w:spacing w:before="120" w:after="120"/>
        <w:jc w:val="both"/>
        <w:rPr>
          <w:rFonts w:asciiTheme="minorHAnsi" w:hAnsiTheme="minorHAnsi" w:cstheme="minorHAnsi"/>
          <w:noProof/>
          <w:sz w:val="20"/>
          <w:szCs w:val="20"/>
        </w:rPr>
      </w:pPr>
      <w:r w:rsidRPr="00697E5E">
        <w:rPr>
          <w:rFonts w:asciiTheme="minorHAnsi" w:hAnsiTheme="minorHAnsi" w:cstheme="minorHAnsi"/>
          <w:noProof/>
          <w:sz w:val="20"/>
          <w:szCs w:val="20"/>
        </w:rPr>
        <w:t xml:space="preserve">Dla projektów składanych w ramach działania </w:t>
      </w:r>
      <w:r w:rsidR="000E7694" w:rsidRPr="00697E5E">
        <w:rPr>
          <w:rFonts w:asciiTheme="minorHAnsi" w:hAnsiTheme="minorHAnsi" w:cstheme="minorHAnsi"/>
          <w:noProof/>
          <w:sz w:val="20"/>
          <w:szCs w:val="20"/>
        </w:rPr>
        <w:t xml:space="preserve">12.2 Infrastruktura kształcenia zawodowego </w:t>
      </w:r>
      <w:r w:rsidRPr="00697E5E">
        <w:rPr>
          <w:rFonts w:asciiTheme="minorHAnsi" w:hAnsiTheme="minorHAnsi" w:cstheme="minorHAnsi"/>
          <w:noProof/>
          <w:sz w:val="20"/>
          <w:szCs w:val="20"/>
        </w:rPr>
        <w:t xml:space="preserve">oznaczenie obszaru działalności gospodarczej powinno wskazywać na: </w:t>
      </w:r>
      <w:r w:rsidR="000E7694" w:rsidRPr="00697E5E">
        <w:rPr>
          <w:rFonts w:asciiTheme="minorHAnsi" w:hAnsiTheme="minorHAnsi" w:cstheme="minorHAnsi"/>
          <w:noProof/>
          <w:sz w:val="20"/>
          <w:szCs w:val="20"/>
        </w:rPr>
        <w:t>Edukacja</w:t>
      </w:r>
      <w:r w:rsidRPr="00697E5E">
        <w:rPr>
          <w:rFonts w:asciiTheme="minorHAnsi" w:hAnsiTheme="minorHAnsi" w:cstheme="minorHAnsi"/>
          <w:noProof/>
          <w:sz w:val="20"/>
          <w:szCs w:val="20"/>
        </w:rPr>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287A83E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w:t>
      </w:r>
      <w:r w:rsidRPr="000C391F">
        <w:rPr>
          <w:rFonts w:cs="Calibri"/>
          <w:noProof/>
        </w:rPr>
        <w:lastRenderedPageBreak/>
        <w:t>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8" w:name="_Toc29894918"/>
      <w:r w:rsidRPr="00E634E0">
        <w:t>B.5. Realizacja projektu w formule partnerstwa publiczno-prywatnego</w:t>
      </w:r>
      <w:bookmarkEnd w:id="28"/>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9" w:name="_Toc29894919"/>
      <w:r w:rsidRPr="00E634E0">
        <w:t>B.6. Komplementarność projektu i powiązanie z projektami</w:t>
      </w:r>
      <w:bookmarkEnd w:id="29"/>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30" w:name="_Toc29894920"/>
      <w:r w:rsidRPr="00E634E0">
        <w:t>B.6.1 Komplementarność</w:t>
      </w:r>
      <w:bookmarkEnd w:id="30"/>
      <w:r w:rsidRPr="00E634E0">
        <w:t xml:space="preserve"> </w:t>
      </w:r>
    </w:p>
    <w:p w14:paraId="6CEB13C8" w14:textId="77777777" w:rsidR="00FB4E8D" w:rsidRDefault="00FB4E8D" w:rsidP="007849CF">
      <w:pPr>
        <w:pStyle w:val="Akapitzlist1"/>
        <w:spacing w:before="120" w:after="120"/>
        <w:ind w:left="0"/>
        <w:contextualSpacing w:val="0"/>
        <w:jc w:val="both"/>
        <w:rPr>
          <w:rFonts w:cs="Calibri"/>
          <w:noProof/>
        </w:rPr>
      </w:pPr>
      <w:r w:rsidRPr="00FB4E8D">
        <w:rPr>
          <w:rFonts w:cs="Calibri"/>
          <w:noProof/>
        </w:rPr>
        <w:t xml:space="preserve">Komplementarnością określamy stan powstały na skutek podejmowanych  uzupełniających się projektów, które są skierowane na osiagnięcie wspólnego lub takiego samego celu. Kluczowym elementem komplementarności jest uzupełnianie się projektów, które umożliwia lub ułatwia realizację celu co najmniej jednego z nich albo zwiększa stopień jego osiagnięcia poprzez występienie efektu synergii między projektami. </w:t>
      </w:r>
    </w:p>
    <w:p w14:paraId="4756BFB7" w14:textId="7C15D721"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lastRenderedPageBreak/>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1" w:name="_Toc29894921"/>
      <w:r w:rsidRPr="00E634E0">
        <w:t>B.6.2 Powiązania</w:t>
      </w:r>
      <w:bookmarkEnd w:id="31"/>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2" w:name="_Toc29894922"/>
      <w:r w:rsidRPr="00E634E0">
        <w:t>B.7. Zaprojektuj i wybuduj</w:t>
      </w:r>
      <w:bookmarkEnd w:id="32"/>
      <w:r w:rsidRPr="00E634E0">
        <w:t xml:space="preserve"> </w:t>
      </w:r>
    </w:p>
    <w:p w14:paraId="4C4626A8" w14:textId="6BAEDF90"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w:t>
      </w:r>
      <w:proofErr w:type="gramStart"/>
      <w:r w:rsidRPr="00E41E48">
        <w:rPr>
          <w:rFonts w:cs="Calibri"/>
          <w:b/>
          <w:bCs/>
          <w:sz w:val="20"/>
          <w:szCs w:val="20"/>
        </w:rPr>
        <w:t xml:space="preserve">2020 </w:t>
      </w:r>
      <w:r w:rsidR="005A27D6" w:rsidRPr="0002739F">
        <w:rPr>
          <w:rFonts w:cs="Calibri"/>
          <w:b/>
          <w:bCs/>
          <w:sz w:val="20"/>
          <w:szCs w:val="20"/>
        </w:rPr>
        <w:t xml:space="preserve"> roku</w:t>
      </w:r>
      <w:proofErr w:type="gramEnd"/>
      <w:r w:rsidR="005A27D6" w:rsidRPr="0002739F">
        <w:rPr>
          <w:rFonts w:cs="Calibri"/>
          <w:b/>
          <w:bCs/>
          <w:sz w:val="20"/>
          <w:szCs w:val="20"/>
        </w:rPr>
        <w:t xml:space="preserve">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w:t>
      </w:r>
      <w:proofErr w:type="gramStart"/>
      <w:r w:rsidR="00085CDF" w:rsidRPr="0002739F">
        <w:rPr>
          <w:rFonts w:cs="Calibri"/>
          <w:b/>
          <w:bCs/>
          <w:sz w:val="20"/>
          <w:szCs w:val="20"/>
        </w:rPr>
        <w:t>prowadzona  wyłącznie</w:t>
      </w:r>
      <w:proofErr w:type="gramEnd"/>
      <w:r w:rsidR="00085CDF" w:rsidRPr="0002739F">
        <w:rPr>
          <w:rFonts w:cs="Calibri"/>
          <w:b/>
          <w:bCs/>
          <w:sz w:val="20"/>
          <w:szCs w:val="20"/>
        </w:rPr>
        <w:t xml:space="preserve"> w oparciu o wyciąg z projektu budowlanego lub wyciąg z dokumentacji technicznej projektu (projekty, dla których zgodnie z przepisami nie jest wymagane sporządzenie projektu budowlanego), którego dołączenie jest w tym przypadku obowiązkowe.</w:t>
      </w:r>
    </w:p>
    <w:p w14:paraId="2D336CBB" w14:textId="17B02426"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6009C75D" w14:textId="630CBD45"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16D35C9" w14:textId="77777777" w:rsidR="00886690" w:rsidRPr="00E634E0" w:rsidRDefault="00886690" w:rsidP="00E354DA">
      <w:pPr>
        <w:pStyle w:val="Pole"/>
      </w:pPr>
      <w:bookmarkStart w:id="33" w:name="_Toc29894923"/>
      <w:r w:rsidRPr="00E634E0">
        <w:t>B.8. Diagnoza, cele projektu, sposób realizacji celów RPO WSL (osi priorytetowej, działania)</w:t>
      </w:r>
      <w:bookmarkEnd w:id="33"/>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t>
      </w:r>
      <w:r w:rsidRPr="00E634E0">
        <w:rPr>
          <w:rFonts w:cs="Calibri"/>
          <w:noProof/>
        </w:rPr>
        <w:lastRenderedPageBreak/>
        <w:t xml:space="preserve">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4" w:name="_Toc29894924"/>
      <w:r w:rsidRPr="00E634E0">
        <w:t>B.9. Uzasadnienie  spełnienia kryteriów</w:t>
      </w:r>
      <w:bookmarkEnd w:id="34"/>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5" w:name="_Toc29894925"/>
      <w:r w:rsidRPr="00E634E0">
        <w:t>B.10. Analiza instytucjonalna i prawna projektu i wnioskodawcy (doświadczenie)</w:t>
      </w:r>
      <w:bookmarkEnd w:id="35"/>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99E305F" w14:textId="567B7C25" w:rsidR="00BF4A36" w:rsidRPr="00BF4A36" w:rsidRDefault="00BF4A36" w:rsidP="00BF4A36">
      <w:pPr>
        <w:pStyle w:val="Akapitzlist1"/>
        <w:numPr>
          <w:ilvl w:val="0"/>
          <w:numId w:val="45"/>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6" w:name="_Toc29894926"/>
      <w:r w:rsidRPr="00E634E0">
        <w:lastRenderedPageBreak/>
        <w:t>B.11. Decyzje/zezwolenia/opinie, które są ni</w:t>
      </w:r>
      <w:r w:rsidR="002153C7">
        <w:t>ezbędne do realizacji projektu/</w:t>
      </w:r>
      <w:r w:rsidRPr="00E634E0">
        <w:t>prowadzenia działalności w ramach projektu</w:t>
      </w:r>
      <w:bookmarkEnd w:id="36"/>
    </w:p>
    <w:p w14:paraId="66376196" w14:textId="7E9D7D60"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w:t>
      </w:r>
      <w:r w:rsidR="00E172D2">
        <w:rPr>
          <w:rFonts w:cs="Calibri"/>
          <w:noProof/>
        </w:rPr>
        <w:t>21</w:t>
      </w:r>
      <w:r w:rsidR="007350AD" w:rsidRPr="007350AD">
        <w:rPr>
          <w:rFonts w:cs="Calibri"/>
          <w:noProof/>
        </w:rPr>
        <w:t xml:space="preserve"> r. poz.</w:t>
      </w:r>
      <w:r w:rsidR="00BA3152">
        <w:rPr>
          <w:rFonts w:cs="Calibri"/>
          <w:noProof/>
        </w:rPr>
        <w:t xml:space="preserve"> </w:t>
      </w:r>
      <w:r w:rsidR="00E172D2">
        <w:rPr>
          <w:rFonts w:cs="Calibri"/>
          <w:noProof/>
        </w:rPr>
        <w:t>247</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7" w:name="_Toc29894927"/>
      <w:r w:rsidRPr="00E634E0">
        <w:t>B.12. Utrzymanie celów i trwałości projektu</w:t>
      </w:r>
      <w:bookmarkEnd w:id="37"/>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8" w:name="_Toc29894928"/>
      <w:r w:rsidRPr="00E634E0">
        <w:t>B.13. Pomoc publiczna w projekcie</w:t>
      </w:r>
      <w:bookmarkEnd w:id="38"/>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 xml:space="preserve">Szczególnie </w:t>
      </w:r>
      <w:r w:rsidR="000E0A66">
        <w:rPr>
          <w:rFonts w:cs="Calibri"/>
          <w:noProof/>
        </w:rPr>
        <w:lastRenderedPageBreak/>
        <w:t>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214116"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214116"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9" w:name="_Toc29894929"/>
      <w:r w:rsidRPr="00E634E0">
        <w:t>B.13.1 Test pomocy publicznej</w:t>
      </w:r>
      <w:bookmarkEnd w:id="39"/>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uwzgledniając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Decyzja organu publicznego o </w:t>
      </w:r>
      <w:proofErr w:type="gramStart"/>
      <w:r w:rsidRPr="00C34508">
        <w:rPr>
          <w:sz w:val="20"/>
          <w:szCs w:val="20"/>
          <w:lang w:eastAsia="en-US"/>
        </w:rPr>
        <w:t>nie</w:t>
      </w:r>
      <w:r w:rsidR="00BC67AB">
        <w:rPr>
          <w:sz w:val="20"/>
          <w:szCs w:val="20"/>
          <w:lang w:eastAsia="en-US"/>
        </w:rPr>
        <w:t xml:space="preserve"> </w:t>
      </w:r>
      <w:r w:rsidRPr="00C34508">
        <w:rPr>
          <w:sz w:val="20"/>
          <w:szCs w:val="20"/>
          <w:lang w:eastAsia="en-US"/>
        </w:rPr>
        <w:t>zezwoleniu</w:t>
      </w:r>
      <w:proofErr w:type="gramEnd"/>
      <w:r w:rsidRPr="00C34508">
        <w:rPr>
          <w:sz w:val="20"/>
          <w:szCs w:val="20"/>
          <w:lang w:eastAsia="en-US"/>
        </w:rPr>
        <w:t xml:space="preserve">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w:t>
            </w:r>
            <w:proofErr w:type="gramStart"/>
            <w:r w:rsidRPr="00673240">
              <w:rPr>
                <w:b/>
                <w:lang w:eastAsia="en-US"/>
              </w:rPr>
              <w:t>sytuacji</w:t>
            </w:r>
            <w:proofErr w:type="gramEnd"/>
            <w:r w:rsidRPr="00673240">
              <w:rPr>
                <w:b/>
                <w:lang w:eastAsia="en-US"/>
              </w:rPr>
              <w:t xml:space="preserve">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lastRenderedPageBreak/>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 xml:space="preserve">lub groźby jej zakłócenia, pod </w:t>
      </w:r>
      <w:proofErr w:type="gramStart"/>
      <w:r w:rsidRPr="00C34508">
        <w:rPr>
          <w:sz w:val="20"/>
          <w:szCs w:val="20"/>
          <w:lang w:eastAsia="en-US"/>
        </w:rPr>
        <w:t>warunkiem</w:t>
      </w:r>
      <w:proofErr w:type="gramEnd"/>
      <w:r w:rsidRPr="00C34508">
        <w:rPr>
          <w:sz w:val="20"/>
          <w:szCs w:val="20"/>
          <w:lang w:eastAsia="en-US"/>
        </w:rPr>
        <w:t xml:space="preserve">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proofErr w:type="gramStart"/>
      <w:r w:rsidRPr="00C34508">
        <w:rPr>
          <w:sz w:val="20"/>
          <w:szCs w:val="20"/>
          <w:lang w:eastAsia="en-US"/>
        </w:rPr>
        <w:t>d)</w:t>
      </w:r>
      <w:proofErr w:type="gramEnd"/>
      <w:r w:rsidRPr="00C34508">
        <w:rPr>
          <w:sz w:val="20"/>
          <w:szCs w:val="20"/>
          <w:lang w:eastAsia="en-US"/>
        </w:rPr>
        <w:t xml:space="preserve">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w:t>
      </w:r>
      <w:r w:rsidRPr="00C34508">
        <w:rPr>
          <w:sz w:val="20"/>
          <w:szCs w:val="20"/>
          <w:lang w:eastAsia="en-US"/>
        </w:rPr>
        <w:lastRenderedPageBreak/>
        <w:t>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40" w:name="_Toc29894930"/>
      <w:r w:rsidRPr="00E634E0">
        <w:t>B.13.2 Zakres pomocy publicznej i / lub de minimis</w:t>
      </w:r>
      <w:bookmarkEnd w:id="40"/>
    </w:p>
    <w:p w14:paraId="6871F90F" w14:textId="3E796046"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w:t>
      </w:r>
      <w:r w:rsidR="00517599">
        <w:rPr>
          <w:rFonts w:asciiTheme="minorHAnsi" w:hAnsiTheme="minorHAnsi"/>
          <w:sz w:val="20"/>
          <w:szCs w:val="20"/>
          <w:lang w:eastAsia="en-US"/>
        </w:rPr>
        <w:t xml:space="preserve"> </w:t>
      </w:r>
      <w:r w:rsidR="00B66A6E">
        <w:rPr>
          <w:rFonts w:asciiTheme="minorHAnsi" w:hAnsiTheme="minorHAnsi"/>
          <w:sz w:val="20"/>
          <w:szCs w:val="20"/>
          <w:lang w:eastAsia="en-US"/>
        </w:rPr>
        <w:t>co do zasady</w:t>
      </w:r>
      <w:r w:rsidRPr="0048237A">
        <w:rPr>
          <w:rFonts w:asciiTheme="minorHAnsi" w:hAnsiTheme="minorHAnsi"/>
          <w:sz w:val="20"/>
          <w:szCs w:val="20"/>
          <w:lang w:eastAsia="en-US"/>
        </w:rPr>
        <w:t xml:space="preserve"> nie może udzielić odpowiedzi NIE.</w:t>
      </w:r>
      <w:r w:rsidR="00B66A6E" w:rsidRPr="00B66A6E">
        <w:t xml:space="preserve"> </w:t>
      </w:r>
      <w:r w:rsidR="00B66A6E" w:rsidRPr="00B66A6E">
        <w:rPr>
          <w:rFonts w:asciiTheme="minorHAnsi" w:hAnsiTheme="minorHAnsi"/>
          <w:sz w:val="20"/>
          <w:szCs w:val="20"/>
          <w:lang w:eastAsia="en-US"/>
        </w:rPr>
        <w:t xml:space="preserve">Odpowiedź NIE, w </w:t>
      </w:r>
      <w:proofErr w:type="gramStart"/>
      <w:r w:rsidR="00B66A6E" w:rsidRPr="00B66A6E">
        <w:rPr>
          <w:rFonts w:asciiTheme="minorHAnsi" w:hAnsiTheme="minorHAnsi"/>
          <w:sz w:val="20"/>
          <w:szCs w:val="20"/>
          <w:lang w:eastAsia="en-US"/>
        </w:rPr>
        <w:t>przypadku  udzielenia</w:t>
      </w:r>
      <w:proofErr w:type="gramEnd"/>
      <w:r w:rsidR="00B66A6E" w:rsidRPr="00B66A6E">
        <w:rPr>
          <w:rFonts w:asciiTheme="minorHAnsi" w:hAnsiTheme="minorHAnsi"/>
          <w:sz w:val="20"/>
          <w:szCs w:val="20"/>
          <w:lang w:eastAsia="en-US"/>
        </w:rPr>
        <w:t xml:space="preserve"> pozytywnych odpowiedzi na wszystkie pytania w polu B.13.1, możliwa jest jedynie w przypadku, gdy projekt w całości podlega zasadom pomocy de minimis (tj. gdy jedyną podstawą udzielenia pomocy będzie pomoc de minimis).</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t>
      </w:r>
      <w:proofErr w:type="gramStart"/>
      <w:r w:rsidRPr="0048237A">
        <w:rPr>
          <w:rFonts w:asciiTheme="minorHAnsi" w:hAnsiTheme="minorHAnsi"/>
          <w:sz w:val="20"/>
          <w:szCs w:val="20"/>
          <w:lang w:eastAsia="en-US"/>
        </w:rPr>
        <w:t>właściwej  części</w:t>
      </w:r>
      <w:proofErr w:type="gramEnd"/>
      <w:r w:rsidRPr="0048237A">
        <w:rPr>
          <w:rFonts w:asciiTheme="minorHAnsi" w:hAnsiTheme="minorHAnsi"/>
          <w:sz w:val="20"/>
          <w:szCs w:val="20"/>
          <w:lang w:eastAsia="en-US"/>
        </w:rPr>
        <w:t xml:space="preserve">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lastRenderedPageBreak/>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lastRenderedPageBreak/>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mikroprzedsiębiorcom, małym i średnim przedsiębiorcom na usługi doradcze oraz udział w targach w ramach regionalnych </w:t>
            </w:r>
            <w:r w:rsidRPr="0048237A">
              <w:rPr>
                <w:rFonts w:asciiTheme="minorHAnsi" w:hAnsiTheme="minorHAnsi"/>
                <w:sz w:val="20"/>
                <w:szCs w:val="20"/>
              </w:rPr>
              <w:lastRenderedPageBreak/>
              <w:t>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I FINANSÓW1) z dnia 14 grudnia 2016 r. w sprawie udzielania pomocy na dostęp mikroprzedsiębiorców,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w:t>
      </w:r>
      <w:proofErr w:type="gramStart"/>
      <w:r w:rsidRPr="00381C64">
        <w:rPr>
          <w:rFonts w:asciiTheme="minorHAnsi" w:hAnsiTheme="minorHAnsi"/>
          <w:sz w:val="20"/>
          <w:szCs w:val="20"/>
          <w:lang w:eastAsia="en-US"/>
        </w:rPr>
        <w:t>załącznik  G.2.25</w:t>
      </w:r>
      <w:proofErr w:type="gramEnd"/>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lastRenderedPageBreak/>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w:t>
      </w:r>
      <w:proofErr w:type="gramStart"/>
      <w:r w:rsidRPr="0048237A">
        <w:rPr>
          <w:rFonts w:asciiTheme="minorHAnsi" w:hAnsiTheme="minorHAnsi"/>
          <w:sz w:val="20"/>
          <w:szCs w:val="20"/>
          <w:lang w:eastAsia="en-US"/>
        </w:rPr>
        <w:t>przedstawić</w:t>
      </w:r>
      <w:proofErr w:type="gramEnd"/>
      <w:r w:rsidRPr="0048237A">
        <w:rPr>
          <w:rFonts w:asciiTheme="minorHAnsi" w:hAnsiTheme="minorHAnsi"/>
          <w:sz w:val="20"/>
          <w:szCs w:val="20"/>
          <w:lang w:eastAsia="en-US"/>
        </w:rPr>
        <w:t xml:space="preserve">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swiadczenia UOIG)</w:t>
      </w:r>
    </w:p>
    <w:p w14:paraId="7115DBE8" w14:textId="77777777" w:rsidR="00886690" w:rsidRPr="00E634E0" w:rsidRDefault="00886690" w:rsidP="00E354DA">
      <w:pPr>
        <w:pStyle w:val="Pole"/>
      </w:pPr>
      <w:bookmarkStart w:id="41" w:name="_Toc29894931"/>
      <w:r w:rsidRPr="00E634E0">
        <w:t>B.14. Analiza techniczna – stan aktualny</w:t>
      </w:r>
      <w:bookmarkEnd w:id="41"/>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2" w:name="_Toc29894932"/>
      <w:r w:rsidRPr="00E634E0">
        <w:t>B.15. Analiza techniczna – stan projektowany</w:t>
      </w:r>
      <w:bookmarkEnd w:id="42"/>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3" w:name="_Toc29894933"/>
      <w:r w:rsidRPr="006A77EE">
        <w:t>B.16. Analiza specyficzna</w:t>
      </w:r>
      <w:bookmarkEnd w:id="43"/>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5857E2">
      <w:pPr>
        <w:pStyle w:val="Akapitzlist1"/>
        <w:tabs>
          <w:tab w:val="left" w:pos="1418"/>
        </w:tabs>
        <w:spacing w:before="120" w:after="120"/>
        <w:ind w:left="0"/>
        <w:rPr>
          <w:b/>
        </w:rPr>
      </w:pPr>
      <w:r w:rsidRPr="00E750B2">
        <w:rPr>
          <w:b/>
        </w:rPr>
        <w:t xml:space="preserve">W </w:t>
      </w:r>
      <w:proofErr w:type="gramStart"/>
      <w:r w:rsidRPr="00E750B2">
        <w:rPr>
          <w:b/>
        </w:rPr>
        <w:t>przypadku</w:t>
      </w:r>
      <w:proofErr w:type="gramEnd"/>
      <w:r w:rsidRPr="00E750B2">
        <w:rPr>
          <w:b/>
        </w:rPr>
        <w:t xml:space="preserve">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r w:rsidRPr="0033046D">
        <w:rPr>
          <w:highlight w:val="yellow"/>
        </w:rPr>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01733474" w:rsidR="00AF2083"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3BB0006F" w14:textId="17878883" w:rsidR="006E510D" w:rsidRDefault="006E510D" w:rsidP="00AF2083">
      <w:pPr>
        <w:pStyle w:val="Akapitzlist1"/>
        <w:tabs>
          <w:tab w:val="left" w:pos="1418"/>
        </w:tabs>
        <w:spacing w:before="120" w:after="120"/>
        <w:ind w:left="0"/>
        <w:jc w:val="both"/>
        <w:rPr>
          <w:rFonts w:asciiTheme="minorHAnsi" w:hAnsiTheme="minorHAnsi" w:cstheme="minorHAnsi"/>
          <w:b/>
          <w:color w:val="000000"/>
          <w:u w:val="single"/>
        </w:rPr>
      </w:pPr>
    </w:p>
    <w:p w14:paraId="2A4167C0" w14:textId="77777777" w:rsidR="0033046D" w:rsidRPr="0033046D" w:rsidRDefault="0033046D" w:rsidP="0033046D">
      <w:pPr>
        <w:pStyle w:val="Akapitzlist1"/>
        <w:tabs>
          <w:tab w:val="left" w:pos="1134"/>
        </w:tabs>
        <w:spacing w:before="120" w:after="120"/>
        <w:ind w:left="0"/>
        <w:jc w:val="both"/>
      </w:pPr>
      <w:r w:rsidRPr="0033046D">
        <w:rPr>
          <w:b/>
          <w:bCs/>
        </w:rPr>
        <w:t xml:space="preserve">ANALIZA SPECYFICZNA DLA DZIAŁANIA </w:t>
      </w:r>
      <w:proofErr w:type="gramStart"/>
      <w:r w:rsidRPr="0033046D">
        <w:rPr>
          <w:b/>
          <w:bCs/>
        </w:rPr>
        <w:t>10.2 :</w:t>
      </w:r>
      <w:proofErr w:type="gramEnd"/>
      <w:r w:rsidRPr="0033046D">
        <w:rPr>
          <w:b/>
          <w:bCs/>
        </w:rPr>
        <w:t xml:space="preserve"> </w:t>
      </w:r>
    </w:p>
    <w:p w14:paraId="2A35E799" w14:textId="77777777" w:rsidR="0033046D" w:rsidRPr="0033046D" w:rsidRDefault="0033046D" w:rsidP="0033046D">
      <w:pPr>
        <w:pStyle w:val="Akapitzlist1"/>
        <w:tabs>
          <w:tab w:val="left" w:pos="1134"/>
        </w:tabs>
        <w:spacing w:before="120" w:after="120"/>
        <w:ind w:left="0"/>
        <w:jc w:val="both"/>
      </w:pPr>
      <w:r w:rsidRPr="0033046D">
        <w:rPr>
          <w:b/>
          <w:bCs/>
        </w:rPr>
        <w:t xml:space="preserve">Ważne: </w:t>
      </w:r>
    </w:p>
    <w:p w14:paraId="7102B0EB" w14:textId="77777777" w:rsidR="0033046D" w:rsidRPr="0033046D" w:rsidRDefault="0033046D" w:rsidP="0033046D">
      <w:pPr>
        <w:pStyle w:val="Akapitzlist1"/>
        <w:tabs>
          <w:tab w:val="left" w:pos="1134"/>
        </w:tabs>
        <w:spacing w:before="120" w:after="120"/>
        <w:ind w:left="0"/>
        <w:jc w:val="both"/>
      </w:pPr>
      <w:r w:rsidRPr="0033046D">
        <w:rPr>
          <w:b/>
          <w:bCs/>
        </w:rPr>
        <w:t xml:space="preserve">Wykazując wskaźniki produktu (część F wniosku) należy pamiętać, że: </w:t>
      </w:r>
    </w:p>
    <w:p w14:paraId="0F4A2D7F" w14:textId="77777777" w:rsidR="0033046D" w:rsidRPr="0033046D" w:rsidRDefault="0033046D" w:rsidP="0033046D">
      <w:pPr>
        <w:pStyle w:val="Akapitzlist1"/>
        <w:tabs>
          <w:tab w:val="left" w:pos="1134"/>
        </w:tabs>
        <w:spacing w:before="120" w:after="120"/>
        <w:ind w:left="0"/>
        <w:jc w:val="both"/>
      </w:pPr>
      <w:r w:rsidRPr="0033046D">
        <w:rPr>
          <w:b/>
          <w:bCs/>
        </w:rPr>
        <w:t xml:space="preserve">- wskaźniki: </w:t>
      </w:r>
      <w:r w:rsidRPr="0033046D">
        <w:rPr>
          <w:b/>
          <w:bCs/>
          <w:i/>
          <w:iCs/>
        </w:rPr>
        <w:t xml:space="preserve">Liczba wybudowanych obiektów, w których realizowane są usługi aktywizacji społeczno-zawodowej </w:t>
      </w:r>
      <w:r w:rsidRPr="0033046D">
        <w:rPr>
          <w:b/>
          <w:bCs/>
        </w:rPr>
        <w:t xml:space="preserve">oraz </w:t>
      </w:r>
      <w:r w:rsidRPr="0033046D">
        <w:rPr>
          <w:b/>
          <w:bCs/>
          <w:i/>
          <w:iCs/>
        </w:rPr>
        <w:t>Liczba przebudowanych obiektów, w których realizowane są usługi aktywizacji społeczno-zawodowej</w:t>
      </w:r>
      <w:r w:rsidRPr="0033046D">
        <w:rPr>
          <w:b/>
          <w:bCs/>
        </w:rPr>
        <w:t xml:space="preserve">, należy wykazać przy realizacji projektu typu 1. oraz przy realizacji projektu typu 2.; </w:t>
      </w:r>
    </w:p>
    <w:p w14:paraId="2BC01A02" w14:textId="23780A9A" w:rsidR="0033046D" w:rsidRDefault="0033046D" w:rsidP="0033046D">
      <w:pPr>
        <w:pStyle w:val="Akapitzlist1"/>
        <w:tabs>
          <w:tab w:val="left" w:pos="1134"/>
        </w:tabs>
        <w:spacing w:before="120" w:after="120"/>
        <w:ind w:left="0"/>
        <w:jc w:val="both"/>
        <w:rPr>
          <w:b/>
          <w:bCs/>
        </w:rPr>
      </w:pPr>
      <w:r w:rsidRPr="0033046D">
        <w:rPr>
          <w:b/>
          <w:bCs/>
        </w:rPr>
        <w:t xml:space="preserve">- wskaźnik: </w:t>
      </w:r>
      <w:r w:rsidRPr="0033046D">
        <w:rPr>
          <w:b/>
          <w:bCs/>
          <w:i/>
          <w:iCs/>
        </w:rPr>
        <w:t xml:space="preserve">Liczba nowo utworzonych mieszkań w istniejących budynkach, </w:t>
      </w:r>
      <w:r w:rsidRPr="0033046D">
        <w:rPr>
          <w:b/>
          <w:bCs/>
        </w:rPr>
        <w:t xml:space="preserve">należy wykazać przy realizacji projektu typu 1. </w:t>
      </w:r>
    </w:p>
    <w:p w14:paraId="4F3B73FC" w14:textId="77777777" w:rsidR="0033046D" w:rsidRPr="0033046D" w:rsidRDefault="0033046D" w:rsidP="0033046D">
      <w:pPr>
        <w:pStyle w:val="Akapitzlist1"/>
        <w:tabs>
          <w:tab w:val="left" w:pos="1134"/>
        </w:tabs>
        <w:spacing w:before="120" w:after="120"/>
        <w:ind w:left="0"/>
        <w:jc w:val="both"/>
      </w:pPr>
    </w:p>
    <w:p w14:paraId="03B29366" w14:textId="77777777" w:rsidR="0033046D" w:rsidRPr="0033046D" w:rsidRDefault="0033046D" w:rsidP="0033046D">
      <w:pPr>
        <w:pStyle w:val="Akapitzlist1"/>
        <w:tabs>
          <w:tab w:val="left" w:pos="1134"/>
        </w:tabs>
        <w:spacing w:before="120" w:after="120"/>
        <w:ind w:left="0"/>
        <w:jc w:val="both"/>
      </w:pPr>
      <w:r w:rsidRPr="0033046D">
        <w:rPr>
          <w:b/>
          <w:bCs/>
        </w:rPr>
        <w:t xml:space="preserve">W przypadku prowadzenia w jednym obiekcie zarówno robót budowlanych dotyczących budowy (rozumianej jako wykonanie obiektu budowlanego w określonym miejscu, a także odbudowę, rozbudowę, nadbudowę obiektu budowlanego) oraz przebudowy (remontu) obiektu, we wniosku o dofinansowanie należy wykazać tylko jeden wskaźnik, tj.: </w:t>
      </w:r>
    </w:p>
    <w:p w14:paraId="74CD6D45" w14:textId="77777777" w:rsidR="0033046D" w:rsidRPr="0033046D" w:rsidRDefault="0033046D" w:rsidP="0033046D">
      <w:pPr>
        <w:pStyle w:val="Akapitzlist1"/>
        <w:tabs>
          <w:tab w:val="left" w:pos="1134"/>
        </w:tabs>
        <w:spacing w:before="120" w:after="120"/>
        <w:ind w:left="0"/>
        <w:jc w:val="both"/>
      </w:pPr>
      <w:r w:rsidRPr="0033046D">
        <w:rPr>
          <w:b/>
          <w:bCs/>
        </w:rPr>
        <w:t xml:space="preserve">- </w:t>
      </w:r>
      <w:r w:rsidRPr="0033046D">
        <w:rPr>
          <w:b/>
          <w:bCs/>
          <w:i/>
          <w:iCs/>
        </w:rPr>
        <w:t xml:space="preserve">Liczba wybudowanych obiektów, w których realizowane są usługi aktywizacji społeczno-zawodowej (obligatoryjny) </w:t>
      </w:r>
    </w:p>
    <w:p w14:paraId="07E5D945" w14:textId="77777777" w:rsidR="0033046D" w:rsidRPr="0033046D" w:rsidRDefault="0033046D" w:rsidP="0033046D">
      <w:pPr>
        <w:pStyle w:val="Akapitzlist1"/>
        <w:tabs>
          <w:tab w:val="left" w:pos="1134"/>
        </w:tabs>
        <w:spacing w:before="120" w:after="120"/>
        <w:ind w:left="0"/>
        <w:jc w:val="both"/>
      </w:pPr>
      <w:r w:rsidRPr="0033046D">
        <w:rPr>
          <w:b/>
          <w:bCs/>
        </w:rPr>
        <w:t xml:space="preserve">lub </w:t>
      </w:r>
    </w:p>
    <w:p w14:paraId="17CCE072" w14:textId="6CDFFBF1" w:rsidR="0033046D" w:rsidRDefault="0033046D" w:rsidP="0033046D">
      <w:pPr>
        <w:pStyle w:val="Akapitzlist1"/>
        <w:tabs>
          <w:tab w:val="left" w:pos="1134"/>
        </w:tabs>
        <w:spacing w:before="120" w:after="120"/>
        <w:ind w:left="0"/>
        <w:jc w:val="both"/>
        <w:rPr>
          <w:b/>
          <w:bCs/>
          <w:i/>
          <w:iCs/>
        </w:rPr>
      </w:pPr>
      <w:r w:rsidRPr="0033046D">
        <w:rPr>
          <w:b/>
          <w:bCs/>
        </w:rPr>
        <w:t xml:space="preserve">- </w:t>
      </w:r>
      <w:r w:rsidRPr="0033046D">
        <w:rPr>
          <w:b/>
          <w:bCs/>
          <w:i/>
          <w:iCs/>
        </w:rPr>
        <w:t xml:space="preserve">Liczba przebudowanych obiektów, w których realizowane są usługi aktywizacji społeczno-zawodowej (obligatoryjny). </w:t>
      </w:r>
    </w:p>
    <w:p w14:paraId="67D133A6" w14:textId="77777777" w:rsidR="0033046D" w:rsidRPr="0033046D" w:rsidRDefault="0033046D" w:rsidP="0033046D">
      <w:pPr>
        <w:pStyle w:val="Akapitzlist1"/>
        <w:tabs>
          <w:tab w:val="left" w:pos="1134"/>
        </w:tabs>
        <w:spacing w:before="120" w:after="120"/>
        <w:ind w:left="0"/>
        <w:jc w:val="both"/>
      </w:pPr>
    </w:p>
    <w:p w14:paraId="29CB279E" w14:textId="09C2B66B" w:rsidR="0033046D" w:rsidRDefault="0033046D" w:rsidP="0033046D">
      <w:pPr>
        <w:pStyle w:val="Akapitzlist1"/>
        <w:tabs>
          <w:tab w:val="left" w:pos="1134"/>
        </w:tabs>
        <w:spacing w:before="120" w:after="120"/>
        <w:ind w:left="0"/>
        <w:jc w:val="both"/>
        <w:rPr>
          <w:b/>
          <w:bCs/>
        </w:rPr>
      </w:pPr>
      <w:r w:rsidRPr="0033046D">
        <w:rPr>
          <w:b/>
          <w:bCs/>
        </w:rPr>
        <w:t xml:space="preserve">Wyboru wskaźnika dokonuje wnioskodawca np. poprzez ustalenie, na który wskaźnik przypada większość kosztów robót budowlanych dotyczących obiektu. </w:t>
      </w:r>
    </w:p>
    <w:p w14:paraId="0DDCE54A" w14:textId="77777777" w:rsidR="0033046D" w:rsidRPr="0033046D" w:rsidRDefault="0033046D" w:rsidP="0033046D">
      <w:pPr>
        <w:pStyle w:val="Akapitzlist1"/>
        <w:tabs>
          <w:tab w:val="left" w:pos="1134"/>
        </w:tabs>
        <w:spacing w:before="120" w:after="120"/>
        <w:ind w:left="0"/>
        <w:jc w:val="both"/>
      </w:pPr>
    </w:p>
    <w:p w14:paraId="71BBA6B2" w14:textId="206349CC" w:rsidR="0033046D" w:rsidRDefault="0033046D" w:rsidP="0033046D">
      <w:pPr>
        <w:pStyle w:val="Akapitzlist1"/>
        <w:tabs>
          <w:tab w:val="left" w:pos="1134"/>
        </w:tabs>
        <w:spacing w:before="120" w:after="120"/>
        <w:ind w:left="0"/>
        <w:jc w:val="both"/>
        <w:rPr>
          <w:b/>
          <w:bCs/>
          <w:i/>
          <w:iCs/>
        </w:rPr>
      </w:pPr>
      <w:r w:rsidRPr="0033046D">
        <w:rPr>
          <w:b/>
          <w:bCs/>
        </w:rPr>
        <w:t xml:space="preserve">Wskaźnikiem agregującym wartości ww. wskaźników jest wskaźnik </w:t>
      </w:r>
      <w:r w:rsidRPr="0033046D">
        <w:rPr>
          <w:b/>
          <w:bCs/>
          <w:i/>
          <w:iCs/>
        </w:rPr>
        <w:t xml:space="preserve">Liczba wspartych obiektów, w których realizowane są usługi aktywizacji społeczno-zawodowej. </w:t>
      </w:r>
    </w:p>
    <w:p w14:paraId="1C12E437" w14:textId="77777777" w:rsidR="0033046D" w:rsidRPr="0033046D" w:rsidRDefault="0033046D" w:rsidP="0033046D">
      <w:pPr>
        <w:pStyle w:val="Akapitzlist1"/>
        <w:tabs>
          <w:tab w:val="left" w:pos="1134"/>
        </w:tabs>
        <w:spacing w:before="120" w:after="120"/>
        <w:ind w:left="0"/>
        <w:jc w:val="both"/>
      </w:pPr>
    </w:p>
    <w:p w14:paraId="46F6F3C0" w14:textId="0F587055" w:rsidR="0033046D" w:rsidRDefault="0033046D" w:rsidP="0033046D">
      <w:pPr>
        <w:pStyle w:val="Akapitzlist1"/>
        <w:tabs>
          <w:tab w:val="left" w:pos="1134"/>
        </w:tabs>
        <w:spacing w:before="120" w:after="120"/>
        <w:ind w:left="0"/>
        <w:jc w:val="both"/>
      </w:pPr>
      <w:r w:rsidRPr="0033046D">
        <w:t xml:space="preserve">Realizacja projektów w ramach przedmiotowego działania jest uzależniona od realizacji projektu z zakresu usług, o których mowa w Rozdziale 3 Wytycznych w zakresie realizacji przedsięwzięć w obszarze włączenia społecznego i zwalczania ubóstwa z wykorzystaniem środków Europejskiego Funduszu Społecznego i Europejskiego Funduszu Rozwoju Regionalnego na lata 2014-2020, a dotyczących określonej grupy społecznej. Wsparcie inwestycyjne projektów z EFRR ma charakter uzupełniający (dodatkowy) i możliwe będzie wyłącznie w powiązaniu z działaniami realizowanymi z EFS lub działaniami, których cele są zgodne z celami EFS w zakresie włączenia społecznego i walki z ubóstwem/ wzmocnienia potencjału edukacyjnego rozumianymi w sposób określony w RPO WSL, które pełnią rolę wiodącą względem EFRR. </w:t>
      </w:r>
    </w:p>
    <w:p w14:paraId="4EDA3842" w14:textId="77777777" w:rsidR="0033046D" w:rsidRPr="0033046D" w:rsidRDefault="0033046D" w:rsidP="0033046D">
      <w:pPr>
        <w:pStyle w:val="Akapitzlist1"/>
        <w:tabs>
          <w:tab w:val="left" w:pos="1134"/>
        </w:tabs>
        <w:spacing w:before="120" w:after="120"/>
        <w:ind w:left="0"/>
        <w:jc w:val="both"/>
      </w:pPr>
    </w:p>
    <w:p w14:paraId="0AF1D49C" w14:textId="63432CBC" w:rsidR="0033046D" w:rsidRPr="0033046D" w:rsidRDefault="0033046D" w:rsidP="0033046D">
      <w:pPr>
        <w:pStyle w:val="Akapitzlist1"/>
        <w:tabs>
          <w:tab w:val="left" w:pos="1134"/>
        </w:tabs>
        <w:spacing w:before="120" w:after="120"/>
        <w:ind w:left="0"/>
        <w:jc w:val="both"/>
      </w:pPr>
      <w:r w:rsidRPr="0033046D">
        <w:t xml:space="preserve">Ponadto w zamierzeniach tego działania IZ RPO WSL 2014 – 2020 zakłada deinstytucjonalizację usług społecznych tj. procesu przejścia od opieki instytucjonalnej do usług świadczonych w lokalnej społeczności i wymagający z jednej strony rozwoju usług świadczonych w lokalnej społeczności, z drugiej – stopniowego ograniczenia usług w ramach opieki instytucjonalnej. Integralnym elementem deinstytucjonalizacji usług jest prewencja, mająca zapobiegać umieszczaniu osób w opiece instytucjonalnej, a w przypadku dzieci - rozdzieleniu dziecka z rodziną i umieszczeniu w pieczy zastępczej. </w:t>
      </w:r>
    </w:p>
    <w:p w14:paraId="7A761F90" w14:textId="77777777" w:rsidR="0033046D" w:rsidRPr="0033046D" w:rsidRDefault="0033046D" w:rsidP="0033046D">
      <w:pPr>
        <w:pStyle w:val="Akapitzlist1"/>
        <w:tabs>
          <w:tab w:val="left" w:pos="1134"/>
        </w:tabs>
        <w:spacing w:before="120" w:after="120"/>
        <w:ind w:left="0"/>
        <w:jc w:val="both"/>
      </w:pPr>
    </w:p>
    <w:p w14:paraId="20A5CEAD" w14:textId="3DF6569B" w:rsidR="0033046D" w:rsidRDefault="0033046D" w:rsidP="0033046D">
      <w:pPr>
        <w:pStyle w:val="Akapitzlist1"/>
        <w:tabs>
          <w:tab w:val="left" w:pos="1134"/>
        </w:tabs>
        <w:spacing w:before="120" w:after="120"/>
        <w:ind w:left="0"/>
        <w:jc w:val="both"/>
      </w:pPr>
      <w:r w:rsidRPr="0033046D">
        <w:t xml:space="preserve">Inwestycje EFRR nie będą ukierunkowane na duże instytucje o charakterze opiekuńczo-pobytowym, zdefiniowane zgodnie z polskim prawodawstwem, świadczące usługi długoterminowej pomocy dla osób niepełnosprawnych, dzieci, osób starszych oraz psychicznie chorych. </w:t>
      </w:r>
    </w:p>
    <w:p w14:paraId="2E654962" w14:textId="77777777" w:rsidR="0033046D" w:rsidRPr="0033046D" w:rsidRDefault="0033046D" w:rsidP="0033046D">
      <w:pPr>
        <w:pStyle w:val="Akapitzlist1"/>
        <w:tabs>
          <w:tab w:val="left" w:pos="1134"/>
        </w:tabs>
        <w:spacing w:before="120" w:after="120"/>
        <w:ind w:left="0"/>
        <w:jc w:val="both"/>
      </w:pPr>
    </w:p>
    <w:p w14:paraId="13F683F7" w14:textId="6DA5A715" w:rsidR="0033046D" w:rsidRDefault="0033046D" w:rsidP="0033046D">
      <w:pPr>
        <w:pStyle w:val="Akapitzlist1"/>
        <w:tabs>
          <w:tab w:val="left" w:pos="1134"/>
        </w:tabs>
        <w:spacing w:before="120" w:after="120"/>
        <w:ind w:left="0"/>
        <w:jc w:val="both"/>
      </w:pPr>
      <w:r w:rsidRPr="0033046D">
        <w:t xml:space="preserve">W odniesieniu do kryterium merytorycznego dodatkowego pn. opis rozlokowania mieszkań wspomaganych/chronionych/socjalnych IZ RPO WSL 2014 – 2020 będzie przyznawać dodatkową punktację w przypadku, gdy w ani jednym budynku objętym projektem powierzchnia wszystkich mieszkań socjalnych/chronionych/wspomaganych nie przekroczy 50% powierzchni całkowitej. Powyższe stanowisko wychodzi naprzeciw oczekiwaniom Komisji Europejskiej w zakresie przeciwdziałania procesem segregacji przestrzennej (tzw. zjawisko gettoizacji), o którym mowa w Wytycznych w zakresie wykorzystania EFSI w celu walki z segregacją przestrzenną oraz w dziedzinie nauki. </w:t>
      </w:r>
    </w:p>
    <w:p w14:paraId="0707C4C6" w14:textId="77777777" w:rsidR="0033046D" w:rsidRPr="0033046D" w:rsidRDefault="0033046D" w:rsidP="0033046D">
      <w:pPr>
        <w:pStyle w:val="Akapitzlist1"/>
        <w:tabs>
          <w:tab w:val="left" w:pos="1134"/>
        </w:tabs>
        <w:spacing w:before="120" w:after="120"/>
        <w:ind w:left="0"/>
        <w:jc w:val="both"/>
      </w:pPr>
    </w:p>
    <w:p w14:paraId="73314849" w14:textId="5EDB0E75" w:rsidR="0033046D" w:rsidRDefault="0033046D" w:rsidP="0033046D">
      <w:pPr>
        <w:pStyle w:val="Akapitzlist1"/>
        <w:tabs>
          <w:tab w:val="left" w:pos="1134"/>
        </w:tabs>
        <w:spacing w:before="120" w:after="120"/>
        <w:ind w:left="0"/>
        <w:jc w:val="both"/>
      </w:pPr>
      <w:r w:rsidRPr="0033046D">
        <w:t xml:space="preserve">CENTRA USŁUG SPOŁECZNOŚCIOWYCH/MIESZKALNICTWO SOCJALNE/WSPOMAGANE/CHRONIONE </w:t>
      </w:r>
    </w:p>
    <w:p w14:paraId="14C69545" w14:textId="77777777" w:rsidR="0033046D" w:rsidRPr="0033046D" w:rsidRDefault="0033046D" w:rsidP="0033046D">
      <w:pPr>
        <w:pStyle w:val="Akapitzlist1"/>
        <w:tabs>
          <w:tab w:val="left" w:pos="1134"/>
        </w:tabs>
        <w:spacing w:before="120" w:after="120"/>
        <w:ind w:left="0"/>
        <w:jc w:val="both"/>
      </w:pPr>
    </w:p>
    <w:p w14:paraId="7A9EFF59" w14:textId="77777777" w:rsidR="0033046D" w:rsidRDefault="0033046D" w:rsidP="0033046D">
      <w:pPr>
        <w:pStyle w:val="Akapitzlist1"/>
        <w:tabs>
          <w:tab w:val="left" w:pos="1134"/>
        </w:tabs>
        <w:spacing w:before="120" w:after="120"/>
        <w:ind w:left="0"/>
        <w:jc w:val="both"/>
      </w:pPr>
      <w:r w:rsidRPr="0033046D">
        <w:t>W ramach przedmiotowego działania możliwa będzie aktywizacja osób wymagających wsparcia poprzez dostosowanie budynków do pełnienia funkcji centrów usług dla społeczności, wraz z zakupem wyposażenia niezbędnego do ich prawidłowego funkcjonowania. Centra usług społecznościowych to infrastruktura mieszcząca się w kategorii infrastruktury społecznej, a więc infrastruktury związanej ze świadczeniem usług socjalnych w interesie ogólnym przez sektor publiczny bezpośrednio obywatelom lub za pomocą podmiotów prywatnych. Centra te staną się miejscem spotkań, zdobywania wiedzy oraz aktywizacji społecznej, zaspokajając tym samym potrzeby lokalnej społeczności, często dotkniętej dysfunkcjami i patologiami społecznymi. Wymaga to spójnego i wielowymiarowego podejścia do zwiększania dostępu do podstawowych usług społecznych, w tym socjalnych, edukacyjnych, opiekuńczych i doradczych, warunkujących prawidłowe funkcjonowanie społeczeństwa. Zintegrowane wykorzystanie wsparcia jest szczególnie istotne w odniesieniu do terytorialnej koncentracji problemów, dlatego pożądane będą działania przyjmujące formę przedsięwzięć odpowiadających kompleksowo na potrzeby grup wykluczonych w zakresie ich aktywizacji, które będą miały charakter długofalowego organizowania społeczności lokalnej. Obok centrów usług społecznościowych w ramach tego podziałania przewiduje się wsparcie kierowane dla mieszkalnictwa socjalnego/chronionego/wspomaganego mieszczącego się również w kategorii infrastruktury społecznej. Tego rodzaju wsparcie stanowić będzie alternatywę dla domów pomocy społecznej i innych zakładów opieki, systemu wspierania osób, które ze względu na swoją sytuacje życiową, wymagają pomocy w codziennym całodobowym funkcjonowaniu. Powyższe działania kieruje się do osób lub rodzin zagrożonych ubóstwem lub wykluczeniem społecznym, o których mowa w Rozdziale 3 ww. Wytycznych.</w:t>
      </w:r>
    </w:p>
    <w:p w14:paraId="44AF0324" w14:textId="02BF2945" w:rsidR="0033046D" w:rsidRPr="0033046D" w:rsidRDefault="0033046D" w:rsidP="0033046D">
      <w:pPr>
        <w:pStyle w:val="Akapitzlist1"/>
        <w:tabs>
          <w:tab w:val="left" w:pos="1134"/>
        </w:tabs>
        <w:spacing w:before="120" w:after="120"/>
        <w:ind w:left="0"/>
        <w:jc w:val="both"/>
      </w:pPr>
      <w:r w:rsidRPr="0033046D">
        <w:t xml:space="preserve"> </w:t>
      </w:r>
    </w:p>
    <w:p w14:paraId="09186834" w14:textId="4A609086" w:rsidR="0033046D" w:rsidRDefault="0033046D" w:rsidP="0033046D">
      <w:pPr>
        <w:pStyle w:val="Akapitzlist1"/>
        <w:tabs>
          <w:tab w:val="left" w:pos="1134"/>
        </w:tabs>
        <w:spacing w:before="120" w:after="120"/>
        <w:ind w:left="0"/>
        <w:jc w:val="both"/>
      </w:pPr>
      <w:r w:rsidRPr="0033046D">
        <w:t xml:space="preserve">Przeprowadzenie analizy specyficznej powinno obejmować część diagnostyczną. </w:t>
      </w:r>
    </w:p>
    <w:p w14:paraId="7595525F" w14:textId="77777777" w:rsidR="0033046D" w:rsidRPr="0033046D" w:rsidRDefault="0033046D" w:rsidP="0033046D">
      <w:pPr>
        <w:pStyle w:val="Akapitzlist1"/>
        <w:tabs>
          <w:tab w:val="left" w:pos="1134"/>
        </w:tabs>
        <w:spacing w:before="120" w:after="120"/>
        <w:ind w:left="0"/>
        <w:jc w:val="both"/>
      </w:pPr>
    </w:p>
    <w:p w14:paraId="08624A7E" w14:textId="1FB138DB" w:rsidR="0033046D" w:rsidRDefault="0033046D" w:rsidP="0033046D">
      <w:pPr>
        <w:pStyle w:val="Akapitzlist1"/>
        <w:tabs>
          <w:tab w:val="left" w:pos="1134"/>
        </w:tabs>
        <w:spacing w:before="120" w:after="120"/>
        <w:ind w:left="0"/>
        <w:jc w:val="both"/>
      </w:pPr>
      <w:r w:rsidRPr="0033046D">
        <w:t xml:space="preserve">Ze względu na typ projektu Wnioskodawca powinien opisać problem niedoboru mieszkań wspomaganych/ chronionych/socjalnych i/lub centrów usług społecznościowych jaki wynika z przeprowadzonej przez wnioskodawcę diagnozy. </w:t>
      </w:r>
    </w:p>
    <w:p w14:paraId="6CDEFA1B" w14:textId="77777777" w:rsidR="0033046D" w:rsidRPr="0033046D" w:rsidRDefault="0033046D" w:rsidP="0033046D">
      <w:pPr>
        <w:pStyle w:val="Akapitzlist1"/>
        <w:tabs>
          <w:tab w:val="left" w:pos="1134"/>
        </w:tabs>
        <w:spacing w:before="120" w:after="120"/>
        <w:ind w:left="0"/>
        <w:jc w:val="both"/>
      </w:pPr>
    </w:p>
    <w:p w14:paraId="3DD06EB5" w14:textId="1797BEEE" w:rsidR="0033046D" w:rsidRDefault="0033046D" w:rsidP="0033046D">
      <w:pPr>
        <w:pStyle w:val="Akapitzlist1"/>
        <w:numPr>
          <w:ilvl w:val="0"/>
          <w:numId w:val="59"/>
        </w:numPr>
        <w:tabs>
          <w:tab w:val="left" w:pos="1134"/>
        </w:tabs>
        <w:spacing w:before="120" w:after="120"/>
        <w:jc w:val="both"/>
      </w:pPr>
      <w:r w:rsidRPr="0033046D">
        <w:t xml:space="preserve">Diagnoza zawiera co najmniej: </w:t>
      </w:r>
    </w:p>
    <w:p w14:paraId="68DE3406" w14:textId="77777777" w:rsidR="0033046D" w:rsidRPr="0033046D" w:rsidRDefault="0033046D" w:rsidP="0033046D">
      <w:pPr>
        <w:pStyle w:val="Akapitzlist1"/>
        <w:tabs>
          <w:tab w:val="left" w:pos="1134"/>
        </w:tabs>
        <w:spacing w:before="120" w:after="120"/>
        <w:ind w:left="5040"/>
        <w:jc w:val="both"/>
      </w:pPr>
    </w:p>
    <w:p w14:paraId="0033F2AB" w14:textId="77777777" w:rsidR="0033046D" w:rsidRPr="0033046D" w:rsidRDefault="0033046D" w:rsidP="0033046D">
      <w:pPr>
        <w:pStyle w:val="Akapitzlist1"/>
        <w:tabs>
          <w:tab w:val="left" w:pos="1134"/>
        </w:tabs>
        <w:spacing w:before="120" w:after="120"/>
        <w:ind w:left="0"/>
        <w:jc w:val="both"/>
      </w:pPr>
      <w:r w:rsidRPr="0033046D">
        <w:lastRenderedPageBreak/>
        <w:t xml:space="preserve">1) Przyczyny zjawiska związanego z problemem niedoboru usług społecznych, która pozwoli zidentyfikować grupę docelową, korzystającą z realizowanego projektu (przykładowy katalog przyczyn związanych z występowaniem przedmiotowego zjawiska: zaburzenia związane z pozostawaniem bez pracy, zaburzenia psychiczne i lękowe, alkoholizm, negatywny wpływ środowiska, samotność) – szczegółowe informacje na temat tych przyczyn z powodzeniem może dostarczyć np. Poradnik dotyczący realizacji wsparcia dla osób wykluczonych społecznie oraz zagrożonych wykluczeniem społecznym w ramach Programu Operacyjnego Kapitał Ludzki - opracowany przez Ministerstwo Rozwoju Regionalnego (Warszawa 2010). </w:t>
      </w:r>
    </w:p>
    <w:p w14:paraId="0BE09046" w14:textId="1E182BD3" w:rsidR="0033046D" w:rsidRDefault="0033046D" w:rsidP="0033046D">
      <w:pPr>
        <w:pStyle w:val="Akapitzlist1"/>
        <w:tabs>
          <w:tab w:val="left" w:pos="1134"/>
        </w:tabs>
        <w:spacing w:before="120" w:after="120"/>
        <w:ind w:left="0"/>
        <w:jc w:val="both"/>
      </w:pPr>
      <w:r w:rsidRPr="0033046D">
        <w:t xml:space="preserve">2) Zdefiniowanie profili osób składających się na grupę docelową. Typowanie grupy docelowej powinno opierać się na doborze cech i kryteriów społecznych, np. wieku, płci, miejsca zamieszkania, wykształcenia, liczby dzieci czy stanu posiadania. Zbiór osób będących potencjalnymi odbiorcami określonych usług może </w:t>
      </w:r>
      <w:proofErr w:type="gramStart"/>
      <w:r w:rsidRPr="0033046D">
        <w:t xml:space="preserve">być </w:t>
      </w:r>
      <w:r>
        <w:t xml:space="preserve"> </w:t>
      </w:r>
      <w:r w:rsidRPr="0033046D">
        <w:t>zróżnicowany</w:t>
      </w:r>
      <w:proofErr w:type="gramEnd"/>
      <w:r w:rsidRPr="0033046D">
        <w:t xml:space="preserve"> lub jednorodny, w zależności od wyników przeprowadzonej uprzednio analizy przyczyn zjawiska związanego z problemem niedoboru usług społecznych zidentyfikowanych na obszarze oddziaływania projektu. </w:t>
      </w:r>
    </w:p>
    <w:p w14:paraId="2056116D" w14:textId="77777777" w:rsidR="0033046D" w:rsidRPr="0033046D" w:rsidRDefault="0033046D" w:rsidP="0033046D">
      <w:pPr>
        <w:pStyle w:val="Akapitzlist1"/>
        <w:tabs>
          <w:tab w:val="left" w:pos="1134"/>
        </w:tabs>
        <w:spacing w:before="120" w:after="120"/>
        <w:ind w:left="0"/>
        <w:jc w:val="both"/>
      </w:pPr>
    </w:p>
    <w:p w14:paraId="410B7717" w14:textId="20FD7487" w:rsidR="0033046D" w:rsidRDefault="0033046D" w:rsidP="0033046D">
      <w:pPr>
        <w:pStyle w:val="Akapitzlist1"/>
        <w:tabs>
          <w:tab w:val="left" w:pos="1134"/>
        </w:tabs>
        <w:spacing w:before="120" w:after="120"/>
        <w:ind w:left="0"/>
        <w:jc w:val="both"/>
      </w:pPr>
      <w:r w:rsidRPr="0033046D">
        <w:t xml:space="preserve">3) Określenie i opisanie metody analizy i diagnozy potrzeb grupy docelowej (z wykorzystaniem co najmniej metody ilościowej): </w:t>
      </w:r>
    </w:p>
    <w:p w14:paraId="366C1FDC" w14:textId="77777777" w:rsidR="0033046D" w:rsidRPr="0033046D" w:rsidRDefault="0033046D" w:rsidP="0033046D">
      <w:pPr>
        <w:pStyle w:val="Akapitzlist1"/>
        <w:tabs>
          <w:tab w:val="left" w:pos="1134"/>
        </w:tabs>
        <w:spacing w:before="120" w:after="120"/>
        <w:ind w:left="0"/>
        <w:jc w:val="both"/>
      </w:pPr>
    </w:p>
    <w:p w14:paraId="73C71C7C" w14:textId="77777777" w:rsidR="0033046D" w:rsidRDefault="0033046D" w:rsidP="0033046D">
      <w:pPr>
        <w:pStyle w:val="Akapitzlist1"/>
        <w:numPr>
          <w:ilvl w:val="0"/>
          <w:numId w:val="60"/>
        </w:numPr>
        <w:tabs>
          <w:tab w:val="left" w:pos="1134"/>
        </w:tabs>
        <w:spacing w:before="120" w:after="120"/>
        <w:jc w:val="both"/>
      </w:pPr>
      <w:r w:rsidRPr="0033046D">
        <w:t xml:space="preserve">Metoda ilościowa - badanie cech mierzalnych, charakteryzujących dane zjawisko lub obiekt badań poprzez wykorzystywanie odpowiednich parametrów liczbowych (zmiennych). W badaniach ilościowych wykorzystuje się zazwyczaj duże próby, a wyniki można generalizować na obszar oddziaływania projektu. Wyniki mogą być prezentowane w postaci zestawień, różnego rodzaju statystyk opisowych, których celem jest podsumowanie zbioru danych i wyciągnięcie pewnych podstawowych wniosków i uogólnień na temat badanej zbiorowości (rozkładów zmiennych, prezentacji miar i współczynników), jak również ich przedstawienie w postaci graficznej za pomocą wykresów. Uzyskanie danych ilościowych musi odpowiadać kryteriom specyficznym przypisanych dla tego działania oraz danego typu projektu, określonych w załączniku nr 3 do SZOOP. </w:t>
      </w:r>
    </w:p>
    <w:p w14:paraId="2D17DB5B" w14:textId="4DCF17FC" w:rsidR="0033046D" w:rsidRDefault="0033046D" w:rsidP="0033046D">
      <w:pPr>
        <w:pStyle w:val="Akapitzlist1"/>
        <w:numPr>
          <w:ilvl w:val="0"/>
          <w:numId w:val="60"/>
        </w:numPr>
        <w:tabs>
          <w:tab w:val="left" w:pos="1134"/>
        </w:tabs>
        <w:spacing w:before="120" w:after="120"/>
        <w:jc w:val="both"/>
      </w:pPr>
      <w:r w:rsidRPr="0033046D">
        <w:t xml:space="preserve">Metoda jakościowa - w badaniach jakościowych nie określa się parametrów liczbowych służących analizie, lecz prowadzi się pogłębione analizy na mniejszej liczbie przypadków (jednostek badania). Metody jakościowe zakładają bowiem, że wiele spraw lepiej bada się poprzez dogłębne zrozumienie rzeczywistości. W badaniach jakościowych istotnym jest odpowiedź na pytanie „dlaczego”, a nie na pytanie „ile”. Badania takie umożliwiają uzyskanie wiedzy o emocjach, różnego rodzaju postawach, opiniach, ocenach, pragnieniach i potrzebach danej grupy docelowej. W badaniach jakościowych istnieje możliwość zastosowania tzw. techniki projekcyjnej, która umożliwia zadawanie pytań w sposób pośredni. Taka forma pytania zachęca badane osoby do uzewnętrznienia ukrytych lub nieuświadomionych motywów, przekonań, postaw i uczuć związanych z przedmiotem badania. </w:t>
      </w:r>
    </w:p>
    <w:p w14:paraId="1CD80C78" w14:textId="77777777" w:rsidR="0033046D" w:rsidRPr="0033046D" w:rsidRDefault="0033046D" w:rsidP="0033046D">
      <w:pPr>
        <w:pStyle w:val="Akapitzlist1"/>
        <w:tabs>
          <w:tab w:val="left" w:pos="1134"/>
        </w:tabs>
        <w:spacing w:before="120" w:after="120"/>
        <w:jc w:val="both"/>
      </w:pPr>
    </w:p>
    <w:p w14:paraId="0746F5B9" w14:textId="5F8DBA91" w:rsidR="0033046D" w:rsidRDefault="0033046D" w:rsidP="0033046D">
      <w:pPr>
        <w:pStyle w:val="Akapitzlist1"/>
        <w:tabs>
          <w:tab w:val="left" w:pos="1134"/>
        </w:tabs>
        <w:spacing w:before="120" w:after="120"/>
        <w:ind w:left="0"/>
        <w:jc w:val="both"/>
      </w:pPr>
      <w:r w:rsidRPr="0033046D">
        <w:t xml:space="preserve">4) Wyznaczenie obszaru oddziaływania projektu tj. obszaru, na którym zidentyfikowano potrzeby grupy docelowej i który uwzględnia przestrzeń publiczną umożliwiającą efektywną dostępność komunikacyjną do usług społecznych, przy czym obszar ten nie może być mniejszy niż jednostka pomocnicza gminy lub jednostka niższego rzędu w ramach jednostki pomocniczej gminy (w rozumieniu ustawy o samorządzie gminnym), lub obszar/podobszar rewitalizacji wyznaczony w programie rewitalizacji gminy, na terenie której będzie realizowany projekt. </w:t>
      </w:r>
    </w:p>
    <w:p w14:paraId="5B3B3281" w14:textId="77777777" w:rsidR="0033046D" w:rsidRPr="0033046D" w:rsidRDefault="0033046D" w:rsidP="0033046D">
      <w:pPr>
        <w:pStyle w:val="Akapitzlist1"/>
        <w:tabs>
          <w:tab w:val="left" w:pos="1134"/>
        </w:tabs>
        <w:spacing w:before="120" w:after="120"/>
        <w:ind w:left="0"/>
        <w:jc w:val="both"/>
      </w:pPr>
    </w:p>
    <w:p w14:paraId="4608A454" w14:textId="672160E4" w:rsidR="002046BA" w:rsidRPr="0033046D" w:rsidRDefault="0033046D" w:rsidP="0033046D">
      <w:pPr>
        <w:pStyle w:val="Akapitzlist1"/>
        <w:numPr>
          <w:ilvl w:val="0"/>
          <w:numId w:val="59"/>
        </w:numPr>
        <w:tabs>
          <w:tab w:val="left" w:pos="1134"/>
        </w:tabs>
        <w:spacing w:before="120" w:after="120"/>
        <w:jc w:val="both"/>
      </w:pPr>
      <w:r w:rsidRPr="0033046D">
        <w:t>Wnioskodawca zobowiązany jest do przedstawienia danych ilościowych na temat realizowanych przedsięwzięć odpowiadających kryteriom specyficznym przypisanych dla tego działania oraz danego typu projektu, określonych w załączniku nr 3 do SZOOP.</w:t>
      </w:r>
    </w:p>
    <w:p w14:paraId="50D08CCC" w14:textId="77777777" w:rsidR="0033046D" w:rsidRDefault="0033046D" w:rsidP="002046BA">
      <w:pPr>
        <w:pStyle w:val="Akapitzlist1"/>
        <w:tabs>
          <w:tab w:val="left" w:pos="1134"/>
        </w:tabs>
        <w:spacing w:before="120" w:after="120"/>
        <w:ind w:left="0"/>
        <w:jc w:val="both"/>
      </w:pPr>
    </w:p>
    <w:p w14:paraId="54950C99" w14:textId="54CCD33C"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bookmarkStart w:id="44" w:name="_Toc29894934"/>
      <w:r w:rsidRPr="00E634E0">
        <w:lastRenderedPageBreak/>
        <w:t>B.17. Analiza finansowa</w:t>
      </w:r>
      <w:bookmarkEnd w:id="44"/>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 xml:space="preserve">ści </w:t>
      </w:r>
      <w:proofErr w:type="gramStart"/>
      <w:r w:rsidR="001650AD">
        <w:rPr>
          <w:rFonts w:cs="Calibri"/>
          <w:sz w:val="20"/>
          <w:szCs w:val="20"/>
        </w:rPr>
        <w:t>określić</w:t>
      </w:r>
      <w:proofErr w:type="gramEnd"/>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5" w:name="_Toc29894935"/>
      <w:r w:rsidRPr="00E634E0">
        <w:t>B.18. Analiza ekonomiczna</w:t>
      </w:r>
      <w:bookmarkEnd w:id="45"/>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lastRenderedPageBreak/>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 xml:space="preserve">odliczeniu subwencji i wpłat, mających charakter wyłącznie przekazu pieniężnego – </w:t>
      </w:r>
      <w:proofErr w:type="gramStart"/>
      <w:r w:rsidRPr="00E634E0">
        <w:rPr>
          <w:rFonts w:cs="Calibri"/>
        </w:rPr>
        <w:t>tzw. ”czyste</w:t>
      </w:r>
      <w:proofErr w:type="gramEnd"/>
      <w:r w:rsidRPr="00E634E0">
        <w:rPr>
          <w:rFonts w:cs="Calibri"/>
        </w:rPr>
        <w:t>”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6" w:name="_Toc29894936"/>
      <w:r w:rsidRPr="00E634E0">
        <w:lastRenderedPageBreak/>
        <w:t>B.19. Analiza ryzyka i wrażliwości</w:t>
      </w:r>
      <w:bookmarkEnd w:id="46"/>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7" w:name="_Toc29894937"/>
      <w:r w:rsidRPr="00E634E0">
        <w:t>B.20. Powiązanie ze strategiami</w:t>
      </w:r>
      <w:bookmarkEnd w:id="47"/>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8" w:name="_Toc29894938"/>
      <w:r w:rsidRPr="00E634E0">
        <w:t>B.21. Realizacja zasad horyzontalnych.</w:t>
      </w:r>
      <w:bookmarkEnd w:id="48"/>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 xml:space="preserve">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w:t>
      </w:r>
      <w:r w:rsidRPr="00E634E0">
        <w:rPr>
          <w:rFonts w:cs="Calibri"/>
        </w:rPr>
        <w:lastRenderedPageBreak/>
        <w:t>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lastRenderedPageBreak/>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6"/>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w:t>
      </w:r>
      <w:proofErr w:type="gramStart"/>
      <w:r w:rsidRPr="0080733C">
        <w:rPr>
          <w:rFonts w:cs="Calibri"/>
          <w:color w:val="000000"/>
          <w:sz w:val="20"/>
          <w:szCs w:val="20"/>
        </w:rPr>
        <w:t xml:space="preserve">się  </w:t>
      </w:r>
      <w:r w:rsidR="001D1B10">
        <w:rPr>
          <w:rFonts w:cs="Calibri"/>
          <w:color w:val="000000"/>
          <w:sz w:val="20"/>
          <w:szCs w:val="20"/>
        </w:rPr>
        <w:t>oraz</w:t>
      </w:r>
      <w:proofErr w:type="gramEnd"/>
      <w:r w:rsidR="001D1B10">
        <w:rPr>
          <w:rFonts w:cs="Calibri"/>
          <w:color w:val="000000"/>
          <w:sz w:val="20"/>
          <w:szCs w:val="20"/>
        </w:rPr>
        <w:t xml:space="preserve">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lastRenderedPageBreak/>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W przypadku modernizacji dostępność dotyczy co najmniej tych elementów budynku, które były przedmiotem finansowania z EFSiI. Dla obiektów i zasobów modernizowanych (przebudowa</w:t>
      </w:r>
      <w:r w:rsidRPr="0080733C">
        <w:rPr>
          <w:color w:val="000000"/>
          <w:sz w:val="20"/>
          <w:szCs w:val="20"/>
          <w:vertAlign w:val="superscript"/>
        </w:rPr>
        <w:footnoteReference w:id="7"/>
      </w:r>
      <w:r w:rsidRPr="0080733C">
        <w:rPr>
          <w:rFonts w:cs="Calibri"/>
          <w:color w:val="000000"/>
          <w:sz w:val="20"/>
          <w:szCs w:val="20"/>
        </w:rPr>
        <w:t>, rozbudowa</w:t>
      </w:r>
      <w:r w:rsidRPr="0080733C">
        <w:rPr>
          <w:color w:val="000000"/>
          <w:sz w:val="20"/>
          <w:szCs w:val="20"/>
          <w:vertAlign w:val="superscript"/>
        </w:rPr>
        <w:footnoteReference w:id="8"/>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 xml:space="preserve">wyczerpującym uzasadnieniem, dlaczego dostępność nie dotyczy danego produktu. W </w:t>
      </w:r>
      <w:proofErr w:type="gramStart"/>
      <w:r w:rsidRPr="0080733C">
        <w:rPr>
          <w:rFonts w:cs="Calibri"/>
          <w:color w:val="000000"/>
          <w:sz w:val="20"/>
          <w:szCs w:val="20"/>
        </w:rPr>
        <w:t>przypadku</w:t>
      </w:r>
      <w:proofErr w:type="gramEnd"/>
      <w:r w:rsidRPr="0080733C">
        <w:rPr>
          <w:rFonts w:cs="Calibri"/>
          <w:color w:val="000000"/>
          <w:sz w:val="20"/>
          <w:szCs w:val="20"/>
        </w:rPr>
        <w:t xml:space="preserve">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89A7C91"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lastRenderedPageBreak/>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9"/>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 realizowanych obecnie i w przyszłości projektach, rozszerzonego standardu WCAG 2.1 przez wszystkich Wnioskodawców.</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9" w:name="_Toc29894939"/>
      <w:r>
        <w:t>C. ZAKRES RZECZOWO-</w:t>
      </w:r>
      <w:r w:rsidR="00886690" w:rsidRPr="00E634E0">
        <w:t>FINANSOWY PROJEKTU</w:t>
      </w:r>
      <w:bookmarkEnd w:id="49"/>
    </w:p>
    <w:p w14:paraId="7A782E61" w14:textId="77777777" w:rsidR="00886690" w:rsidRPr="00E634E0" w:rsidRDefault="00886690" w:rsidP="00E354DA">
      <w:pPr>
        <w:pStyle w:val="Pole"/>
      </w:pPr>
      <w:bookmarkStart w:id="50" w:name="_Toc29894940"/>
      <w:r w:rsidRPr="00E634E0">
        <w:t>C.1.a Kluczowe etapy realizacji inwestycji dla kosztów kwalifikowalnych</w:t>
      </w:r>
      <w:bookmarkEnd w:id="50"/>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lastRenderedPageBreak/>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1" w:name="_Toc29894941"/>
      <w:r w:rsidRPr="00E634E0">
        <w:t>C.1.b Uzasadnienie wskazanego terminu realizacji oraz opis stopnia zaawansowania prac (jeśli rzeczowa realizacja projektu została rozpoczęta)</w:t>
      </w:r>
      <w:bookmarkEnd w:id="51"/>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w:t>
      </w:r>
      <w:proofErr w:type="gramStart"/>
      <w:r w:rsidRPr="00FB1A11">
        <w:rPr>
          <w:rFonts w:cs="Calibri"/>
          <w:color w:val="000000" w:themeColor="text1"/>
        </w:rPr>
        <w:t>przypadku</w:t>
      </w:r>
      <w:proofErr w:type="gramEnd"/>
      <w:r w:rsidRPr="00FB1A11">
        <w:rPr>
          <w:rFonts w:cs="Calibri"/>
          <w:color w:val="000000" w:themeColor="text1"/>
        </w:rPr>
        <w:t xml:space="preserve"> gdy w projekcie zastosowanie znajduje protokół odbioru). Prowadzenia działań promocyjnych nie można utożsamiać z fizyczną realizacją projektu. W </w:t>
      </w:r>
      <w:proofErr w:type="gramStart"/>
      <w:r w:rsidRPr="00FB1A11">
        <w:rPr>
          <w:rFonts w:cs="Calibri"/>
          <w:color w:val="000000" w:themeColor="text1"/>
        </w:rPr>
        <w:t>sytuacji</w:t>
      </w:r>
      <w:proofErr w:type="gramEnd"/>
      <w:r w:rsidRPr="00FB1A11">
        <w:rPr>
          <w:rFonts w:cs="Calibri"/>
          <w:color w:val="000000" w:themeColor="text1"/>
        </w:rPr>
        <w:t xml:space="preserve">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lastRenderedPageBreak/>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2" w:name="_Toc29894942"/>
      <w:r w:rsidRPr="00E634E0">
        <w:t>C.2. Planowane koszty</w:t>
      </w:r>
      <w:bookmarkEnd w:id="52"/>
    </w:p>
    <w:p w14:paraId="2C8D76A0" w14:textId="77777777" w:rsidR="00886690" w:rsidRPr="00E634E0" w:rsidRDefault="00886690" w:rsidP="00E354DA">
      <w:pPr>
        <w:pStyle w:val="Pole"/>
      </w:pPr>
      <w:bookmarkStart w:id="53" w:name="_Toc29894943"/>
      <w:r w:rsidRPr="00E634E0">
        <w:t>C.2.1 Zadania w ramach projektu</w:t>
      </w:r>
      <w:bookmarkEnd w:id="53"/>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0"/>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lastRenderedPageBreak/>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4" w:name="_Toc29894944"/>
      <w:r w:rsidRPr="00E634E0">
        <w:t>C.2.2 Koszty kwalifikowa</w:t>
      </w:r>
      <w:r w:rsidRPr="00E634E0">
        <w:rPr>
          <w:color w:val="000000"/>
        </w:rPr>
        <w:t>l</w:t>
      </w:r>
      <w:r w:rsidRPr="00E634E0">
        <w:t>ne (bez ryczałtów)</w:t>
      </w:r>
      <w:bookmarkEnd w:id="54"/>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2D1B4AAF"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w:t>
      </w:r>
      <w:proofErr w:type="gramStart"/>
      <w:r w:rsidRPr="00E634E0">
        <w:rPr>
          <w:rFonts w:cs="Calibri"/>
        </w:rPr>
        <w:t xml:space="preserve">– </w:t>
      </w:r>
      <w:r w:rsidRPr="00E634E0">
        <w:rPr>
          <w:rFonts w:cs="Calibri"/>
          <w:color w:val="000000"/>
          <w:sz w:val="23"/>
          <w:szCs w:val="23"/>
        </w:rPr>
        <w:t xml:space="preserve"> </w:t>
      </w:r>
      <w:r w:rsidRPr="00E634E0">
        <w:rPr>
          <w:rFonts w:cs="Calibri"/>
        </w:rPr>
        <w:t>w</w:t>
      </w:r>
      <w:proofErr w:type="gramEnd"/>
      <w:r w:rsidRPr="00E634E0">
        <w:rPr>
          <w:rFonts w:cs="Calibri"/>
        </w:rPr>
        <w:t xml:space="preserve">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w:t>
      </w:r>
      <w:r w:rsidRPr="00D21532">
        <w:rPr>
          <w:rFonts w:cs="Calibri"/>
        </w:rPr>
        <w:lastRenderedPageBreak/>
        <w:t xml:space="preserve">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check-boxa.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 xml:space="preserve">Przykładowe nazwy kosztów to: wykupy gruntów, roboty drogowe, prace ogólnobudowlane, zestaw mebli biurowych, szafa chłodniczo-mroźnicza.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FF02A39" w:rsidR="00886690" w:rsidRPr="00CD30A5" w:rsidRDefault="00886690" w:rsidP="00CD30A5">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w:t>
      </w:r>
      <w:proofErr w:type="gramStart"/>
      <w:r w:rsidR="002A6CF9">
        <w:rPr>
          <w:rFonts w:cs="Calibri"/>
        </w:rPr>
        <w:t>powierzchni  (</w:t>
      </w:r>
      <w:proofErr w:type="gramEnd"/>
      <w:r w:rsidR="002A6CF9">
        <w:rPr>
          <w:rFonts w:cs="Calibri"/>
        </w:rPr>
        <w:t xml:space="preserve">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 xml:space="preserve">W opisie należy wskazać jeden pramentr w </w:t>
      </w:r>
      <w:proofErr w:type="gramStart"/>
      <w:r w:rsidR="00CD30A5" w:rsidRPr="00CD30A5">
        <w:rPr>
          <w:rFonts w:cs="Calibri"/>
        </w:rPr>
        <w:t>odniesieniu</w:t>
      </w:r>
      <w:proofErr w:type="gramEnd"/>
      <w:r w:rsidR="00CD30A5" w:rsidRPr="00CD30A5">
        <w:rPr>
          <w:rFonts w:cs="Calibri"/>
        </w:rPr>
        <w:t xml:space="preserve"> do którego będzie 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xml:space="preserve">. W przypadku </w:t>
      </w:r>
      <w:r w:rsidRPr="009E13CB">
        <w:rPr>
          <w:rFonts w:cs="Calibri"/>
        </w:rPr>
        <w:lastRenderedPageBreak/>
        <w:t>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 xml:space="preserve">Dla projektów </w:t>
      </w:r>
      <w:proofErr w:type="gramStart"/>
      <w:r w:rsidRPr="00A33676">
        <w:rPr>
          <w:rFonts w:cs="Calibri"/>
        </w:rPr>
        <w:t>nie generujących</w:t>
      </w:r>
      <w:proofErr w:type="gramEnd"/>
      <w:r w:rsidRPr="00A33676">
        <w:rPr>
          <w:rFonts w:cs="Calibri"/>
        </w:rPr>
        <w:t xml:space="preserve">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w:t>
      </w:r>
      <w:r w:rsidRPr="00F322D4">
        <w:rPr>
          <w:rFonts w:cs="Calibri"/>
        </w:rPr>
        <w:lastRenderedPageBreak/>
        <w:t>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xml:space="preserve">: </w:t>
      </w:r>
      <w:proofErr w:type="gramStart"/>
      <w:r w:rsidRPr="00F322D4">
        <w:rPr>
          <w:rFonts w:cs="Calibri"/>
        </w:rPr>
        <w:t>„ Dofinansowanie</w:t>
      </w:r>
      <w:proofErr w:type="gramEnd"/>
      <w:r w:rsidRPr="00F322D4">
        <w:rPr>
          <w:rFonts w:cs="Calibri"/>
        </w:rPr>
        <w:t xml:space="preserv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5" w:name="_Toc29894945"/>
      <w:r w:rsidRPr="00E634E0">
        <w:t>C.2.3 Koszty niekwalifikowa</w:t>
      </w:r>
      <w:r w:rsidRPr="00E634E0">
        <w:rPr>
          <w:color w:val="000000"/>
        </w:rPr>
        <w:t>l</w:t>
      </w:r>
      <w:r w:rsidRPr="00E634E0">
        <w:t>ne (bez ryczałtów)</w:t>
      </w:r>
      <w:bookmarkEnd w:id="55"/>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6" w:name="_Toc29894946"/>
      <w:r w:rsidRPr="00E634E0">
        <w:t>C.2.4 Ko</w:t>
      </w:r>
      <w:r w:rsidR="00BD4927">
        <w:t>szty do rozliczenia ryczałtem</w:t>
      </w:r>
      <w:bookmarkEnd w:id="56"/>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 xml:space="preserve">wyświetla </w:t>
      </w:r>
      <w:proofErr w:type="gramStart"/>
      <w:r w:rsidR="00886690" w:rsidRPr="00BD4927">
        <w:rPr>
          <w:rFonts w:cs="Calibri"/>
        </w:rPr>
        <w:t>się</w:t>
      </w:r>
      <w:proofErr w:type="gramEnd"/>
      <w:r w:rsidR="00886690" w:rsidRPr="00BD4927">
        <w:rPr>
          <w:rFonts w:cs="Calibri"/>
        </w:rPr>
        <w:t xml:space="preserve">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7" w:name="_Toc29894947"/>
      <w:r w:rsidRPr="00E634E0">
        <w:t>C.2.5 Podsumowanie zadań</w:t>
      </w:r>
      <w:bookmarkEnd w:id="57"/>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8" w:name="_Toc29894948"/>
      <w:r w:rsidRPr="00E634E0">
        <w:t>C.2.6 Podsumowanie kategorii kosztów</w:t>
      </w:r>
      <w:bookmarkEnd w:id="58"/>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29894949"/>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634E0">
        <w:t>D.   POZIOM DOFINANSOWANIA, MONTAŻ FINANSOWY</w:t>
      </w:r>
      <w:bookmarkEnd w:id="77"/>
    </w:p>
    <w:p w14:paraId="4E56EF85" w14:textId="77777777" w:rsidR="00886690" w:rsidRPr="00E634E0" w:rsidRDefault="00886690" w:rsidP="00E354DA">
      <w:pPr>
        <w:pStyle w:val="Pole"/>
      </w:pPr>
      <w:bookmarkStart w:id="78" w:name="_Toc29894950"/>
      <w:r w:rsidRPr="00E634E0">
        <w:t xml:space="preserve">D.1. Potencjalne dochody operacji </w:t>
      </w:r>
      <w:r w:rsidR="00F3114C">
        <w:t>–</w:t>
      </w:r>
      <w:r w:rsidRPr="00E634E0">
        <w:t xml:space="preserve"> Luka w finansowaniu</w:t>
      </w:r>
      <w:bookmarkEnd w:id="78"/>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9" w:name="_Toc29894951"/>
      <w:r w:rsidRPr="00E634E0">
        <w:t>D.2. Montaż finansowy i budżet projektu</w:t>
      </w:r>
      <w:bookmarkEnd w:id="79"/>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80" w:name="_Toc29894952"/>
      <w:r w:rsidRPr="00E634E0">
        <w:t>D.3.a Źródła finansowania wydatków</w:t>
      </w:r>
      <w:bookmarkEnd w:id="80"/>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1"/>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0B16C65F"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w:t>
      </w:r>
      <w:proofErr w:type="gramStart"/>
      <w:r w:rsidRPr="00A30A3A">
        <w:rPr>
          <w:rFonts w:cs="Calibri"/>
          <w:sz w:val="20"/>
        </w:rPr>
        <w:t>chwili</w:t>
      </w:r>
      <w:proofErr w:type="gramEnd"/>
      <w:r w:rsidRPr="00A30A3A">
        <w:rPr>
          <w:rFonts w:cs="Calibri"/>
          <w:sz w:val="20"/>
        </w:rPr>
        <w:t xml:space="preserve">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1" w:name="_Toc29894953"/>
      <w:r w:rsidRPr="00E634E0">
        <w:lastRenderedPageBreak/>
        <w:t>D.3.b Założenia przyjęte do określenia źródeł finansowania wydatków</w:t>
      </w:r>
      <w:bookmarkEnd w:id="81"/>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2" w:name="_Toc29894954"/>
      <w:r w:rsidRPr="00E634E0">
        <w:t>D.4.a Wymagane zabezpieczenie środków [</w:t>
      </w:r>
      <w:r w:rsidR="00422FEC">
        <w:t>ZŁ</w:t>
      </w:r>
      <w:r w:rsidRPr="00E634E0">
        <w:t>] na potrzeby podpisania umowy</w:t>
      </w:r>
      <w:bookmarkEnd w:id="82"/>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3" w:name="_Toc29894955"/>
      <w:r w:rsidRPr="00E634E0">
        <w:t>D.4.b Wyjaśnienia dot. zabezpieczenia środków</w:t>
      </w:r>
      <w:bookmarkEnd w:id="83"/>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4" w:name="_Toc29894956"/>
      <w:r w:rsidRPr="00E634E0">
        <w:t>E.   POSTĘPOWANIA / ZAMÓWIENIA W PROJEKCIE</w:t>
      </w:r>
      <w:bookmarkEnd w:id="84"/>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2989495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lastRenderedPageBreak/>
        <w:t>F. MIERZALNE WSKAŹNIKI PROJEKTU</w:t>
      </w:r>
      <w:bookmarkEnd w:id="121"/>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2" w:name="_Toc29894958"/>
      <w:r w:rsidRPr="00E634E0">
        <w:t>F.1. Wskaźniki produktu</w:t>
      </w:r>
      <w:bookmarkEnd w:id="122"/>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 xml:space="preserve">nie jest w stanie podać </w:t>
      </w:r>
      <w:r w:rsidRPr="003F1DA2">
        <w:rPr>
          <w:rFonts w:cs="Calibri"/>
          <w:noProof/>
          <w:sz w:val="20"/>
          <w:szCs w:val="20"/>
        </w:rPr>
        <w:lastRenderedPageBreak/>
        <w:t>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p>
    <w:p w14:paraId="06865C2F" w14:textId="0A057769" w:rsidR="00886690" w:rsidRPr="00E634E0" w:rsidRDefault="00886690" w:rsidP="00E354DA">
      <w:pPr>
        <w:pStyle w:val="Pole"/>
      </w:pPr>
      <w:bookmarkStart w:id="123" w:name="_Toc29894959"/>
      <w:r w:rsidRPr="00E634E0">
        <w:t>F.2. Wskaźniki rezultatu</w:t>
      </w:r>
      <w:bookmarkEnd w:id="123"/>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Wartość bazowa określona dla wskaźników rezultatu nie jest wliczana do wartości docelowej. Wartość bazowa stanowi punkt wyjścia, określa sytuację danej grupy docelowej przed rozpoczęciem realizacji projektu oraz </w:t>
      </w:r>
      <w:r w:rsidRPr="00E634E0">
        <w:rPr>
          <w:rFonts w:cs="Calibri"/>
          <w:noProof/>
          <w:sz w:val="20"/>
          <w:szCs w:val="20"/>
        </w:rPr>
        <w:lastRenderedPageBreak/>
        <w:t>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4" w:name="_Toc29894960"/>
      <w:r w:rsidRPr="00E634E0">
        <w:t>F.3. Wpływ projektu na zatrudnienie</w:t>
      </w:r>
      <w:bookmarkEnd w:id="124"/>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5" w:name="_Toc29894961"/>
      <w:r w:rsidRPr="00E634E0">
        <w:t>G.   ZAŁĄCZNIKI DO WNIOSKU</w:t>
      </w:r>
      <w:bookmarkEnd w:id="125"/>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2"/>
      </w:r>
      <w:r w:rsidR="000B7E21" w:rsidRPr="000B7E21">
        <w:t xml:space="preserve">. </w:t>
      </w:r>
    </w:p>
    <w:p w14:paraId="3BEE991D" w14:textId="01E9AB4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w:t>
      </w:r>
      <w:r w:rsidRPr="00E634E0">
        <w:rPr>
          <w:rFonts w:cs="Calibri"/>
          <w:noProof/>
          <w:sz w:val="20"/>
          <w:szCs w:val="20"/>
        </w:rPr>
        <w:lastRenderedPageBreak/>
        <w:t xml:space="preserve">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bookmarkStart w:id="126" w:name="_Toc29894962"/>
      <w:r w:rsidRPr="00E634E0">
        <w:t>G.1. Załączniki obowiązkowe</w:t>
      </w:r>
      <w:bookmarkEnd w:id="126"/>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lastRenderedPageBreak/>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lastRenderedPageBreak/>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64898202"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C0248E">
        <w:rPr>
          <w:b/>
          <w:bCs/>
        </w:rPr>
        <w:t>1</w:t>
      </w:r>
      <w:r w:rsidR="007B3389">
        <w:rPr>
          <w:b/>
          <w:bCs/>
        </w:rPr>
        <w:t>0</w:t>
      </w:r>
      <w:r w:rsidR="00C0248E">
        <w:rPr>
          <w:b/>
          <w:bCs/>
        </w:rPr>
        <w:t>.</w:t>
      </w:r>
      <w:r w:rsidR="0033046D">
        <w:rPr>
          <w:b/>
          <w:bCs/>
        </w:rPr>
        <w:t>2</w:t>
      </w:r>
      <w:r w:rsidR="007E39D9" w:rsidRPr="007E39D9">
        <w:rPr>
          <w:b/>
          <w:bCs/>
        </w:rPr>
        <w:t xml:space="preserve"> p</w:t>
      </w:r>
      <w:r w:rsidR="00C0248E">
        <w:rPr>
          <w:b/>
          <w:bCs/>
        </w:rPr>
        <w:t xml:space="preserve">rzyjmuje się </w:t>
      </w:r>
      <w:r w:rsidR="00BF2FA5">
        <w:rPr>
          <w:b/>
          <w:bCs/>
        </w:rPr>
        <w:t>15-letni okres odniesienia</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6D6F7CE"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 xml:space="preserve">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w:t>
      </w:r>
      <w:r w:rsidR="00B65974" w:rsidRPr="00B65974">
        <w:rPr>
          <w:rFonts w:cs="Calibri"/>
          <w:noProof/>
        </w:rPr>
        <w:t xml:space="preserve">Źródło danych należy wskazać w części B.17 wniosku. </w:t>
      </w:r>
      <w:r w:rsidRPr="00E634E0">
        <w:rPr>
          <w:rFonts w:cs="Calibri"/>
          <w:noProof/>
        </w:rPr>
        <w:t>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w:t>
      </w:r>
      <w:r w:rsidRPr="00E634E0">
        <w:rPr>
          <w:rFonts w:cs="Calibri"/>
          <w:iCs/>
          <w:sz w:val="20"/>
          <w:szCs w:val="20"/>
        </w:rPr>
        <w:lastRenderedPageBreak/>
        <w:t xml:space="preserve">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w:t>
      </w:r>
      <w:proofErr w:type="gramStart"/>
      <w:r w:rsidR="00270CE1">
        <w:rPr>
          <w:rFonts w:cs="Calibri"/>
          <w:sz w:val="20"/>
          <w:szCs w:val="20"/>
        </w:rPr>
        <w:t xml:space="preserve">aby </w:t>
      </w:r>
      <w:r w:rsidRPr="00CE4A0E">
        <w:rPr>
          <w:rFonts w:cs="Calibri"/>
          <w:sz w:val="20"/>
          <w:szCs w:val="20"/>
        </w:rPr>
        <w:t xml:space="preserve"> </w:t>
      </w:r>
      <w:r w:rsidR="00270CE1">
        <w:rPr>
          <w:rFonts w:cs="Calibri"/>
          <w:sz w:val="20"/>
          <w:szCs w:val="20"/>
        </w:rPr>
        <w:t>osobno</w:t>
      </w:r>
      <w:proofErr w:type="gramEnd"/>
      <w:r w:rsidR="00270CE1">
        <w:rPr>
          <w:rFonts w:cs="Calibri"/>
          <w:sz w:val="20"/>
          <w:szCs w:val="20"/>
        </w:rPr>
        <w:t xml:space="preserve">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 xml:space="preserve">Przy określaniu kosztów operacyjnych na potrzeby analizy projektu nie należy uwzględniać pozycji, które nie powodują </w:t>
      </w:r>
      <w:r w:rsidRPr="00E634E0">
        <w:rPr>
          <w:rFonts w:cs="Calibri"/>
        </w:rPr>
        <w:lastRenderedPageBreak/>
        <w:t>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w:t>
      </w:r>
      <w:proofErr w:type="gramStart"/>
      <w:r w:rsidRPr="00E634E0">
        <w:rPr>
          <w:rFonts w:cs="Calibri"/>
          <w:sz w:val="20"/>
          <w:szCs w:val="20"/>
        </w:rPr>
        <w:t>zeru</w:t>
      </w:r>
      <w:proofErr w:type="gramEnd"/>
      <w:r w:rsidRPr="00E634E0">
        <w:rPr>
          <w:rFonts w:cs="Calibri"/>
          <w:sz w:val="20"/>
          <w:szCs w:val="20"/>
        </w:rPr>
        <w:t xml:space="preserve">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3"/>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lastRenderedPageBreak/>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394BAE2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112387E6" w14:textId="5375A9EC"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07289ADC" w14:textId="0BB5FC3E"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BC98E43"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4C7BE4FF" w14:textId="21E272C0" w:rsidR="005A27D6" w:rsidRDefault="00762BE6" w:rsidP="0033046D">
      <w:pPr>
        <w:pStyle w:val="Akapitzlist1"/>
        <w:numPr>
          <w:ilvl w:val="0"/>
          <w:numId w:val="58"/>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7590326" w14:textId="77777777" w:rsidR="0033046D" w:rsidRPr="0033046D" w:rsidRDefault="0033046D" w:rsidP="0033046D">
      <w:pPr>
        <w:pStyle w:val="Akapitzlist1"/>
        <w:tabs>
          <w:tab w:val="left" w:pos="1418"/>
        </w:tabs>
        <w:spacing w:before="120" w:after="120"/>
        <w:rPr>
          <w:rFonts w:cs="Calibri"/>
          <w:noProof/>
        </w:rPr>
      </w:pP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lastRenderedPageBreak/>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w:t>
      </w:r>
      <w:proofErr w:type="gramStart"/>
      <w:r w:rsidRPr="00E634E0">
        <w:rPr>
          <w:rFonts w:cs="Calibri"/>
        </w:rPr>
        <w:t>przypadku</w:t>
      </w:r>
      <w:proofErr w:type="gramEnd"/>
      <w:r w:rsidRPr="00E634E0">
        <w:rPr>
          <w:rFonts w:cs="Calibri"/>
        </w:rPr>
        <w:t xml:space="preserve"> gdy nieruchomość stanowi niepieniężny wkład własny wnioskodawcy, na etapie złożenia wniosku o dofinansowanie należy przedstawić dokument potwierdzający prawa do dysponowania nieruchomością.  </w:t>
      </w:r>
    </w:p>
    <w:p w14:paraId="65B48B3A" w14:textId="5C36D4D5"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4"/>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29894963"/>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lastRenderedPageBreak/>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xml:space="preserve">”,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w:t>
      </w:r>
      <w:r w:rsidR="00A30A06" w:rsidRPr="00A30A06">
        <w:rPr>
          <w:rFonts w:cs="Calibri"/>
          <w:noProof/>
        </w:rPr>
        <w:lastRenderedPageBreak/>
        <w:t>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0790AC6F"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r w:rsidR="000309E9">
        <w:rPr>
          <w:rFonts w:cs="Calibri"/>
          <w:noProof/>
        </w:rPr>
        <w:t>,</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4E0E4B81"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0ED899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lastRenderedPageBreak/>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lastRenderedPageBreak/>
        <w:t>Poświadczenie zabezpieczenia środków</w:t>
      </w:r>
    </w:p>
    <w:p w14:paraId="3132016B" w14:textId="4C7516F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r w:rsidR="00DF1B7A">
        <w:rPr>
          <w:rFonts w:cs="Calibri"/>
        </w:rPr>
        <w:t>,</w:t>
      </w:r>
      <w:r w:rsidR="00DF1B7A" w:rsidRPr="00DF1B7A">
        <w:t xml:space="preserve"> </w:t>
      </w:r>
      <w:r w:rsidR="00DF1B7A" w:rsidRPr="00DF1B7A">
        <w:rPr>
          <w:rFonts w:cs="Calibri"/>
        </w:rPr>
        <w:t xml:space="preserve">aktualne na moment podpisywania </w:t>
      </w:r>
      <w:proofErr w:type="gramStart"/>
      <w:r w:rsidR="00DF1B7A" w:rsidRPr="00DF1B7A">
        <w:rPr>
          <w:rFonts w:cs="Calibri"/>
        </w:rPr>
        <w:t>umowy  o</w:t>
      </w:r>
      <w:proofErr w:type="gramEnd"/>
      <w:r w:rsidR="00DF1B7A" w:rsidRPr="00DF1B7A">
        <w:rPr>
          <w:rFonts w:cs="Calibri"/>
        </w:rPr>
        <w:t xml:space="preserve"> dofinansowanie projektu.</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5212C22"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w:t>
      </w:r>
      <w:r w:rsidR="00973D73">
        <w:rPr>
          <w:rFonts w:cs="Calibri"/>
          <w:noProof/>
        </w:rPr>
        <w:t>i</w:t>
      </w:r>
      <w:r w:rsidR="00CE3D2D">
        <w:rPr>
          <w:rFonts w:cs="Calibri"/>
          <w:noProof/>
        </w:rPr>
        <w:t>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03247F">
        <w:rPr>
          <w:rFonts w:cs="Calibri"/>
          <w:noProof/>
        </w:rPr>
        <w:t xml:space="preserve"> z późn. zm.</w:t>
      </w:r>
      <w:r w:rsidR="00C934E9">
        <w:rPr>
          <w:rFonts w:cs="Calibri"/>
          <w:noProof/>
        </w:rPr>
        <w:t>)</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t>
      </w:r>
      <w:proofErr w:type="gramStart"/>
      <w:r w:rsidRPr="00E634E0">
        <w:rPr>
          <w:rFonts w:cs="Calibri"/>
        </w:rPr>
        <w:t>W  dokumentach</w:t>
      </w:r>
      <w:proofErr w:type="gramEnd"/>
      <w:r w:rsidRPr="00E634E0">
        <w:rPr>
          <w:rFonts w:cs="Calibri"/>
        </w:rPr>
        <w:t xml:space="preserve">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6ACCDEDF" w14:textId="77777777" w:rsidR="005735A7" w:rsidRPr="005735A7" w:rsidRDefault="00886690" w:rsidP="005735A7">
      <w:pPr>
        <w:pStyle w:val="Akapitzlist1"/>
        <w:numPr>
          <w:ilvl w:val="2"/>
          <w:numId w:val="17"/>
        </w:numPr>
        <w:tabs>
          <w:tab w:val="left" w:pos="851"/>
        </w:tabs>
        <w:spacing w:before="120" w:after="120"/>
        <w:jc w:val="both"/>
        <w:rPr>
          <w:rFonts w:cs="Calibri"/>
        </w:rPr>
      </w:pPr>
      <w:r w:rsidRPr="005735A7">
        <w:rPr>
          <w:rFonts w:cs="Calibri"/>
        </w:rPr>
        <w:t xml:space="preserve">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t>
      </w:r>
      <w:r w:rsidR="005735A7" w:rsidRPr="005735A7">
        <w:rPr>
          <w:rFonts w:cs="Calibri"/>
        </w:rPr>
        <w:t xml:space="preserve">Dokumentem potwierdzającym posiadanie środków może być:     </w:t>
      </w:r>
    </w:p>
    <w:p w14:paraId="508EEEBF" w14:textId="578C4A1E" w:rsidR="005735A7" w:rsidRPr="005735A7" w:rsidRDefault="005735A7" w:rsidP="005735A7">
      <w:pPr>
        <w:pStyle w:val="Akapitzlist1"/>
        <w:spacing w:before="120" w:after="120"/>
        <w:ind w:left="1134"/>
        <w:jc w:val="both"/>
        <w:rPr>
          <w:rFonts w:cs="Calibri"/>
        </w:rPr>
      </w:pPr>
      <w:r w:rsidRPr="005735A7">
        <w:rPr>
          <w:rFonts w:cs="Calibri"/>
        </w:rPr>
        <w:t xml:space="preserve">a) oświadczenie (deklaracja) danego organu - w przypadku, gdy z przepisów regulujących funkcjonowanie danego kościoła lub związku wyznaniowego wynika, że w imieniu kościelnej osoby prawnej występuje organ jednoosobowy (np. biskup diecezji katolickiej)  </w:t>
      </w:r>
    </w:p>
    <w:p w14:paraId="1669F838" w14:textId="77777777" w:rsidR="005735A7" w:rsidRPr="005735A7" w:rsidRDefault="005735A7" w:rsidP="005735A7">
      <w:pPr>
        <w:pStyle w:val="Akapitzlist1"/>
        <w:spacing w:before="120" w:after="120"/>
        <w:ind w:left="1134"/>
        <w:jc w:val="both"/>
        <w:rPr>
          <w:rFonts w:cs="Calibri"/>
        </w:rPr>
      </w:pPr>
      <w:r w:rsidRPr="005735A7">
        <w:rPr>
          <w:rFonts w:cs="Calibri"/>
        </w:rPr>
        <w:t xml:space="preserve">b) uchwała – w przypadku, gdy z przepisów regulujących funkcjonowanie danego kościoła lub związku wyznaniowego wynika, że organem właściwym do postępowania w imieniu kościelnej osoby prawnej jest organ kolegialny (np. rada parafialna, synod)                                                                                                           </w:t>
      </w:r>
    </w:p>
    <w:p w14:paraId="7A644638" w14:textId="77777777" w:rsidR="005735A7" w:rsidRPr="005735A7" w:rsidRDefault="005735A7" w:rsidP="005735A7">
      <w:pPr>
        <w:pStyle w:val="Akapitzlist1"/>
        <w:spacing w:before="120" w:after="120"/>
        <w:ind w:left="1134"/>
        <w:jc w:val="both"/>
        <w:rPr>
          <w:rFonts w:cs="Calibri"/>
        </w:rPr>
      </w:pPr>
      <w:r w:rsidRPr="005735A7">
        <w:rPr>
          <w:rFonts w:cs="Calibri"/>
        </w:rPr>
        <w:t>c) wyciąg z wyodrębnionego na realizację projektu rachunku bankowego beneficjenta wskazujący wartość, co najmniej wkładu własnego wraz z oświadczeniem o wykorzystaniu środków na cele projektu,</w:t>
      </w:r>
    </w:p>
    <w:p w14:paraId="73E6D64A" w14:textId="77777777" w:rsidR="005735A7" w:rsidRPr="005735A7" w:rsidRDefault="005735A7" w:rsidP="005735A7">
      <w:pPr>
        <w:pStyle w:val="Akapitzlist1"/>
        <w:spacing w:before="120" w:after="120"/>
        <w:ind w:left="1134"/>
        <w:jc w:val="both"/>
        <w:rPr>
          <w:rFonts w:cs="Calibri"/>
        </w:rPr>
      </w:pPr>
      <w:r w:rsidRPr="005735A7">
        <w:rPr>
          <w:rFonts w:cs="Calibri"/>
        </w:rPr>
        <w:t xml:space="preserve">d) dokument z banku potwierdzający średnie saldo za trzy ostatnie miesiące (średnie saldo wyliczane jest z sumy środków znajdującej się na rachunku bieżącym w kolejnych dniach miesiąca podzielonej przez liczbę dni w danym miesiącu kalendarzowym),     </w:t>
      </w:r>
    </w:p>
    <w:p w14:paraId="79B7D023" w14:textId="77777777" w:rsidR="005735A7" w:rsidRPr="005735A7" w:rsidRDefault="005735A7" w:rsidP="005735A7">
      <w:pPr>
        <w:pStyle w:val="Akapitzlist1"/>
        <w:spacing w:before="120" w:after="120"/>
        <w:ind w:left="1134"/>
        <w:jc w:val="both"/>
        <w:rPr>
          <w:rFonts w:cs="Calibri"/>
        </w:rPr>
      </w:pPr>
      <w:r w:rsidRPr="005735A7">
        <w:rPr>
          <w:rFonts w:cs="Calibri"/>
        </w:rPr>
        <w:t xml:space="preserve">e) co najmniej trzymiesięczna lokata terminowa (dokument potwierdzający lokatę powinien zawierać informację o terminie założenia lokaty wraz z terminem jej zapadalności),        </w:t>
      </w:r>
    </w:p>
    <w:p w14:paraId="12FC3169" w14:textId="77777777" w:rsidR="005735A7" w:rsidRDefault="005735A7" w:rsidP="005735A7">
      <w:pPr>
        <w:pStyle w:val="Akapitzlist1"/>
        <w:spacing w:before="120" w:after="120"/>
        <w:ind w:left="1134"/>
        <w:contextualSpacing w:val="0"/>
        <w:jc w:val="both"/>
        <w:rPr>
          <w:rFonts w:cs="Calibri"/>
          <w:noProof/>
        </w:rPr>
      </w:pPr>
      <w:r w:rsidRPr="005735A7">
        <w:rPr>
          <w:rFonts w:cs="Calibri"/>
        </w:rPr>
        <w:t xml:space="preserve">f) promesa </w:t>
      </w:r>
      <w:proofErr w:type="gramStart"/>
      <w:r w:rsidRPr="005735A7">
        <w:rPr>
          <w:rFonts w:cs="Calibri"/>
        </w:rPr>
        <w:t>bankowa,</w:t>
      </w:r>
      <w:proofErr w:type="gramEnd"/>
      <w:r w:rsidRPr="005735A7">
        <w:rPr>
          <w:rFonts w:cs="Calibri"/>
        </w:rPr>
        <w:t xml:space="preserve"> (w przypadku promesy warunkowej dokument będzie podlegał indywidualnej ocenie i akceptacji IZ RPO WSL w zakresie wskazanych przez bank warunków);</w:t>
      </w:r>
    </w:p>
    <w:p w14:paraId="272921BE" w14:textId="34F963EE" w:rsidR="00DA5A08" w:rsidRPr="00DA5A08" w:rsidRDefault="00886690" w:rsidP="00DA5A08">
      <w:pPr>
        <w:pStyle w:val="Akapitzlist1"/>
        <w:numPr>
          <w:ilvl w:val="2"/>
          <w:numId w:val="17"/>
        </w:numPr>
        <w:tabs>
          <w:tab w:val="left" w:pos="851"/>
        </w:tabs>
        <w:spacing w:before="120" w:after="120"/>
        <w:jc w:val="both"/>
        <w:rPr>
          <w:rFonts w:cs="Calibri"/>
        </w:rPr>
      </w:pPr>
      <w:r w:rsidRPr="005735A7">
        <w:rPr>
          <w:rFonts w:cs="Calibri"/>
        </w:rPr>
        <w:lastRenderedPageBreak/>
        <w:t>w przypadku beneficjentów, którzy nie są zobowiązani przepisami prawa do sporządzania Uchwały Budżetowej i Wieloletniej Prognozy Finansowej (np. NZOZ, MOSIR będący spółką prawa handlowego</w:t>
      </w:r>
      <w:r w:rsidR="00DA5A08">
        <w:t xml:space="preserve">, </w:t>
      </w:r>
      <w:r w:rsidR="00DA5A08" w:rsidRPr="00DA5A08">
        <w:rPr>
          <w:rFonts w:cs="Calibri"/>
        </w:rPr>
        <w:t xml:space="preserve">stowarzyszenia i fundacje), dokumentem potwierdzającym posiadanie środków może być:         </w:t>
      </w:r>
    </w:p>
    <w:p w14:paraId="70004632" w14:textId="77777777" w:rsidR="00DA5A08" w:rsidRPr="00DA5A08" w:rsidRDefault="00DA5A08" w:rsidP="00206A89">
      <w:pPr>
        <w:pStyle w:val="Akapitzlist1"/>
        <w:tabs>
          <w:tab w:val="left" w:pos="1134"/>
        </w:tabs>
        <w:spacing w:before="120" w:after="120"/>
        <w:ind w:left="1134"/>
        <w:jc w:val="both"/>
        <w:rPr>
          <w:rFonts w:cs="Calibri"/>
        </w:rPr>
      </w:pPr>
      <w:r w:rsidRPr="00DA5A08">
        <w:rPr>
          <w:rFonts w:cs="Calibri"/>
        </w:rPr>
        <w:t>a) Wieloletnia Prognoza Finansowa lub uchwała budżetowa podjęta przez organ założycielski pełniący nadzór i kontrolę nad podmiotem realizującym zadania jednostki samorządu terytorialnego,</w:t>
      </w:r>
    </w:p>
    <w:p w14:paraId="5591D3A4" w14:textId="77777777" w:rsidR="00DA5A08" w:rsidRPr="00DA5A08" w:rsidRDefault="00DA5A08" w:rsidP="00206A89">
      <w:pPr>
        <w:pStyle w:val="Akapitzlist1"/>
        <w:tabs>
          <w:tab w:val="left" w:pos="1134"/>
        </w:tabs>
        <w:spacing w:before="120" w:after="120"/>
        <w:ind w:left="1134"/>
        <w:jc w:val="both"/>
        <w:rPr>
          <w:rFonts w:cs="Calibri"/>
        </w:rPr>
      </w:pPr>
      <w:r w:rsidRPr="00DA5A08">
        <w:rPr>
          <w:rFonts w:cs="Calibri"/>
        </w:rPr>
        <w:t xml:space="preserve">b) wyciąg z wyodrębnionego na realizację projektu rachunku bankowego beneficjenta wskazujący wartość, co najmniej wkładu własnego wraz z oświadczeniem o wykorzystaniu środków na cele projektu, </w:t>
      </w:r>
    </w:p>
    <w:p w14:paraId="56710E92" w14:textId="77777777" w:rsidR="00DA5A08" w:rsidRPr="00DA5A08" w:rsidRDefault="00DA5A08" w:rsidP="00206A89">
      <w:pPr>
        <w:pStyle w:val="Akapitzlist1"/>
        <w:tabs>
          <w:tab w:val="left" w:pos="1134"/>
        </w:tabs>
        <w:spacing w:before="120" w:after="120"/>
        <w:ind w:left="1134"/>
        <w:jc w:val="both"/>
        <w:rPr>
          <w:rFonts w:cs="Calibri"/>
        </w:rPr>
      </w:pPr>
      <w:r w:rsidRPr="00DA5A08">
        <w:rPr>
          <w:rFonts w:cs="Calibri"/>
        </w:rPr>
        <w:t xml:space="preserve">c) dokument z banku potwierdzający średnie saldo za trzy ostatnie miesiące (średnie saldo wyliczane jest z sumy środków znajdującej się na rachunku bieżącym w kolejnych dniach miesiąca podzielonej przez liczbę dni w danym miesiącu kalendarzowym,   </w:t>
      </w:r>
    </w:p>
    <w:p w14:paraId="4A48E8A1" w14:textId="77777777" w:rsidR="00DA5A08" w:rsidRPr="00DA5A08" w:rsidRDefault="00DA5A08" w:rsidP="00206A89">
      <w:pPr>
        <w:pStyle w:val="Akapitzlist1"/>
        <w:tabs>
          <w:tab w:val="left" w:pos="1134"/>
        </w:tabs>
        <w:spacing w:before="120" w:after="120"/>
        <w:ind w:left="1134"/>
        <w:jc w:val="both"/>
        <w:rPr>
          <w:rFonts w:cs="Calibri"/>
        </w:rPr>
      </w:pPr>
      <w:r w:rsidRPr="00DA5A08">
        <w:rPr>
          <w:rFonts w:cs="Calibri"/>
        </w:rPr>
        <w:t xml:space="preserve">d) co najmniej trzymiesięczna lokata terminowa (dokument potwierdzający lokatę powinien zawierać </w:t>
      </w:r>
      <w:proofErr w:type="gramStart"/>
      <w:r w:rsidRPr="00DA5A08">
        <w:rPr>
          <w:rFonts w:cs="Calibri"/>
        </w:rPr>
        <w:t>informację  o</w:t>
      </w:r>
      <w:proofErr w:type="gramEnd"/>
      <w:r w:rsidRPr="00DA5A08">
        <w:rPr>
          <w:rFonts w:cs="Calibri"/>
        </w:rPr>
        <w:t xml:space="preserve"> terminie założenia lokaty wraz z terminem jej zapadalności),   </w:t>
      </w:r>
    </w:p>
    <w:p w14:paraId="3D88A38E" w14:textId="07248E1A" w:rsidR="009C4541" w:rsidRPr="005735A7" w:rsidRDefault="00DA5A08" w:rsidP="00206A89">
      <w:pPr>
        <w:pStyle w:val="Akapitzlist1"/>
        <w:tabs>
          <w:tab w:val="left" w:pos="1134"/>
        </w:tabs>
        <w:spacing w:before="120" w:after="120"/>
        <w:ind w:left="1134"/>
        <w:contextualSpacing w:val="0"/>
        <w:jc w:val="both"/>
        <w:rPr>
          <w:rFonts w:cs="Calibri"/>
          <w:noProof/>
        </w:rPr>
      </w:pPr>
      <w:r w:rsidRPr="00DA5A08">
        <w:rPr>
          <w:rFonts w:cs="Calibri"/>
        </w:rPr>
        <w:t xml:space="preserve">e) promesa </w:t>
      </w:r>
      <w:proofErr w:type="gramStart"/>
      <w:r w:rsidRPr="00DA5A08">
        <w:rPr>
          <w:rFonts w:cs="Calibri"/>
        </w:rPr>
        <w:t>bankowa,</w:t>
      </w:r>
      <w:proofErr w:type="gramEnd"/>
      <w:r w:rsidRPr="00DA5A08">
        <w:rPr>
          <w:rFonts w:cs="Calibri"/>
        </w:rPr>
        <w:t xml:space="preserve"> (w przypadku promesy warunkowej dokument będzie podlegał indywidualnej ocenie i akceptacji IZ RPO WSL w zakresie wskazanych przez bank warunków</w:t>
      </w:r>
      <w:r w:rsidR="007E3746">
        <w:rPr>
          <w:rFonts w:cs="Calibri"/>
        </w:rPr>
        <w:t>.</w:t>
      </w:r>
    </w:p>
    <w:p w14:paraId="3DF747B7" w14:textId="1EE57E0B"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w:t>
      </w:r>
      <w:r w:rsidRPr="00056494">
        <w:rPr>
          <w:rFonts w:cs="Calibri"/>
          <w:noProof/>
          <w:sz w:val="20"/>
          <w:szCs w:val="20"/>
        </w:rPr>
        <w:lastRenderedPageBreak/>
        <w:t>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5"/>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lastRenderedPageBreak/>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w:t>
      </w:r>
      <w:proofErr w:type="gramStart"/>
      <w:r w:rsidR="006C4449" w:rsidRPr="007240A9">
        <w:rPr>
          <w:b/>
          <w:bCs/>
          <w:sz w:val="20"/>
        </w:rPr>
        <w:t>publicznej ,</w:t>
      </w:r>
      <w:proofErr w:type="gramEnd"/>
      <w:r w:rsidR="006C4449" w:rsidRPr="007240A9">
        <w:rPr>
          <w:b/>
          <w:bCs/>
          <w:sz w:val="20"/>
        </w:rPr>
        <w:t xml:space="preserve">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 xml:space="preserve">a ona zawarta. Dotyczy to </w:t>
      </w:r>
      <w:r w:rsidRPr="00E634E0">
        <w:rPr>
          <w:rFonts w:cs="Calibri"/>
          <w:noProof/>
        </w:rPr>
        <w:lastRenderedPageBreak/>
        <w:t>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6"/>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7"/>
      </w:r>
      <w:r w:rsidRPr="00E634E0">
        <w:rPr>
          <w:rStyle w:val="Odwoanieprzypisudolnego"/>
          <w:rFonts w:cs="Calibri"/>
          <w:noProof/>
        </w:rPr>
        <w:footnoteReference w:id="18"/>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lastRenderedPageBreak/>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minimis (przedkładanego w ramach odrębnego załącznika), w części A pkt </w:t>
      </w:r>
      <w:proofErr w:type="gramStart"/>
      <w:r w:rsidRPr="001A7E3E">
        <w:rPr>
          <w:sz w:val="20"/>
          <w:szCs w:val="20"/>
          <w:lang w:eastAsia="en-US"/>
        </w:rPr>
        <w:t>9  informacji</w:t>
      </w:r>
      <w:proofErr w:type="gramEnd"/>
      <w:r w:rsidRPr="001A7E3E">
        <w:rPr>
          <w:sz w:val="20"/>
          <w:szCs w:val="20"/>
          <w:lang w:eastAsia="en-US"/>
        </w:rPr>
        <w:t xml:space="preserve">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w:t>
      </w:r>
      <w:r w:rsidRPr="00BB46D6">
        <w:rPr>
          <w:rFonts w:asciiTheme="minorHAnsi" w:hAnsiTheme="minorHAnsi" w:cs="Calibri"/>
          <w:noProof/>
        </w:rPr>
        <w:lastRenderedPageBreak/>
        <w:t xml:space="preserve">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lastRenderedPageBreak/>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w:t>
      </w:r>
      <w:proofErr w:type="gramStart"/>
      <w:r w:rsidRPr="00E634E0">
        <w:rPr>
          <w:rFonts w:cs="Calibri"/>
          <w:szCs w:val="24"/>
        </w:rPr>
        <w:t>ramach  tego</w:t>
      </w:r>
      <w:proofErr w:type="gramEnd"/>
      <w:r w:rsidRPr="00E634E0">
        <w:rPr>
          <w:rFonts w:cs="Calibri"/>
          <w:szCs w:val="24"/>
        </w:rPr>
        <w:t xml:space="preserve">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38354C4"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 xml:space="preserve">Wspierane urządzenia do ogrzewania powinny od początku okresu programowania charakteryzować się obowiązującym od końca 2020 r. minimalnym poziomem efektywności energetycznej i normami emisji </w:t>
      </w:r>
      <w:r w:rsidRPr="00E634E0">
        <w:rPr>
          <w:rFonts w:cs="Calibri"/>
          <w:noProof/>
        </w:rPr>
        <w:lastRenderedPageBreak/>
        <w:t>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214116" w:rsidP="00B73740">
      <w:pPr>
        <w:pStyle w:val="Akapitzlist1"/>
        <w:tabs>
          <w:tab w:val="left" w:pos="1418"/>
        </w:tabs>
        <w:spacing w:before="120" w:after="120"/>
        <w:ind w:left="0"/>
        <w:contextualSpacing w:val="0"/>
        <w:jc w:val="both"/>
        <w:rPr>
          <w:rStyle w:val="Hipercze"/>
          <w:rFonts w:cs="Calibri"/>
          <w:noProof/>
        </w:rPr>
      </w:pPr>
      <w:hyperlink r:id="rId14"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214116" w:rsidP="00B73740">
      <w:pPr>
        <w:autoSpaceDE w:val="0"/>
        <w:autoSpaceDN w:val="0"/>
        <w:adjustRightInd w:val="0"/>
        <w:spacing w:before="120" w:after="120"/>
        <w:jc w:val="both"/>
        <w:rPr>
          <w:rStyle w:val="Hipercze"/>
          <w:rFonts w:cs="Calibri"/>
          <w:sz w:val="20"/>
          <w:szCs w:val="20"/>
        </w:rPr>
      </w:pPr>
      <w:hyperlink r:id="rId15"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 xml:space="preserve">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w:t>
      </w:r>
      <w:r w:rsidRPr="00E634E0">
        <w:rPr>
          <w:rStyle w:val="Hipercze"/>
          <w:rFonts w:cs="Calibri"/>
          <w:color w:val="000000"/>
          <w:sz w:val="20"/>
          <w:szCs w:val="20"/>
          <w:u w:val="none"/>
        </w:rPr>
        <w:lastRenderedPageBreak/>
        <w:t>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214116" w:rsidP="00790361">
      <w:pPr>
        <w:spacing w:after="160" w:line="259" w:lineRule="auto"/>
        <w:jc w:val="both"/>
        <w:rPr>
          <w:sz w:val="20"/>
          <w:szCs w:val="20"/>
          <w:lang w:eastAsia="en-US"/>
        </w:rPr>
      </w:pPr>
      <w:hyperlink r:id="rId16"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w:t>
      </w:r>
      <w:r w:rsidRPr="00277583">
        <w:rPr>
          <w:sz w:val="20"/>
          <w:szCs w:val="20"/>
          <w:lang w:eastAsia="en-US"/>
        </w:rPr>
        <w:lastRenderedPageBreak/>
        <w:t xml:space="preserve">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9"/>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05A522B2"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7CF86258" w14:textId="05598029"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lastRenderedPageBreak/>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 xml:space="preserve">nie usług publicznych (w </w:t>
      </w:r>
      <w:proofErr w:type="gramStart"/>
      <w:r w:rsidR="00DF5179">
        <w:rPr>
          <w:rFonts w:cs="Calibri"/>
          <w:color w:val="000000"/>
        </w:rPr>
        <w:t>ramach</w:t>
      </w:r>
      <w:proofErr w:type="gramEnd"/>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 xml:space="preserve">ów umowy na świadczenie usług </w:t>
      </w:r>
      <w:r w:rsidR="00DF5179">
        <w:rPr>
          <w:sz w:val="20"/>
          <w:szCs w:val="20"/>
          <w:lang w:eastAsia="en-US"/>
        </w:rPr>
        <w:lastRenderedPageBreak/>
        <w:t>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proofErr w:type="gramStart"/>
      <w:r w:rsidR="00DF5179">
        <w:rPr>
          <w:rFonts w:cs="Calibri"/>
          <w:color w:val="000000"/>
        </w:rPr>
        <w:t>do  wskazania</w:t>
      </w:r>
      <w:proofErr w:type="gramEnd"/>
      <w:r w:rsidR="00DF5179">
        <w:rPr>
          <w:rFonts w:cs="Calibri"/>
          <w:color w:val="000000"/>
        </w:rPr>
        <w:t>,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0"/>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grantobiorcą.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proofErr w:type="gramStart"/>
      <w:r w:rsidRPr="000A6DA9">
        <w:rPr>
          <w:rFonts w:cs="Calibri"/>
          <w:color w:val="000000"/>
          <w:sz w:val="20"/>
          <w:szCs w:val="20"/>
        </w:rPr>
        <w:t>przedmiot  umowy</w:t>
      </w:r>
      <w:proofErr w:type="gramEnd"/>
      <w:r w:rsidRPr="000A6DA9">
        <w:rPr>
          <w:rFonts w:cs="Calibri"/>
          <w:color w:val="000000"/>
          <w:sz w:val="20"/>
          <w:szCs w:val="20"/>
        </w:rPr>
        <w:t>,</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grantobiorcy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 xml:space="preserve">warunki przekazania i rozliczenia grantu, </w:t>
      </w:r>
      <w:proofErr w:type="gramStart"/>
      <w:r w:rsidRPr="000A6DA9">
        <w:rPr>
          <w:sz w:val="20"/>
          <w:szCs w:val="20"/>
        </w:rPr>
        <w:t>m.in. :</w:t>
      </w:r>
      <w:proofErr w:type="gramEnd"/>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lastRenderedPageBreak/>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 xml:space="preserve">zobligowanie grantobiorcy do </w:t>
      </w:r>
      <w:proofErr w:type="gramStart"/>
      <w:r w:rsidRPr="000A6DA9">
        <w:rPr>
          <w:sz w:val="20"/>
        </w:rPr>
        <w:t>złożenia  dokumentów</w:t>
      </w:r>
      <w:proofErr w:type="gramEnd"/>
      <w:r w:rsidRPr="000A6DA9">
        <w:rPr>
          <w:sz w:val="20"/>
        </w:rPr>
        <w:t xml:space="preserve">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1"/>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kosztorysu powykonawczego zatwierdzonego przez beneficjenta. Kosztorys nie jest </w:t>
      </w:r>
      <w:proofErr w:type="gramStart"/>
      <w:r w:rsidRPr="000A6DA9">
        <w:rPr>
          <w:sz w:val="20"/>
          <w:szCs w:val="20"/>
          <w:lang w:eastAsia="ja-JP"/>
        </w:rPr>
        <w:t>wymagany</w:t>
      </w:r>
      <w:proofErr w:type="gramEnd"/>
      <w:r w:rsidRPr="000A6DA9">
        <w:rPr>
          <w:sz w:val="20"/>
          <w:szCs w:val="20"/>
          <w:lang w:eastAsia="ja-JP"/>
        </w:rPr>
        <w:t xml:space="preserve">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2"/>
      </w:r>
      <w:r w:rsidRPr="000A6DA9">
        <w:rPr>
          <w:sz w:val="20"/>
          <w:szCs w:val="20"/>
          <w:lang w:eastAsia="ja-JP"/>
        </w:rPr>
        <w:t xml:space="preserve"> o nieprowadzeniu działalności gospodarczej lub oświadczenie w sprawie pomocy de minimis,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(grantobiorca)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grantobiorcy o </w:t>
      </w:r>
      <w:proofErr w:type="gramStart"/>
      <w:r w:rsidRPr="000A6DA9">
        <w:rPr>
          <w:sz w:val="20"/>
          <w:szCs w:val="20"/>
          <w:lang w:eastAsia="ja-JP"/>
        </w:rPr>
        <w:t>nie wykluczeniu</w:t>
      </w:r>
      <w:proofErr w:type="gramEnd"/>
      <w:r w:rsidRPr="000A6DA9">
        <w:rPr>
          <w:sz w:val="20"/>
          <w:szCs w:val="20"/>
          <w:lang w:eastAsia="ja-JP"/>
        </w:rPr>
        <w:t xml:space="preserve">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zasad rozliczania wpłat, w </w:t>
      </w:r>
      <w:proofErr w:type="gramStart"/>
      <w:r w:rsidRPr="000A6DA9">
        <w:rPr>
          <w:rFonts w:cs="Calibri"/>
          <w:color w:val="000000"/>
          <w:sz w:val="20"/>
        </w:rPr>
        <w:t>przypadku</w:t>
      </w:r>
      <w:proofErr w:type="gramEnd"/>
      <w:r w:rsidRPr="000A6DA9">
        <w:rPr>
          <w:rFonts w:cs="Calibri"/>
          <w:color w:val="000000"/>
          <w:sz w:val="20"/>
        </w:rPr>
        <w:t xml:space="preserve">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czynności, jakie beneficjent podejmie, w przypadku braku dobrowolnego zwrotu środków przez grantobiorcę,</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wskazania sądu właściwego do rozstrzygania </w:t>
      </w:r>
      <w:proofErr w:type="gramStart"/>
      <w:r w:rsidRPr="000A6DA9">
        <w:rPr>
          <w:rFonts w:cs="Calibri"/>
          <w:color w:val="000000"/>
          <w:sz w:val="20"/>
          <w:szCs w:val="20"/>
        </w:rPr>
        <w:t>sporów,</w:t>
      </w:r>
      <w:r w:rsidRPr="000A6DA9">
        <w:rPr>
          <w:sz w:val="20"/>
          <w:szCs w:val="20"/>
        </w:rPr>
        <w:t>zagadnienia</w:t>
      </w:r>
      <w:proofErr w:type="gramEnd"/>
      <w:r w:rsidRPr="000A6DA9">
        <w:rPr>
          <w:sz w:val="20"/>
          <w:szCs w:val="20"/>
        </w:rPr>
        <w:t xml:space="preserve"> związane z przetwarzaniem danych osobowych grantobiorców zgodnie przepisami prawa powszechnie obowiązującego o ochronie danych osobowych, w szczególności z przepisami RODO, w tym również w zakresie  wyrażenia zgody grantobiorcy  </w:t>
      </w:r>
      <w:r w:rsidRPr="000A6DA9">
        <w:rPr>
          <w:rFonts w:cs="Calibri"/>
          <w:color w:val="000000"/>
          <w:sz w:val="20"/>
          <w:szCs w:val="20"/>
        </w:rPr>
        <w:t xml:space="preserve">na uczestnictwo w wywiadach, ankietach i panelach w ramach ewaluacji, badań i analiz, itp. </w:t>
      </w:r>
    </w:p>
    <w:p w14:paraId="211DD706" w14:textId="77777777" w:rsidR="0057183C" w:rsidRPr="000A6DA9" w:rsidRDefault="0057183C" w:rsidP="0057183C">
      <w:pPr>
        <w:spacing w:after="0" w:line="240" w:lineRule="auto"/>
        <w:jc w:val="both"/>
        <w:rPr>
          <w:b/>
          <w:sz w:val="20"/>
          <w:szCs w:val="20"/>
        </w:rPr>
      </w:pPr>
    </w:p>
    <w:p w14:paraId="10CEBC0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60F160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t>
      </w:r>
      <w:r w:rsidRPr="000A6DA9">
        <w:rPr>
          <w:rFonts w:cs="Calibri"/>
          <w:noProof/>
          <w:sz w:val="20"/>
          <w:szCs w:val="20"/>
        </w:rPr>
        <w:lastRenderedPageBreak/>
        <w:t xml:space="preserve">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29894964"/>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29894965"/>
      <w:r w:rsidRPr="00E634E0">
        <w:t>I. ZAŁĄCZNIKI GENEROWANE W SYSTEMIE</w:t>
      </w:r>
      <w:bookmarkEnd w:id="129"/>
    </w:p>
    <w:p w14:paraId="7BE50DE1" w14:textId="77777777" w:rsidR="00886690" w:rsidRPr="00E634E0" w:rsidRDefault="00886690" w:rsidP="00E354DA">
      <w:pPr>
        <w:pStyle w:val="Pole"/>
      </w:pPr>
      <w:bookmarkStart w:id="130" w:name="_Toc29894966"/>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w:t>
      </w:r>
      <w:proofErr w:type="gramStart"/>
      <w:r w:rsidR="00A0243F" w:rsidRPr="00A0243F">
        <w:rPr>
          <w:rFonts w:cs="Calibri"/>
          <w:sz w:val="20"/>
          <w:szCs w:val="20"/>
        </w:rPr>
        <w:t>tj.</w:t>
      </w:r>
      <w:proofErr w:type="gramEnd"/>
      <w:r w:rsidR="00A0243F" w:rsidRPr="00A0243F">
        <w:rPr>
          <w:rFonts w:cs="Calibri"/>
          <w:sz w:val="20"/>
          <w:szCs w:val="20"/>
        </w:rPr>
        <w:t xml:space="preserve">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lastRenderedPageBreak/>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 xml:space="preserve">Ustalając wielkość przedsiębiorstwa, należy więc w pierwszej kolejności </w:t>
      </w:r>
      <w:proofErr w:type="gramStart"/>
      <w:r w:rsidR="00732F45" w:rsidRPr="00732F45">
        <w:rPr>
          <w:rFonts w:cs="Calibri"/>
          <w:sz w:val="20"/>
          <w:szCs w:val="20"/>
        </w:rPr>
        <w:t>rozstrzygnąć</w:t>
      </w:r>
      <w:proofErr w:type="gramEnd"/>
      <w:r w:rsidR="00732F45" w:rsidRPr="00732F45">
        <w:rPr>
          <w:rFonts w:cs="Calibri"/>
          <w:sz w:val="20"/>
          <w:szCs w:val="20"/>
        </w:rPr>
        <w:t xml:space="preserve">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Nordbrandenburger UmesterungsWerke (Dz. Urz. </w:t>
      </w:r>
      <w:proofErr w:type="gramStart"/>
      <w:r w:rsidRPr="00732F45">
        <w:rPr>
          <w:rFonts w:cs="Calibri"/>
          <w:sz w:val="20"/>
          <w:szCs w:val="20"/>
        </w:rPr>
        <w:t>UE .</w:t>
      </w:r>
      <w:proofErr w:type="gramEnd"/>
      <w:r w:rsidRPr="00732F45">
        <w:rPr>
          <w:rFonts w:cs="Calibri"/>
          <w:sz w:val="20"/>
          <w:szCs w:val="20"/>
        </w:rPr>
        <w:t xml:space="preserve">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p>
    <w:p w14:paraId="44A671B9" w14:textId="77777777" w:rsidR="00732F45" w:rsidRDefault="00214116" w:rsidP="009C50B8">
      <w:pPr>
        <w:spacing w:after="120"/>
        <w:ind w:left="567"/>
        <w:jc w:val="both"/>
        <w:rPr>
          <w:rFonts w:cs="Calibri"/>
          <w:sz w:val="20"/>
          <w:szCs w:val="20"/>
        </w:rPr>
      </w:pPr>
      <w:hyperlink r:id="rId17"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r w:rsidRPr="00D0427C">
        <w:rPr>
          <w:rFonts w:cs="Calibri"/>
          <w:sz w:val="20"/>
        </w:rPr>
        <w:t>HaTeFo GmbH przeciwko Finanzamt Haldensleben</w:t>
      </w:r>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lastRenderedPageBreak/>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lastRenderedPageBreak/>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lastRenderedPageBreak/>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w:t>
      </w:r>
      <w:proofErr w:type="gramStart"/>
      <w:r w:rsidRPr="00B229BE">
        <w:rPr>
          <w:rFonts w:asciiTheme="minorHAnsi" w:hAnsiTheme="minorHAnsi"/>
          <w:sz w:val="20"/>
          <w:szCs w:val="20"/>
          <w:lang w:eastAsia="en-US"/>
        </w:rPr>
        <w:t>ze</w:t>
      </w:r>
      <w:proofErr w:type="gramEnd"/>
      <w:r w:rsidRPr="00B229BE">
        <w:rPr>
          <w:rFonts w:asciiTheme="minorHAnsi" w:hAnsiTheme="minorHAnsi"/>
          <w:sz w:val="20"/>
          <w:szCs w:val="20"/>
          <w:lang w:eastAsia="en-US"/>
        </w:rPr>
        <w:t xml:space="preserv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214116" w:rsidP="00585AB6">
      <w:pPr>
        <w:pStyle w:val="Akapitzlist1"/>
        <w:spacing w:before="120" w:after="120"/>
        <w:ind w:left="0"/>
        <w:contextualSpacing w:val="0"/>
        <w:jc w:val="both"/>
        <w:rPr>
          <w:rFonts w:cs="Calibri"/>
          <w:noProof/>
        </w:rPr>
      </w:pPr>
      <w:hyperlink r:id="rId19"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29894967"/>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 xml:space="preserve">Instrukcji składania wniosków, korespondencji i protestów </w:t>
      </w:r>
      <w:r w:rsidRPr="00E634E0">
        <w:rPr>
          <w:rFonts w:cs="Calibri"/>
          <w:i/>
          <w:noProof/>
        </w:rPr>
        <w:lastRenderedPageBreak/>
        <w:t>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315808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weryfikowanego kwalifikowanym certyfikatem</w:t>
      </w:r>
      <w:r w:rsidR="0035765D">
        <w:rPr>
          <w:rFonts w:cs="Calibri"/>
          <w:sz w:val="20"/>
        </w:rPr>
        <w:t xml:space="preserve"> </w:t>
      </w:r>
      <w:r w:rsidRPr="00585AB6">
        <w:rPr>
          <w:rFonts w:cs="Calibri"/>
          <w:sz w:val="20"/>
        </w:rPr>
        <w:t>lub profilu zaufanego ePUAP.</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w:lastRenderedPageBreak/>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BE488"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e-PuaP.</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E54CF6"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proofErr w:type="gramStart"/>
      <w:r w:rsidRPr="00E634E0">
        <w:rPr>
          <w:rFonts w:cs="Calibri"/>
          <w:sz w:val="20"/>
          <w:szCs w:val="20"/>
        </w:rPr>
        <w:t>UWAGA !</w:t>
      </w:r>
      <w:proofErr w:type="gramEnd"/>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r>
        <w:br w:type="column"/>
      </w:r>
      <w:bookmarkStart w:id="132" w:name="_Toc29894968"/>
      <w:r w:rsidR="00744ABB" w:rsidRPr="00FC6259">
        <w:lastRenderedPageBreak/>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5"/>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0DD3" w14:textId="77777777" w:rsidR="006E510D" w:rsidRDefault="006E510D" w:rsidP="00416763">
      <w:pPr>
        <w:spacing w:after="0" w:line="240" w:lineRule="auto"/>
      </w:pPr>
      <w:r>
        <w:separator/>
      </w:r>
    </w:p>
  </w:endnote>
  <w:endnote w:type="continuationSeparator" w:id="0">
    <w:p w14:paraId="14FE87B1" w14:textId="77777777" w:rsidR="006E510D" w:rsidRDefault="006E510D"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17B4" w14:textId="61334CDF" w:rsidR="006E510D" w:rsidRDefault="006E510D">
    <w:pPr>
      <w:pStyle w:val="Stopka"/>
      <w:jc w:val="right"/>
    </w:pPr>
    <w:r>
      <w:fldChar w:fldCharType="begin"/>
    </w:r>
    <w:r>
      <w:instrText>PAGE   \* MERGEFORMAT</w:instrText>
    </w:r>
    <w:r>
      <w:fldChar w:fldCharType="separate"/>
    </w:r>
    <w:r w:rsidR="00B66A6E">
      <w:rPr>
        <w:noProof/>
      </w:rPr>
      <w:t>19</w:t>
    </w:r>
    <w:r>
      <w:fldChar w:fldCharType="end"/>
    </w:r>
  </w:p>
  <w:p w14:paraId="7FBF4BE6" w14:textId="77777777" w:rsidR="006E510D" w:rsidRDefault="006E510D"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607C4" w14:textId="77777777" w:rsidR="006E510D" w:rsidRDefault="006E510D" w:rsidP="00416763">
      <w:pPr>
        <w:spacing w:after="0" w:line="240" w:lineRule="auto"/>
      </w:pPr>
      <w:r>
        <w:separator/>
      </w:r>
    </w:p>
  </w:footnote>
  <w:footnote w:type="continuationSeparator" w:id="0">
    <w:p w14:paraId="69AB90A7" w14:textId="77777777" w:rsidR="006E510D" w:rsidRDefault="006E510D" w:rsidP="00416763">
      <w:pPr>
        <w:spacing w:after="0" w:line="240" w:lineRule="auto"/>
      </w:pPr>
      <w:r>
        <w:continuationSeparator/>
      </w:r>
    </w:p>
  </w:footnote>
  <w:footnote w:id="1">
    <w:p w14:paraId="29BA0ACB" w14:textId="77777777" w:rsidR="006E510D" w:rsidRDefault="006E510D"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6E510D" w:rsidRDefault="006E510D">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6E510D" w:rsidRDefault="006E510D"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t>
      </w:r>
      <w:r w:rsidRPr="00820346">
        <w:rPr>
          <w:sz w:val="18"/>
        </w:rPr>
        <w:t>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6E510D" w:rsidRDefault="006E510D">
      <w:pPr>
        <w:pStyle w:val="Tekstprzypisudolnego"/>
      </w:pPr>
      <w:r>
        <w:rPr>
          <w:rStyle w:val="Odwoanieprzypisudolnego"/>
        </w:rPr>
        <w:footnoteRef/>
      </w:r>
      <w:r w:rsidRPr="007E16DE">
        <w:rPr>
          <w:sz w:val="18"/>
          <w:szCs w:val="18"/>
        </w:rPr>
        <w:t>Wyjątek może dot. przesłanki odnoszącej się do korzyści w przypadku projektów realizowanych w modelu pass-on (</w:t>
      </w:r>
      <w:r w:rsidRPr="007E16DE">
        <w:rPr>
          <w:sz w:val="18"/>
          <w:szCs w:val="18"/>
        </w:rPr>
        <w:t>dot.. projektów parasolowych lub grantowych), jeżeli wykazane zostanie, iż cała korzyść przekazywana jest na niższy poziom.</w:t>
      </w:r>
    </w:p>
  </w:footnote>
  <w:footnote w:id="5">
    <w:p w14:paraId="732F4BFB" w14:textId="77777777" w:rsidR="006E510D" w:rsidRPr="00460FD1" w:rsidRDefault="006E510D"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6E510D" w:rsidRPr="00460FD1" w:rsidRDefault="00214116" w:rsidP="00460FD1">
      <w:pPr>
        <w:pStyle w:val="Tekstprzypisudolnego"/>
        <w:jc w:val="both"/>
        <w:rPr>
          <w:sz w:val="18"/>
        </w:rPr>
      </w:pPr>
      <w:hyperlink r:id="rId1" w:history="1">
        <w:r w:rsidR="006E510D"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6E510D" w:rsidRDefault="00214116" w:rsidP="00460FD1">
      <w:pPr>
        <w:pStyle w:val="Tekstprzypisudolnego"/>
        <w:jc w:val="both"/>
      </w:pPr>
      <w:hyperlink r:id="rId2" w:history="1">
        <w:r w:rsidR="006E510D"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6E510D" w:rsidRPr="00460FD1">
        <w:rPr>
          <w:sz w:val="18"/>
        </w:rPr>
        <w:t xml:space="preserve"> </w:t>
      </w:r>
    </w:p>
  </w:footnote>
  <w:footnote w:id="6">
    <w:p w14:paraId="76A002A2" w14:textId="107C397A" w:rsidR="006E510D" w:rsidRPr="00DC6F60" w:rsidRDefault="006E510D"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7">
    <w:p w14:paraId="739203D3" w14:textId="77777777" w:rsidR="006E510D" w:rsidRPr="00DC6F60" w:rsidRDefault="006E510D"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14:paraId="43A9A2F9" w14:textId="77777777" w:rsidR="006E510D" w:rsidRDefault="006E510D"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9">
    <w:p w14:paraId="32DB1ACC" w14:textId="3A483EF1" w:rsidR="006E510D" w:rsidRDefault="006E510D">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0">
    <w:p w14:paraId="296EA840" w14:textId="77777777" w:rsidR="006E510D" w:rsidRDefault="006E510D">
      <w:pPr>
        <w:pStyle w:val="Tekstprzypisudolnego"/>
      </w:pPr>
      <w:r>
        <w:rPr>
          <w:rStyle w:val="Odwoanieprzypisudolnego"/>
        </w:rPr>
        <w:footnoteRef/>
      </w:r>
      <w:r>
        <w:t xml:space="preserve"> </w:t>
      </w:r>
      <w:r w:rsidRPr="00AD68F3">
        <w:t xml:space="preserve">Wyodrębnienie zadań związanych z pomocą publiczną w działaniu 1.1 będzie miało charakter szczególny w przypadku, gdy inwestycja dotyczyć będzie </w:t>
      </w:r>
      <w:r w:rsidRPr="00AD68F3">
        <w:t>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1">
    <w:p w14:paraId="153957AD" w14:textId="77777777" w:rsidR="006E510D" w:rsidRPr="00B04F16" w:rsidRDefault="006E510D"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6E510D" w:rsidRPr="00B04F16" w:rsidRDefault="006E510D" w:rsidP="00B04F16">
      <w:pPr>
        <w:pStyle w:val="Tekstprzypisudolnego"/>
        <w:jc w:val="both"/>
        <w:rPr>
          <w:sz w:val="18"/>
        </w:rPr>
      </w:pPr>
      <w:r w:rsidRPr="00B04F16">
        <w:rPr>
          <w:sz w:val="18"/>
        </w:rPr>
        <w:t>-są projektami rewitalizacyjnymi (zgodnie z def. określoną w Regulaminie konkursu),</w:t>
      </w:r>
    </w:p>
    <w:p w14:paraId="1AD71FB3" w14:textId="77777777" w:rsidR="006E510D" w:rsidRPr="00B04F16" w:rsidRDefault="006E510D" w:rsidP="00B04F16">
      <w:pPr>
        <w:pStyle w:val="Tekstprzypisudolnego"/>
        <w:jc w:val="both"/>
        <w:rPr>
          <w:sz w:val="18"/>
        </w:rPr>
      </w:pPr>
      <w:r w:rsidRPr="00B04F16">
        <w:rPr>
          <w:sz w:val="18"/>
        </w:rPr>
        <w:t>-nie są objęte pomocą publiczną, w tym rekompensatą,</w:t>
      </w:r>
    </w:p>
    <w:p w14:paraId="49E7D69E" w14:textId="77777777" w:rsidR="006E510D" w:rsidRPr="00B04F16" w:rsidRDefault="006E510D" w:rsidP="00B04F16">
      <w:pPr>
        <w:pStyle w:val="Tekstprzypisudolnego"/>
        <w:jc w:val="both"/>
        <w:rPr>
          <w:sz w:val="18"/>
        </w:rPr>
      </w:pPr>
      <w:r w:rsidRPr="00B04F16">
        <w:rPr>
          <w:sz w:val="18"/>
        </w:rPr>
        <w:t>-nie są objęte pomocą de minimis,</w:t>
      </w:r>
    </w:p>
    <w:p w14:paraId="5E2134E7" w14:textId="77777777" w:rsidR="006E510D" w:rsidRDefault="006E510D" w:rsidP="00B04F16">
      <w:pPr>
        <w:pStyle w:val="Tekstprzypisudolnego"/>
        <w:jc w:val="both"/>
      </w:pPr>
      <w:r w:rsidRPr="00B04F16">
        <w:rPr>
          <w:sz w:val="18"/>
        </w:rPr>
        <w:t>-nie są projektami generującymi dochód w rozumieniu art. 61 rozporządzenia nr 1303/2013</w:t>
      </w:r>
      <w:r>
        <w:rPr>
          <w:sz w:val="18"/>
        </w:rPr>
        <w:t>.</w:t>
      </w:r>
    </w:p>
  </w:footnote>
  <w:footnote w:id="12">
    <w:p w14:paraId="3AF76307" w14:textId="77777777" w:rsidR="006E510D" w:rsidRDefault="006E510D"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3">
    <w:p w14:paraId="5E0AC1A8" w14:textId="1C0348D6" w:rsidR="006E510D" w:rsidRDefault="006E510D"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4">
    <w:p w14:paraId="3E8FC65F" w14:textId="1D262F26" w:rsidR="006E510D" w:rsidRDefault="006E510D">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5">
    <w:p w14:paraId="3F9EC69B" w14:textId="77777777" w:rsidR="006E510D" w:rsidRDefault="006E510D">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6">
    <w:p w14:paraId="4935F197" w14:textId="77777777" w:rsidR="006E510D" w:rsidRDefault="006E510D">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7">
    <w:p w14:paraId="3581FA0F" w14:textId="77777777" w:rsidR="006E510D" w:rsidRDefault="006E510D">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8">
    <w:p w14:paraId="5662E0DF" w14:textId="77777777" w:rsidR="006E510D" w:rsidRDefault="006E510D">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9">
    <w:p w14:paraId="2A59B988" w14:textId="77777777" w:rsidR="006E510D" w:rsidRPr="00796FBB" w:rsidRDefault="006E510D"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0">
    <w:p w14:paraId="4F2F6D2C" w14:textId="77777777" w:rsidR="006E510D" w:rsidRDefault="006E510D"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1">
    <w:p w14:paraId="3657D62B" w14:textId="77777777" w:rsidR="006E510D" w:rsidRPr="00AA043B" w:rsidRDefault="006E510D"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t>
      </w:r>
      <w:r w:rsidRPr="00AA043B">
        <w:rPr>
          <w:sz w:val="18"/>
          <w:szCs w:val="18"/>
        </w:rPr>
        <w:t xml:space="preserve">WSL  tj. Projekt współfinansowany z Unii Europejskiej w ramach RPO WSL 2014-2020 wraz ze wskazaniem kwoty dofinansowania </w:t>
      </w:r>
    </w:p>
  </w:footnote>
  <w:footnote w:id="22">
    <w:p w14:paraId="62BFF11B" w14:textId="77777777" w:rsidR="006E510D" w:rsidRPr="00E827BC" w:rsidRDefault="006E510D"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4670A03"/>
    <w:multiLevelType w:val="multilevel"/>
    <w:tmpl w:val="3ECA263A"/>
    <w:lvl w:ilvl="0">
      <w:start w:val="1"/>
      <w:numFmt w:val="decimal"/>
      <w:lvlText w:val="%1."/>
      <w:lvlJc w:val="left"/>
      <w:pPr>
        <w:ind w:left="720" w:hanging="360"/>
      </w:pPr>
      <w:rPr>
        <w:rFonts w:cs="Times New Roman" w:hint="default"/>
        <w:b w:val="0"/>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2"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4"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5"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5606756B"/>
    <w:multiLevelType w:val="hybridMultilevel"/>
    <w:tmpl w:val="45704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4"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8"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4"/>
  </w:num>
  <w:num w:numId="2">
    <w:abstractNumId w:val="30"/>
  </w:num>
  <w:num w:numId="3">
    <w:abstractNumId w:val="42"/>
  </w:num>
  <w:num w:numId="4">
    <w:abstractNumId w:val="56"/>
  </w:num>
  <w:num w:numId="5">
    <w:abstractNumId w:val="19"/>
  </w:num>
  <w:num w:numId="6">
    <w:abstractNumId w:val="8"/>
  </w:num>
  <w:num w:numId="7">
    <w:abstractNumId w:val="51"/>
  </w:num>
  <w:num w:numId="8">
    <w:abstractNumId w:val="21"/>
  </w:num>
  <w:num w:numId="9">
    <w:abstractNumId w:val="44"/>
  </w:num>
  <w:num w:numId="10">
    <w:abstractNumId w:val="45"/>
  </w:num>
  <w:num w:numId="11">
    <w:abstractNumId w:val="58"/>
  </w:num>
  <w:num w:numId="12">
    <w:abstractNumId w:val="48"/>
  </w:num>
  <w:num w:numId="13">
    <w:abstractNumId w:val="34"/>
  </w:num>
  <w:num w:numId="14">
    <w:abstractNumId w:val="25"/>
  </w:num>
  <w:num w:numId="15">
    <w:abstractNumId w:val="52"/>
  </w:num>
  <w:num w:numId="16">
    <w:abstractNumId w:val="23"/>
  </w:num>
  <w:num w:numId="17">
    <w:abstractNumId w:val="11"/>
  </w:num>
  <w:num w:numId="18">
    <w:abstractNumId w:val="2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2"/>
  </w:num>
  <w:num w:numId="22">
    <w:abstractNumId w:val="43"/>
  </w:num>
  <w:num w:numId="23">
    <w:abstractNumId w:val="12"/>
  </w:num>
  <w:num w:numId="24">
    <w:abstractNumId w:val="15"/>
  </w:num>
  <w:num w:numId="25">
    <w:abstractNumId w:val="26"/>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7"/>
  </w:num>
  <w:num w:numId="30">
    <w:abstractNumId w:val="18"/>
  </w:num>
  <w:num w:numId="31">
    <w:abstractNumId w:val="46"/>
  </w:num>
  <w:num w:numId="32">
    <w:abstractNumId w:val="35"/>
  </w:num>
  <w:num w:numId="33">
    <w:abstractNumId w:val="39"/>
  </w:num>
  <w:num w:numId="34">
    <w:abstractNumId w:val="1"/>
  </w:num>
  <w:num w:numId="35">
    <w:abstractNumId w:val="9"/>
  </w:num>
  <w:num w:numId="36">
    <w:abstractNumId w:val="57"/>
  </w:num>
  <w:num w:numId="37">
    <w:abstractNumId w:val="36"/>
  </w:num>
  <w:num w:numId="38">
    <w:abstractNumId w:val="5"/>
  </w:num>
  <w:num w:numId="39">
    <w:abstractNumId w:val="16"/>
  </w:num>
  <w:num w:numId="40">
    <w:abstractNumId w:val="10"/>
  </w:num>
  <w:num w:numId="41">
    <w:abstractNumId w:val="53"/>
  </w:num>
  <w:num w:numId="42">
    <w:abstractNumId w:val="33"/>
  </w:num>
  <w:num w:numId="43">
    <w:abstractNumId w:val="4"/>
  </w:num>
  <w:num w:numId="44">
    <w:abstractNumId w:val="14"/>
  </w:num>
  <w:num w:numId="45">
    <w:abstractNumId w:val="38"/>
  </w:num>
  <w:num w:numId="46">
    <w:abstractNumId w:val="17"/>
  </w:num>
  <w:num w:numId="47">
    <w:abstractNumId w:val="2"/>
  </w:num>
  <w:num w:numId="48">
    <w:abstractNumId w:val="6"/>
  </w:num>
  <w:num w:numId="49">
    <w:abstractNumId w:val="40"/>
  </w:num>
  <w:num w:numId="50">
    <w:abstractNumId w:val="55"/>
  </w:num>
  <w:num w:numId="51">
    <w:abstractNumId w:val="31"/>
  </w:num>
  <w:num w:numId="52">
    <w:abstractNumId w:val="49"/>
  </w:num>
  <w:num w:numId="53">
    <w:abstractNumId w:val="28"/>
  </w:num>
  <w:num w:numId="54">
    <w:abstractNumId w:val="41"/>
  </w:num>
  <w:num w:numId="55">
    <w:abstractNumId w:val="3"/>
  </w:num>
  <w:num w:numId="56">
    <w:abstractNumId w:val="50"/>
  </w:num>
  <w:num w:numId="57">
    <w:abstractNumId w:val="59"/>
  </w:num>
  <w:num w:numId="58">
    <w:abstractNumId w:val="29"/>
  </w:num>
  <w:num w:numId="59">
    <w:abstractNumId w:val="20"/>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7F"/>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6A89"/>
    <w:rsid w:val="00207957"/>
    <w:rsid w:val="00211E2A"/>
    <w:rsid w:val="002121CA"/>
    <w:rsid w:val="0021277D"/>
    <w:rsid w:val="00213AFF"/>
    <w:rsid w:val="00213C0E"/>
    <w:rsid w:val="00214116"/>
    <w:rsid w:val="00214B1A"/>
    <w:rsid w:val="002152A8"/>
    <w:rsid w:val="002153C7"/>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46D"/>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80"/>
    <w:rsid w:val="003513E2"/>
    <w:rsid w:val="003516D6"/>
    <w:rsid w:val="0035208B"/>
    <w:rsid w:val="003531FC"/>
    <w:rsid w:val="00353D39"/>
    <w:rsid w:val="00354F83"/>
    <w:rsid w:val="0035624D"/>
    <w:rsid w:val="003571E6"/>
    <w:rsid w:val="0035765D"/>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17599"/>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35A7"/>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316"/>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10D"/>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389"/>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746"/>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2C72"/>
    <w:rsid w:val="00973BBE"/>
    <w:rsid w:val="00973D73"/>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D6"/>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57F19"/>
    <w:rsid w:val="00B604DF"/>
    <w:rsid w:val="00B60C62"/>
    <w:rsid w:val="00B612B0"/>
    <w:rsid w:val="00B632C3"/>
    <w:rsid w:val="00B64498"/>
    <w:rsid w:val="00B646B1"/>
    <w:rsid w:val="00B64731"/>
    <w:rsid w:val="00B64BE9"/>
    <w:rsid w:val="00B64EED"/>
    <w:rsid w:val="00B65974"/>
    <w:rsid w:val="00B66301"/>
    <w:rsid w:val="00B66464"/>
    <w:rsid w:val="00B66928"/>
    <w:rsid w:val="00B66A6E"/>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0DFC"/>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5A08"/>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1B7A"/>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2D2"/>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4E8D"/>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40C8BF89-926B-450A-A356-AD43098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ur-lex.europa.eu/LexUriServ/LexUriServ.do?uri=CELEX:62002TJ0137:P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okik.gov.pl/stopa_referencyjna_i_archiwum.php"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uokik.gov.pl/wzor_formularza_inna_niz_pomoc_de_minimis.php" TargetMode="External"/><Relationship Id="rId23" Type="http://schemas.openxmlformats.org/officeDocument/2006/relationships/image" Target="media/image8.png"/><Relationship Id="rId10" Type="http://schemas.openxmlformats.org/officeDocument/2006/relationships/hyperlink" Target="http://ec.europa.eu/competition/state_aid/modernisation/notice_aid_en.html" TargetMode="External"/><Relationship Id="rId19" Type="http://schemas.openxmlformats.org/officeDocument/2006/relationships/hyperlink" Target="https://ec.europa.eu/docsroom/documents/15582/attachments/1/translations/pl/renditions/pdf" TargetMode="Externa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uokik.gov.pl/wzory_formularzy_pomocy_de_minimis.php"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B233-0854-4575-B112-B2B1AB64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1391</TotalTime>
  <Pages>82</Pages>
  <Words>40363</Words>
  <Characters>242181</Characters>
  <Application>Microsoft Office Word</Application>
  <DocSecurity>0</DocSecurity>
  <Lines>2018</Lines>
  <Paragraphs>563</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Musiał Ewelina</cp:lastModifiedBy>
  <cp:revision>232</cp:revision>
  <cp:lastPrinted>2019-02-22T12:30:00Z</cp:lastPrinted>
  <dcterms:created xsi:type="dcterms:W3CDTF">2019-01-18T12:09:00Z</dcterms:created>
  <dcterms:modified xsi:type="dcterms:W3CDTF">2021-02-26T08:39:00Z</dcterms:modified>
</cp:coreProperties>
</file>