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5220" w14:textId="77777777" w:rsidR="004D4702" w:rsidRDefault="000D294F" w:rsidP="004D4702">
      <w:r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BC248A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27D11B6B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821CB8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6D388B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</w:t>
      </w:r>
      <w:r w:rsidR="007257DE" w:rsidRPr="002A1A9B">
        <w:rPr>
          <w:rFonts w:ascii="Calibri" w:hAnsi="Calibri"/>
          <w:kern w:val="24"/>
          <w:sz w:val="22"/>
          <w:szCs w:val="22"/>
        </w:rPr>
        <w:t>00</w:t>
      </w:r>
      <w:r w:rsidR="007257DE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6D388B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4E0BA84" w14:textId="77777777" w:rsidR="00EB412E" w:rsidRPr="000A5B16" w:rsidRDefault="00EB412E" w:rsidP="00EB4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C6050F1" w14:textId="77777777" w:rsidR="00EB412E" w:rsidRPr="000A5B16" w:rsidRDefault="00EB412E" w:rsidP="00C954D6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60DF21C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500DFDBA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4424D71D" w:rsidR="002A1A9B" w:rsidRPr="00AD7B9E" w:rsidRDefault="00EB412E" w:rsidP="00AD7B9E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sz w:val="22"/>
                <w:szCs w:val="22"/>
              </w:rPr>
            </w:r>
            <w:r w:rsidR="008314E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314E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tbl>
      <w:tblPr>
        <w:tblW w:w="500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27"/>
        <w:gridCol w:w="142"/>
        <w:gridCol w:w="2551"/>
        <w:gridCol w:w="6"/>
        <w:gridCol w:w="799"/>
        <w:gridCol w:w="469"/>
        <w:gridCol w:w="427"/>
        <w:gridCol w:w="891"/>
        <w:gridCol w:w="2651"/>
        <w:gridCol w:w="6"/>
      </w:tblGrid>
      <w:tr w:rsidR="00821CB8" w:rsidRPr="003775B1" w14:paraId="149C6093" w14:textId="77777777" w:rsidTr="00FD757C">
        <w:trPr>
          <w:trHeight w:val="56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95A0" w14:textId="77777777" w:rsidR="00821CB8" w:rsidRPr="003775B1" w:rsidRDefault="00821CB8" w:rsidP="00821CB8">
            <w:pPr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B035A" w14:textId="77777777" w:rsidR="00821CB8" w:rsidRPr="003775B1" w:rsidRDefault="00821CB8" w:rsidP="00821CB8">
            <w:pPr>
              <w:rPr>
                <w:rFonts w:ascii="Calibri" w:hAnsi="Calibri"/>
                <w:b/>
              </w:rPr>
            </w:pPr>
            <w:r w:rsidRPr="003775B1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3775B1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821CB8" w:rsidRPr="003775B1" w14:paraId="6226235B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31A8D0" w14:textId="77777777" w:rsidR="00821CB8" w:rsidRPr="003775B1" w:rsidRDefault="00821CB8" w:rsidP="00821CB8">
            <w:pPr>
              <w:rPr>
                <w:rFonts w:ascii="Calibri" w:hAnsi="Calibri"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821CB8" w:rsidRPr="003775B1" w14:paraId="21A0C22D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35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C273432" w14:textId="129E7C25" w:rsidR="00821CB8" w:rsidRPr="00821CB8" w:rsidRDefault="00821CB8" w:rsidP="00C954D6">
            <w:pPr>
              <w:numPr>
                <w:ilvl w:val="0"/>
                <w:numId w:val="1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21CB8">
              <w:rPr>
                <w:rFonts w:asciiTheme="minorHAnsi" w:hAnsiTheme="minorHAnsi" w:cstheme="minorHAnsi"/>
                <w:b/>
              </w:rPr>
              <w:t>Dany podmiot występuje tylko raz w danego konkursu</w:t>
            </w:r>
            <w:r w:rsidRPr="00821CB8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70A4FB6" w14:textId="4DC2B394" w:rsidR="00821CB8" w:rsidRPr="00821CB8" w:rsidRDefault="00821CB8" w:rsidP="00E308FB">
            <w:pPr>
              <w:autoSpaceDE w:val="0"/>
              <w:spacing w:before="120" w:after="120"/>
              <w:ind w:left="426" w:firstLine="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konkursu. W przypadku złożenia więcej niż jednego wniosku przez jeden podmiot występujący w charakterze wnioskodawcy lub partnera w ramach konkursu, IOK odrzuca wszystkie wnioski.</w:t>
            </w:r>
          </w:p>
        </w:tc>
      </w:tr>
      <w:tr w:rsidR="00821CB8" w:rsidRPr="003775B1" w14:paraId="1C4994F8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45EFA5" w14:textId="77777777" w:rsidR="00821CB8" w:rsidRPr="00821CB8" w:rsidRDefault="00821CB8" w:rsidP="00821C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>FORMCHECKBOX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768BB" w14:textId="77777777" w:rsidR="00821CB8" w:rsidRPr="00821CB8" w:rsidRDefault="00821CB8" w:rsidP="00821CB8">
            <w:pPr>
              <w:jc w:val="center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hAnsiTheme="minorHAnsi" w:cstheme="minorHAnsi"/>
              </w:rPr>
              <w:instrText>FORMCHECKBOX</w:instrText>
            </w:r>
            <w:r w:rsidR="008314E6">
              <w:rPr>
                <w:rFonts w:asciiTheme="minorHAnsi" w:hAnsiTheme="minorHAnsi" w:cstheme="minorHAnsi"/>
              </w:rPr>
            </w:r>
            <w:r w:rsidR="008314E6">
              <w:rPr>
                <w:rFonts w:asciiTheme="minorHAnsi" w:hAnsiTheme="minorHAnsi" w:cstheme="minorHAnsi"/>
              </w:rPr>
              <w:fldChar w:fldCharType="separate"/>
            </w:r>
            <w:r w:rsidRPr="00821CB8">
              <w:rPr>
                <w:rFonts w:asciiTheme="minorHAnsi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Nie</w:t>
            </w:r>
          </w:p>
        </w:tc>
      </w:tr>
      <w:tr w:rsidR="00821CB8" w:rsidRPr="003775B1" w14:paraId="430F8F93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DE4A910" w14:textId="1C15A4FA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Obszar realizacji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43F82083" w14:textId="77777777" w:rsidR="007257DE" w:rsidRPr="007257DE" w:rsidRDefault="007257DE" w:rsidP="007257DE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realizowany jest na obszarze nie więcej niż jednego powiatu. </w:t>
            </w:r>
          </w:p>
          <w:p w14:paraId="5836A2C7" w14:textId="37BEB467" w:rsidR="00821CB8" w:rsidRPr="00821CB8" w:rsidRDefault="007257DE" w:rsidP="00821CB8">
            <w:pPr>
              <w:pStyle w:val="Default"/>
              <w:ind w:left="431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Wyjątek stanowią projekty, w których realizację zaangażowane są dwie lub więcej jednostek samorządu powiatowego. W tym wypadku projekt realizowany jest na terenie więcej niż jednego powiatu.</w:t>
            </w:r>
          </w:p>
        </w:tc>
      </w:tr>
      <w:tr w:rsidR="007257DE" w:rsidRPr="003775B1" w14:paraId="67627F19" w14:textId="77777777" w:rsidTr="00E26AFA">
        <w:trPr>
          <w:trHeight w:val="42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71215CA" w14:textId="545D47E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BDAE3D1" w14:textId="0AA9CF54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</w:t>
            </w:r>
          </w:p>
        </w:tc>
      </w:tr>
      <w:tr w:rsidR="00821CB8" w:rsidRPr="003775B1" w14:paraId="4A482CFE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8B2C86F" w14:textId="2967EA91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Ograniczenie terytorialne 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EC79911" w14:textId="616C54AD" w:rsidR="00821CB8" w:rsidRPr="00821CB8" w:rsidRDefault="007257DE" w:rsidP="00E308FB">
            <w:pPr>
              <w:suppressAutoHyphens w:val="0"/>
              <w:ind w:left="42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realizowany jest na terenie powiatów, na których do tej pory nie powstał CUS/ CUŚ, tj. na terenie powiatów: kutnowskiego, łęczyckiego, łowickiego, poddębickiego, zduńskowolskiego, łaskiego, pajęczańskiego, radomszczańskiego.</w:t>
            </w:r>
          </w:p>
        </w:tc>
      </w:tr>
      <w:tr w:rsidR="007257DE" w:rsidRPr="003775B1" w14:paraId="49409C90" w14:textId="77777777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A223BD3" w14:textId="199C56FE" w:rsidR="007257DE" w:rsidRPr="00821CB8" w:rsidRDefault="00076688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</w:rPr>
              <w:fldChar w:fldCharType="end"/>
            </w:r>
            <w:r w:rsidR="007257DE"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7257DE"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E5E0DB5" w14:textId="77777777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99B5CF4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EC328E9" w14:textId="678D21B8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Realizacja projektu w partnerstwie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6EB1B5E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jest realizowany w partnerstwie jednostek samorządu terytorialnego i podmiotów ekonomii społecznej. W skład partnerstwa wchodzi:</w:t>
            </w:r>
          </w:p>
          <w:p w14:paraId="3D08B0C2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powiat (PCPR) lub miasto na prawach powiatu,</w:t>
            </w:r>
          </w:p>
          <w:p w14:paraId="7A85D70D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wszystkie lub część gmin (co najmniej jedna) w obrębie tego powiatu (OPS) oraz</w:t>
            </w:r>
          </w:p>
          <w:p w14:paraId="5D2AD9B6" w14:textId="259FB23F" w:rsidR="007257DE" w:rsidRPr="00076688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  <w:p w14:paraId="4FEEF867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W przypadku realizacji projektu na terenie dwóch lub więcej powiatów w skład partnerstwa wchodzą:</w:t>
            </w:r>
          </w:p>
          <w:p w14:paraId="3219D742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dwa lub więcej powiaty (PCPR)</w:t>
            </w:r>
          </w:p>
          <w:p w14:paraId="05DE6BBD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 xml:space="preserve">wszystkie lub część gmin z terenu tych powiatów (co najmniej jedna z każdego powiatu) oraz </w:t>
            </w:r>
          </w:p>
          <w:p w14:paraId="3005625D" w14:textId="252D8E6F" w:rsidR="00821CB8" w:rsidRPr="00076688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</w:tc>
      </w:tr>
      <w:tr w:rsidR="007257DE" w:rsidRPr="003775B1" w14:paraId="435B247B" w14:textId="648B8F9E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0748153C" w14:textId="5FBDF038" w:rsidR="009447D3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9118121" w14:textId="14B58184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67DC923A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492469B" w14:textId="77777777" w:rsidR="00C954D6" w:rsidRPr="00C954D6" w:rsidRDefault="007257DE" w:rsidP="00AD7B9E">
            <w:pPr>
              <w:pStyle w:val="Akapitzlist"/>
              <w:numPr>
                <w:ilvl w:val="0"/>
                <w:numId w:val="16"/>
              </w:num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7D3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 projektu</w:t>
            </w:r>
            <w:r w:rsidRPr="009447D3" w:rsidDel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5C02872" w14:textId="2B8C63F0" w:rsidR="00821CB8" w:rsidRPr="00AD7B9E" w:rsidRDefault="007257DE" w:rsidP="00AD7B9E">
            <w:p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4D6">
              <w:rPr>
                <w:rFonts w:asciiTheme="minorHAnsi" w:hAnsiTheme="minorHAnsi" w:cstheme="minorHAnsi"/>
                <w:sz w:val="20"/>
                <w:szCs w:val="20"/>
              </w:rPr>
              <w:t>Projekt nie może trwać dłużej niż do końca I półrocza 2023 r.</w:t>
            </w:r>
          </w:p>
        </w:tc>
      </w:tr>
      <w:tr w:rsidR="007257DE" w:rsidRPr="003775B1" w14:paraId="51A9E5BE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13E29BCE" w14:textId="2092C775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777FF46A" w14:textId="39FAA3D4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1567FEE2" w14:textId="7DEA1C4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C763B2C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DDF78FF" w14:textId="38466913" w:rsidR="00821CB8" w:rsidRPr="00821CB8" w:rsidRDefault="007257DE" w:rsidP="00C954D6">
            <w:pPr>
              <w:pStyle w:val="Akapitzlist"/>
              <w:numPr>
                <w:ilvl w:val="0"/>
                <w:numId w:val="18"/>
              </w:numPr>
              <w:autoSpaceDE w:val="0"/>
              <w:spacing w:before="120" w:after="120" w:line="240" w:lineRule="auto"/>
              <w:ind w:left="431" w:hanging="43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Deinstytucjonalizacja</w:t>
            </w:r>
            <w:proofErr w:type="spellEnd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55AAF2C" w14:textId="77777777" w:rsidR="007257DE" w:rsidRPr="007257DE" w:rsidRDefault="007257DE" w:rsidP="00E26AFA">
            <w:pPr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realizację usług świadczonych wyłącznie w społeczności lokalnej.</w:t>
            </w:r>
          </w:p>
          <w:p w14:paraId="28E10B2B" w14:textId="7DF89B4B" w:rsidR="00821CB8" w:rsidRPr="00821CB8" w:rsidRDefault="007257DE" w:rsidP="00AD7B9E">
            <w:pPr>
              <w:suppressAutoHyphens w:val="0"/>
              <w:spacing w:after="12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7257DE" w:rsidRPr="003775B1" w14:paraId="36443B55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EC8FCEC" w14:textId="5F6BD973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3F9BBFD4" w14:textId="4781FE06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0670F3C3" w14:textId="09236C7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264209E1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C677F57" w14:textId="77777777" w:rsidR="009447D3" w:rsidRDefault="007257DE" w:rsidP="00AD7B9E">
            <w:pPr>
              <w:tabs>
                <w:tab w:val="left" w:pos="576"/>
              </w:tabs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9447D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Pr="007257DE">
              <w:rPr>
                <w:rFonts w:asciiTheme="minorHAnsi" w:hAnsiTheme="minorHAnsi" w:cstheme="minorHAnsi"/>
                <w:b/>
              </w:rPr>
              <w:t>.</w:t>
            </w:r>
            <w:r w:rsidRPr="007257DE">
              <w:rPr>
                <w:rFonts w:asciiTheme="minorHAnsi" w:hAnsiTheme="minorHAnsi" w:cstheme="minorHAnsi"/>
                <w:b/>
              </w:rPr>
              <w:tab/>
              <w:t>Zakres wsparcia usług społecznych.</w:t>
            </w:r>
          </w:p>
          <w:p w14:paraId="4120E6C6" w14:textId="4A6CE605" w:rsidR="00821CB8" w:rsidRPr="00821CB8" w:rsidRDefault="007257DE" w:rsidP="00AD7B9E">
            <w:pPr>
              <w:suppressAutoHyphens w:val="0"/>
              <w:spacing w:after="120"/>
              <w:ind w:left="567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zakłada świadczenie minimum trzech podstawowych form pomocy z katalogu usług opiekuńczych/ usług asystenckich/ usług w mieszkaniach chronionych lub wspomaganych na podstawie partycypacyjnej diagnozy opracowanej na potrzeby projektu. </w:t>
            </w:r>
          </w:p>
        </w:tc>
      </w:tr>
      <w:tr w:rsidR="007257DE" w:rsidRPr="003775B1" w14:paraId="6F386EBB" w14:textId="77777777" w:rsidTr="00E26AFA">
        <w:trPr>
          <w:trHeight w:val="51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64FAE9FB" w14:textId="74DFF29D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A6BA8D2" w14:textId="4E6B73A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424AA63B" w14:textId="77777777" w:rsidTr="00FD757C">
        <w:trPr>
          <w:trHeight w:val="282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2F4B638F" w14:textId="77777777" w:rsidR="00076688" w:rsidRPr="00076688" w:rsidRDefault="00076688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6688">
              <w:rPr>
                <w:rFonts w:asciiTheme="minorHAnsi" w:hAnsiTheme="minorHAnsi" w:cstheme="minorHAnsi"/>
                <w:b/>
                <w:sz w:val="24"/>
                <w:szCs w:val="24"/>
              </w:rPr>
              <w:t>Zwiększenie dostępności usług opiekuńczych i asystenckich.</w:t>
            </w:r>
          </w:p>
          <w:p w14:paraId="7CE6EE23" w14:textId="619D7582" w:rsidR="00821CB8" w:rsidRPr="0098388F" w:rsidRDefault="00821CB8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Zapewniona zostaje trwałość miejsc w placówkach wsparcia dziennego utworzonych w ramach projektu przynajmniej przez okres odpowiadający okresowi realizacji projektu. Trwałość rozumiana jest jako instytucjonalna gotowość do świadczenia usług.</w:t>
            </w:r>
          </w:p>
        </w:tc>
      </w:tr>
      <w:tr w:rsidR="00FD757C" w:rsidRPr="003775B1" w14:paraId="55718C0A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471A445" w14:textId="35947886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26B7C7D4" w14:textId="1BE08792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264F90C5" w14:textId="2AF0FA2F" w:rsidR="009447D3" w:rsidRPr="003775B1" w:rsidRDefault="009447D3" w:rsidP="00FD757C">
            <w:pPr>
              <w:ind w:left="177"/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28F9F5C0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86CF504" w14:textId="16A135D9" w:rsidR="00E308FB" w:rsidRPr="00AD7B9E" w:rsidRDefault="00FD757C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Zwiększenie liczby miejsc w mieszkaniach chronionych lub wspomaganych.</w:t>
            </w:r>
          </w:p>
          <w:p w14:paraId="5CC5BD3F" w14:textId="616B3213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FD757C" w:rsidRPr="003775B1" w14:paraId="60F43EAC" w14:textId="77777777" w:rsidTr="00E26AFA">
        <w:trPr>
          <w:gridAfter w:val="1"/>
          <w:wAfter w:w="4" w:type="pct"/>
          <w:trHeight w:val="553"/>
        </w:trPr>
        <w:tc>
          <w:tcPr>
            <w:tcW w:w="1272" w:type="pct"/>
            <w:gridSpan w:val="3"/>
            <w:shd w:val="clear" w:color="auto" w:fill="auto"/>
            <w:vAlign w:val="center"/>
          </w:tcPr>
          <w:p w14:paraId="185594C1" w14:textId="3D0414DA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63866F6" w14:textId="70FB54DC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5CD2C3B5" w14:textId="6553E435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CAAD684" w14:textId="0E044542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3B91C213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000D07E2" w14:textId="69BE7D98" w:rsidR="00E308FB" w:rsidRPr="00E308FB" w:rsidRDefault="00E308FB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Finansowanie usług.</w:t>
            </w:r>
          </w:p>
          <w:p w14:paraId="3F52981B" w14:textId="00C152A2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Realizacja projektu nie przyczynia się do:</w:t>
            </w:r>
          </w:p>
          <w:p w14:paraId="774078E0" w14:textId="4BC7C6CD" w:rsid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zmniejszenia dotychczasowego finansowania usług asystenckich lub opiekuńczych przez </w:t>
            </w:r>
            <w:r w:rsidR="00C954D6">
              <w:rPr>
                <w:rFonts w:asciiTheme="minorHAnsi" w:eastAsia="Arial Unicode MS" w:hAnsiTheme="minorHAnsi" w:cstheme="minorHAnsi"/>
                <w:sz w:val="20"/>
                <w:szCs w:val="20"/>
              </w:rPr>
              <w:t>b</w:t>
            </w: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eneficjenta/partnera,</w:t>
            </w:r>
          </w:p>
          <w:p w14:paraId="4BDEC0A8" w14:textId="45A8C954" w:rsidR="00E308FB" w:rsidRP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zastąpienia środkami projektu dotychczasowego finansowania przez beneficjenta/partnera usług asystenckich lub opiekuńczych.</w:t>
            </w:r>
          </w:p>
        </w:tc>
      </w:tr>
      <w:tr w:rsidR="00E308FB" w:rsidRPr="003775B1" w14:paraId="425E1B84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61CF32F5" w14:textId="26F54D62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64E2DBF6" w14:textId="33D9E29B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4858C23" w14:textId="2ECB08B7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8A42AE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BE5353F" w14:textId="77777777" w:rsidR="00505FDA" w:rsidRPr="00505FDA" w:rsidRDefault="00505FDA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Ścieżka wsparcia.</w:t>
            </w:r>
          </w:p>
          <w:p w14:paraId="7099D598" w14:textId="56437613" w:rsidR="007257DE" w:rsidRPr="00505FDA" w:rsidRDefault="00BB45D4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w ramach usług społecznych odbywa się na podstawie indywidualnie stworzonej ścieżki wsparcia, obejmującej również indywidualną ocenę sytuacji materialnej i życiowej danej osoby niesamodzielnej.</w:t>
            </w:r>
          </w:p>
        </w:tc>
      </w:tr>
      <w:tr w:rsidR="00BB45D4" w:rsidRPr="003775B1" w14:paraId="359B50E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2D0E64A4" w14:textId="2BA677A7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1C37AC11" w14:textId="48D71964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48D8860C" w14:textId="1A302098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4C14DC69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AB9D0BC" w14:textId="77777777" w:rsidR="00505FDA" w:rsidRPr="00505FDA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Preferencje w dostępie do usług społecznych.</w:t>
            </w:r>
          </w:p>
          <w:p w14:paraId="50991951" w14:textId="5B561ECD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opiekuńczych, asystenckich, usług w mieszkaniach chronionych lub wspomaganych, projekt przewiduje preferencje w dostępie do tych usług  dla:</w:t>
            </w:r>
          </w:p>
          <w:p w14:paraId="1C6D1A82" w14:textId="0BFBB917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i rodzin zagrożonych ubóstwem lub wykluczeniem społecznych doświadczających wielokrotnego wykluczenia społecznego;</w:t>
            </w:r>
          </w:p>
          <w:p w14:paraId="3B26DA4E" w14:textId="463EFC09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o znacznym lub umiarkowanym stopniu niepełnosprawności oraz osób z niepełnosprawnością sprzężoną, osób z zaburzeniami psychicznymi, w tym osób z niepełnosprawnością intelektualną i osób z całościowymi zaburzeniami rozwojowymi;</w:t>
            </w:r>
          </w:p>
          <w:p w14:paraId="04F1983E" w14:textId="5CAAEA81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korzystających ze wsparcia Programu Operacyjnego Pomoc Żywnościowa (o ile dotyczy).</w:t>
            </w:r>
          </w:p>
          <w:p w14:paraId="273F8D1A" w14:textId="436A2D3C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BB45D4" w:rsidRPr="003775B1" w14:paraId="4920337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7588A4D" w14:textId="2C490D59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7ABE83DC" w14:textId="7EF5FD4C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113F6C08" w14:textId="52788B5E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77C64211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226F71CA" w14:textId="77777777" w:rsidR="00505FDA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Wsparcie w ramach placówek wsparcia dziennego.</w:t>
            </w:r>
          </w:p>
          <w:p w14:paraId="0E75DF05" w14:textId="373D0CC0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14:paraId="5AF98474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zwiększenia liczby miejsc w tych placówkach lub</w:t>
            </w:r>
          </w:p>
          <w:p w14:paraId="557800DF" w14:textId="315B347A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rozszerzenia oferowanego wsparcia.</w:t>
            </w:r>
          </w:p>
        </w:tc>
      </w:tr>
      <w:tr w:rsidR="00FD757C" w:rsidRPr="003775B1" w14:paraId="41A156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E179A5" w14:textId="0991D45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4045EF8" w14:textId="3E0342FF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6BC3A7F" w14:textId="4ACCB3F6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E1CCAEA" w14:textId="7D6A0B3B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5358A70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F504C10" w14:textId="77777777" w:rsidR="007257DE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lastRenderedPageBreak/>
              <w:t>Rozwój kompetencji kluczowych.</w:t>
            </w:r>
          </w:p>
          <w:p w14:paraId="2987C1B8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placówek wsparcia dziennego obowiązkowo są realizowane zajęcia rozwijające co najmniej cztery z ośmiu kompetencji kluczowych wskazanych w zaleceniu Rady Unii Europejskiej z dnia 22 maja 2018 r. w sprawie kompetencji kluczowych w procesie uczenia się przez całe życie (Dz. Urz. UE C 189 z 04.06.2018,):</w:t>
            </w:r>
          </w:p>
          <w:p w14:paraId="581F6C29" w14:textId="66CC806C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rozumienia i tworzenia informacji; </w:t>
            </w:r>
          </w:p>
          <w:p w14:paraId="48854333" w14:textId="705993D7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wielojęzyczności; </w:t>
            </w:r>
          </w:p>
          <w:p w14:paraId="3B6FE15B" w14:textId="3789A1EE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matematyczne oraz kompetencje w zakresie nauk przyrodniczych, technologii i inżynierii; </w:t>
            </w:r>
          </w:p>
          <w:p w14:paraId="4E253421" w14:textId="361606FF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cyfrowe; </w:t>
            </w:r>
          </w:p>
          <w:p w14:paraId="044DA830" w14:textId="06172ED2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osobiste, społeczne i w zakresie umiejętności uczenia się; </w:t>
            </w:r>
          </w:p>
          <w:p w14:paraId="3239F6E1" w14:textId="426BDB05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obywatelskie; </w:t>
            </w:r>
          </w:p>
          <w:p w14:paraId="74C0ED7A" w14:textId="3EBE3984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przedsiębiorczości; </w:t>
            </w:r>
          </w:p>
          <w:p w14:paraId="445A32B8" w14:textId="7C83ED6A" w:rsidR="00AD7B9E" w:rsidRPr="00AD7B9E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kompetencje w zakresie świadomości i ekspresji kultu</w:t>
            </w: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ralnej.</w:t>
            </w:r>
          </w:p>
        </w:tc>
      </w:tr>
      <w:tr w:rsidR="00FD757C" w:rsidRPr="003775B1" w14:paraId="1614B2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0C2D0E" w14:textId="3A8BF29C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D293B70" w14:textId="1E2E0A2E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1DA3138" w14:textId="2A20B05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9F232A" w14:textId="683DC87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0BCC816A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736697A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Trwałość miejsc świadczenia usług społecznych.</w:t>
            </w:r>
          </w:p>
          <w:p w14:paraId="07957595" w14:textId="5593A569" w:rsidR="007E2DF0" w:rsidRPr="007E2DF0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7E2DF0">
              <w:rPr>
                <w:rFonts w:asciiTheme="minorHAnsi" w:eastAsia="Arial Unicode MS" w:hAnsiTheme="minorHAnsi" w:cstheme="minorHAns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 oraz tworzonych w ramach projektu miejsc w placówkach wsparcia dziennego).</w:t>
            </w:r>
          </w:p>
        </w:tc>
      </w:tr>
      <w:tr w:rsidR="007E2DF0" w:rsidRPr="003775B1" w14:paraId="0C092990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8D8065" w14:textId="25E71ED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32838812" w14:textId="67493C82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9D56ED0" w14:textId="338A462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E002D18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3C8DFED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Realizacja usług wsparcia rodziny i systemu pieczy zastępczej.</w:t>
            </w:r>
          </w:p>
          <w:p w14:paraId="4F828A4B" w14:textId="6651B039" w:rsidR="007E2DF0" w:rsidRPr="00AD7B9E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1 typu projektu „rozwój usług wspierania rodziny i systemu pieczy zastępczej służące pomocy w pokonywaniu trudnych sytuacji życiowych”, są one realizowane zgodnie z ustawą z dnia 9 czerwca 2011 r. o wspieraniu rodziny i systemie pieczy zastępczej, ustawą z dnia 12 marzec 2004 r. o pomocy społecznej oraz „Ogólnoeuropejskimi wytycznymi dotyczącymi przejścia od opieki instytucjonalnej do opieki świadczonej na poziomie lokalnych społeczności” przez jednostki organizacyjne pomocy społecznej (OPS, PCPR).</w:t>
            </w:r>
          </w:p>
        </w:tc>
      </w:tr>
      <w:tr w:rsidR="00FD757C" w:rsidRPr="003775B1" w14:paraId="1110F96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E2F5E1" w14:textId="2E96111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00FF82D9" w14:textId="7FA3311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54B6498" w14:textId="579F7FB7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85F0A0B" w14:textId="3E7EFC43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E308FB" w:rsidRPr="003775B1" w14:paraId="30872558" w14:textId="77777777" w:rsidTr="00E308FB">
        <w:trPr>
          <w:gridAfter w:val="1"/>
          <w:wAfter w:w="4" w:type="pct"/>
          <w:trHeight w:val="553"/>
        </w:trPr>
        <w:tc>
          <w:tcPr>
            <w:tcW w:w="4996" w:type="pct"/>
            <w:gridSpan w:val="10"/>
            <w:shd w:val="clear" w:color="auto" w:fill="D9D9D9" w:themeFill="background1" w:themeFillShade="D9"/>
            <w:vAlign w:val="center"/>
          </w:tcPr>
          <w:p w14:paraId="25B6CBF2" w14:textId="77777777" w:rsidR="00E308FB" w:rsidRPr="00E308FB" w:rsidRDefault="00E308FB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Zakres usług wsparcia rodziny i systemu pieczy zastępczej.</w:t>
            </w:r>
          </w:p>
          <w:p w14:paraId="089BD96D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wsparcia rodziny i systemu pieczy zastępczej prowadzą one do ograniczenia umieszczania dzieci w pieczy zastępczej lub do działań prowadzących do odejścia od opieki instytucjonalnej.</w:t>
            </w:r>
          </w:p>
          <w:p w14:paraId="5DF0DD06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dla placówek opiekuńczo - wychowawczych powyżej 14 dzieci dotyczy wyłącznie procesu reorganizacji tych placówek, w celu przejścia od opieki instytucjonalnej do usług świadczonych w społeczności lokalnej, czyli w rodzinnej pieczy zastępczej oraz placówkach opiekuńczo-wychowawczych do 14 osób.</w:t>
            </w:r>
          </w:p>
          <w:p w14:paraId="0EB4289F" w14:textId="7C5C1262" w:rsidR="00E308FB" w:rsidRPr="00E308FB" w:rsidRDefault="00E308FB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Ze wsparcia w ramach projektu wyłączona jest aktywizacja społeczno-zawodowa osób usamodzielnianych.</w:t>
            </w:r>
          </w:p>
        </w:tc>
      </w:tr>
      <w:tr w:rsidR="00E308FB" w:rsidRPr="003775B1" w14:paraId="03A8508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D69631A" w14:textId="544BAD1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1F0B97CA" w14:textId="037EB878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ACAF4D4" w14:textId="3D0B916C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71F37B0" w14:textId="161E5F0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8314E6">
              <w:rPr>
                <w:rFonts w:asciiTheme="minorHAnsi" w:eastAsia="Arial Unicode MS" w:hAnsiTheme="minorHAnsi" w:cstheme="minorHAnsi"/>
              </w:rPr>
            </w:r>
            <w:r w:rsidR="008314E6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1E5DA0" w14:paraId="1CE06DCB" w14:textId="77777777" w:rsidTr="00FD757C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CF218" w14:textId="77777777" w:rsidR="00821CB8" w:rsidRPr="001E5DA0" w:rsidRDefault="00821CB8" w:rsidP="00821CB8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821CB8" w:rsidRPr="00310425" w14:paraId="2E9EE750" w14:textId="77777777" w:rsidTr="00E26AFA">
        <w:trPr>
          <w:trHeight w:val="1024"/>
        </w:trPr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DE0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F02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108" w14:textId="77777777" w:rsidR="00821CB8" w:rsidRPr="00310425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821CB8" w:rsidRPr="001E5DA0" w14:paraId="67DFE5BC" w14:textId="77777777" w:rsidTr="00E26AFA">
        <w:trPr>
          <w:trHeight w:val="15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5E0" w14:textId="2AE14974" w:rsidR="00821CB8" w:rsidRPr="001E5DA0" w:rsidRDefault="00821CB8" w:rsidP="00E26AFA">
            <w:pPr>
              <w:spacing w:after="120" w:line="240" w:lineRule="exact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SZCZEGÓŁOWYCH KRYTERIÓW DOSTĘPU (WYPEŁNIĆ W PRZYPADKU ZAZNACZENIA ODPOWIEDZI „NIE” POWYŻEJ)</w:t>
            </w: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4E20B3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4E20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4E20B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4E20B3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4E20B3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755940D9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4E20B3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4E2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4E20B3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4E20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4E20B3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4E20B3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4E20B3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14:paraId="305A7BD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4E20B3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14:paraId="3AF08B89" w14:textId="77777777" w:rsidR="00FB3117" w:rsidRPr="004365E9" w:rsidRDefault="00FB3117" w:rsidP="004E20B3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4E20B3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4E20B3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4E20B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C954D6">
            <w:pPr>
              <w:pStyle w:val="Akapitzlist"/>
              <w:numPr>
                <w:ilvl w:val="0"/>
                <w:numId w:val="13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C954D6">
            <w:pPr>
              <w:pStyle w:val="Akapitzlist"/>
              <w:numPr>
                <w:ilvl w:val="0"/>
                <w:numId w:val="13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4E20B3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4E20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4E20B3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4E20B3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4E20B3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4E20B3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4EE346CA" w14:textId="77777777" w:rsidR="00FB3117" w:rsidRDefault="00FB3117" w:rsidP="004E20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4E20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4E20B3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1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776"/>
        <w:gridCol w:w="1573"/>
        <w:gridCol w:w="1823"/>
      </w:tblGrid>
      <w:tr w:rsidR="00EA36BD" w14:paraId="14427F21" w14:textId="77777777" w:rsidTr="004773F4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4773F4">
        <w:trPr>
          <w:cantSplit/>
          <w:trHeight w:val="876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2658" w14:textId="59391FDC" w:rsidR="00EA36BD" w:rsidRPr="007E2DF0" w:rsidRDefault="0098388F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usług</w:t>
            </w:r>
          </w:p>
          <w:p w14:paraId="11E7D791" w14:textId="7C324216" w:rsidR="004773F4" w:rsidRPr="0098388F" w:rsidRDefault="0098388F" w:rsidP="00E26AFA">
            <w:pPr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realizacji projektu wykorzystywana jest infrastruktura dofinansowana w ramach Działania VII.3 RPO WŁ na lata 2014-2020.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406DA8C7" w:rsidR="00EA36BD" w:rsidRDefault="00EA36BD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405AA05F" w14:textId="77777777" w:rsidTr="004773F4">
        <w:trPr>
          <w:cantSplit/>
          <w:trHeight w:val="8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25688" w14:textId="77777777" w:rsidR="007E2DF0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działań w zakresie usług wsparcia rodziny i pieczy zastępczej.</w:t>
            </w:r>
          </w:p>
          <w:p w14:paraId="27C7AFCF" w14:textId="03945C86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1 typu projektu „rozwój usług wspierania rodziny i systemu pieczy zastępczej służące pomocy w pokonywaniu trudnych sytuacji życiowych” projekt zakłada poszerzenie dotychczasowego zakresu działań prewencyjnych, ograniczających umieszczanie dzieci w pieczy zastępczej oraz zapewniających opiekę i wychowanie przede wszystkim w rodzinnych formach pieczy zastępczej oraz stworzenie kompleksowego wsparcia w zakresie wsparcia rodziny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99D" w14:textId="42434790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A577" w14:textId="3999CEF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36A747E4" w14:textId="77777777" w:rsidTr="00BC248A">
        <w:trPr>
          <w:cantSplit/>
          <w:trHeight w:val="795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F6402" w14:textId="3F18DE08" w:rsidR="004773F4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Wsparcie mieszkań chronionych lub wspomaganych.</w:t>
            </w:r>
          </w:p>
          <w:p w14:paraId="767E78BD" w14:textId="3A97B2B5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wsparcie rozwoju mieszkań chronionych lub wspomaganych</w:t>
            </w:r>
            <w:r w:rsidR="0098388F" w:rsidRPr="009838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D32F" w14:textId="34E7729C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9AE7" w14:textId="21F6DCA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4773F4" w:rsidRDefault="004773F4" w:rsidP="004773F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4773F4" w:rsidRDefault="004773F4" w:rsidP="004773F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773F4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4773F4" w:rsidRDefault="004773F4" w:rsidP="004773F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4773F4" w:rsidRDefault="004773F4" w:rsidP="004773F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2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</w:r>
            <w:r w:rsidR="008314E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2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1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B510" w14:textId="77777777" w:rsidR="00AD7B9E" w:rsidRDefault="00AD7B9E">
      <w:r>
        <w:separator/>
      </w:r>
    </w:p>
  </w:endnote>
  <w:endnote w:type="continuationSeparator" w:id="0">
    <w:p w14:paraId="06FE463D" w14:textId="77777777" w:rsidR="00AD7B9E" w:rsidRDefault="00AD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9340" w14:textId="77777777" w:rsidR="00AD7B9E" w:rsidRDefault="00AD7B9E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AD7B9E" w:rsidRDefault="00AD7B9E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E2E" w14:textId="77777777" w:rsidR="00AD7B9E" w:rsidRPr="00F66562" w:rsidRDefault="00AD7B9E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E26AFA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AD7B9E" w:rsidRDefault="00AD7B9E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AD7B9E" w:rsidRDefault="00AD7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FA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AD7B9E" w:rsidRPr="00DB6981" w:rsidRDefault="00AD7B9E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D0BB" w14:textId="77777777" w:rsidR="00AD7B9E" w:rsidRDefault="00AD7B9E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E26AFA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1B0D7FE3" w14:textId="77777777" w:rsidR="00AD7B9E" w:rsidRDefault="00AD7B9E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9C86" w14:textId="77777777" w:rsidR="00AD7B9E" w:rsidRDefault="00AD7B9E">
      <w:r>
        <w:separator/>
      </w:r>
    </w:p>
  </w:footnote>
  <w:footnote w:type="continuationSeparator" w:id="0">
    <w:p w14:paraId="107F2704" w14:textId="77777777" w:rsidR="00AD7B9E" w:rsidRDefault="00AD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8988" w14:textId="77777777" w:rsidR="00AD7B9E" w:rsidRPr="005665EB" w:rsidRDefault="00AD7B9E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1FAD"/>
    <w:multiLevelType w:val="hybridMultilevel"/>
    <w:tmpl w:val="D14CF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88F"/>
    <w:multiLevelType w:val="hybridMultilevel"/>
    <w:tmpl w:val="EA5AFD3C"/>
    <w:lvl w:ilvl="0" w:tplc="DE3C2E48">
      <w:start w:val="6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D2288"/>
    <w:multiLevelType w:val="hybridMultilevel"/>
    <w:tmpl w:val="C262A418"/>
    <w:lvl w:ilvl="0" w:tplc="F3A8FF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20D9"/>
    <w:multiLevelType w:val="hybridMultilevel"/>
    <w:tmpl w:val="5C4894DE"/>
    <w:lvl w:ilvl="0" w:tplc="CB5645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5539"/>
    <w:multiLevelType w:val="hybridMultilevel"/>
    <w:tmpl w:val="FAA8C730"/>
    <w:lvl w:ilvl="0" w:tplc="17EE7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675C4"/>
    <w:multiLevelType w:val="hybridMultilevel"/>
    <w:tmpl w:val="05FA9258"/>
    <w:lvl w:ilvl="0" w:tplc="033A4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2C4C"/>
    <w:multiLevelType w:val="hybridMultilevel"/>
    <w:tmpl w:val="3B0CCA3C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609912BB"/>
    <w:multiLevelType w:val="hybridMultilevel"/>
    <w:tmpl w:val="FCEC99A0"/>
    <w:lvl w:ilvl="0" w:tplc="F3A8FF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F020E4"/>
    <w:multiLevelType w:val="hybridMultilevel"/>
    <w:tmpl w:val="579C95F2"/>
    <w:lvl w:ilvl="0" w:tplc="873A5704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2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0F2E"/>
    <w:multiLevelType w:val="hybridMultilevel"/>
    <w:tmpl w:val="1A847B9A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25"/>
  </w:num>
  <w:num w:numId="8">
    <w:abstractNumId w:val="23"/>
  </w:num>
  <w:num w:numId="9">
    <w:abstractNumId w:val="3"/>
  </w:num>
  <w:num w:numId="10">
    <w:abstractNumId w:val="17"/>
  </w:num>
  <w:num w:numId="11">
    <w:abstractNumId w:val="21"/>
  </w:num>
  <w:num w:numId="12">
    <w:abstractNumId w:val="13"/>
  </w:num>
  <w:num w:numId="13">
    <w:abstractNumId w:val="2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24"/>
  </w:num>
  <w:num w:numId="20">
    <w:abstractNumId w:val="18"/>
  </w:num>
  <w:num w:numId="21">
    <w:abstractNumId w:val="20"/>
  </w:num>
  <w:num w:numId="22">
    <w:abstractNumId w:val="5"/>
  </w:num>
  <w:num w:numId="23">
    <w:abstractNumId w:val="19"/>
  </w:num>
  <w:num w:numId="24">
    <w:abstractNumId w:val="10"/>
  </w:num>
  <w:num w:numId="25">
    <w:abstractNumId w:val="0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76688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695E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773F4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0B3"/>
    <w:rsid w:val="00503F02"/>
    <w:rsid w:val="00503F60"/>
    <w:rsid w:val="00505FDA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D388B"/>
    <w:rsid w:val="006E355F"/>
    <w:rsid w:val="00701F59"/>
    <w:rsid w:val="00705D1E"/>
    <w:rsid w:val="007064CC"/>
    <w:rsid w:val="00713726"/>
    <w:rsid w:val="007257DE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2DF0"/>
    <w:rsid w:val="007E3C45"/>
    <w:rsid w:val="007F7C84"/>
    <w:rsid w:val="00814799"/>
    <w:rsid w:val="00816658"/>
    <w:rsid w:val="00821CB8"/>
    <w:rsid w:val="008314E6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27FB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47D3"/>
    <w:rsid w:val="009456DB"/>
    <w:rsid w:val="00954921"/>
    <w:rsid w:val="00964056"/>
    <w:rsid w:val="0096514D"/>
    <w:rsid w:val="00976544"/>
    <w:rsid w:val="0098388F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D7B9E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B45D4"/>
    <w:rsid w:val="00BC1A06"/>
    <w:rsid w:val="00BC248A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954D6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26AFA"/>
    <w:rsid w:val="00E308FB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412E"/>
    <w:rsid w:val="00EB52A6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D757C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5EAF-908E-4BD3-816B-7E6EDA3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4724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Krzysztof Nalej</cp:lastModifiedBy>
  <cp:revision>2</cp:revision>
  <cp:lastPrinted>2018-06-20T08:36:00Z</cp:lastPrinted>
  <dcterms:created xsi:type="dcterms:W3CDTF">2021-01-29T10:48:00Z</dcterms:created>
  <dcterms:modified xsi:type="dcterms:W3CDTF">2021-01-29T10:48:00Z</dcterms:modified>
</cp:coreProperties>
</file>