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9EB" w14:textId="3DA23BAD" w:rsidR="007A1C03" w:rsidRDefault="007A1C03" w:rsidP="001B635A">
      <w:pPr>
        <w:autoSpaceDE w:val="0"/>
        <w:contextualSpacing/>
        <w:rPr>
          <w:rFonts w:ascii="Calibri" w:hAnsi="Calibri" w:cs="Calibri"/>
          <w:b/>
          <w:bCs/>
          <w:sz w:val="32"/>
          <w:szCs w:val="32"/>
        </w:rPr>
      </w:pPr>
    </w:p>
    <w:p w14:paraId="36C3565B" w14:textId="77777777" w:rsidR="000E0790" w:rsidRDefault="000E0790" w:rsidP="001B635A">
      <w:pPr>
        <w:autoSpaceDE w:val="0"/>
        <w:contextualSpacing/>
        <w:rPr>
          <w:rFonts w:ascii="Calibri" w:hAnsi="Calibri" w:cs="Arial"/>
          <w:b/>
          <w:sz w:val="32"/>
          <w:szCs w:val="32"/>
        </w:rPr>
      </w:pPr>
    </w:p>
    <w:p w14:paraId="7ED4AFCE" w14:textId="5EC54763" w:rsidR="00784F14" w:rsidRPr="003A416A" w:rsidRDefault="00EE5E39" w:rsidP="001B635A">
      <w:pPr>
        <w:autoSpaceDE w:val="0"/>
        <w:contextualSpacing/>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14:paraId="40696E5E" w14:textId="77777777" w:rsidR="00805B2F" w:rsidRPr="003A416A" w:rsidRDefault="00805B2F" w:rsidP="001B635A">
      <w:pPr>
        <w:autoSpaceDE w:val="0"/>
        <w:contextualSpacing/>
        <w:rPr>
          <w:rFonts w:ascii="Calibri" w:hAnsi="Calibri" w:cs="Calibri"/>
          <w:b/>
          <w:bCs/>
          <w:sz w:val="32"/>
          <w:szCs w:val="32"/>
        </w:rPr>
      </w:pPr>
    </w:p>
    <w:p w14:paraId="27BBE1CB" w14:textId="77777777" w:rsidR="00784F14" w:rsidRPr="003A416A" w:rsidRDefault="00784F14" w:rsidP="001B635A">
      <w:pPr>
        <w:pStyle w:val="Podtytu"/>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14:paraId="6DD1F3D2" w14:textId="77777777" w:rsidR="00784F14" w:rsidRPr="003A416A" w:rsidRDefault="00784F14" w:rsidP="001B635A">
      <w:pPr>
        <w:rPr>
          <w:sz w:val="32"/>
          <w:szCs w:val="32"/>
        </w:rPr>
      </w:pPr>
    </w:p>
    <w:p w14:paraId="2A83BFA5" w14:textId="27146556" w:rsidR="00784F14" w:rsidRPr="003A416A" w:rsidRDefault="00784F14" w:rsidP="001B635A">
      <w:pP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A416A">
        <w:rPr>
          <w:rFonts w:cs="Arial"/>
        </w:rPr>
        <w:t>Dolnośląska Instytucja Pośrednicząca</w:t>
      </w:r>
      <w:bookmarkEnd w:id="0"/>
      <w:bookmarkEnd w:id="1"/>
      <w:bookmarkEnd w:id="2"/>
      <w:bookmarkEnd w:id="3"/>
      <w:bookmarkEnd w:id="4"/>
      <w:bookmarkEnd w:id="5"/>
      <w:bookmarkEnd w:id="6"/>
    </w:p>
    <w:p w14:paraId="1B5BD644" w14:textId="77777777" w:rsidR="00784F14" w:rsidRPr="003A416A" w:rsidRDefault="00784F14" w:rsidP="001B635A">
      <w:pPr>
        <w:rPr>
          <w:rFonts w:cs="Arial"/>
          <w:b/>
        </w:rPr>
      </w:pPr>
    </w:p>
    <w:p w14:paraId="2D37A075" w14:textId="77777777" w:rsidR="00784F14" w:rsidRPr="003A416A" w:rsidRDefault="00784F14" w:rsidP="001B635A">
      <w:pPr>
        <w:widowControl w:val="0"/>
        <w:spacing w:line="360" w:lineRule="auto"/>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14:paraId="4A13735B" w14:textId="77777777" w:rsidR="00784F14" w:rsidRPr="003A416A" w:rsidRDefault="00784F14" w:rsidP="001B635A">
      <w:pPr>
        <w:widowControl w:val="0"/>
        <w:spacing w:after="0" w:line="360" w:lineRule="auto"/>
        <w:rPr>
          <w:rFonts w:eastAsia="Times New Roman" w:cs="Times New Roman"/>
          <w:b/>
          <w:snapToGrid w:val="0"/>
          <w:lang w:eastAsia="pl-PL"/>
        </w:rPr>
      </w:pPr>
      <w:r w:rsidRPr="003A416A">
        <w:rPr>
          <w:rFonts w:eastAsia="Times New Roman" w:cs="Times New Roman"/>
          <w:b/>
          <w:snapToGrid w:val="0"/>
          <w:lang w:eastAsia="pl-PL"/>
        </w:rPr>
        <w:t xml:space="preserve">w ramach </w:t>
      </w:r>
    </w:p>
    <w:p w14:paraId="673D5581" w14:textId="77777777" w:rsidR="00784F14" w:rsidRPr="003A416A" w:rsidRDefault="00784F14" w:rsidP="001B635A">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A416A">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370621D6" w14:textId="77777777" w:rsidR="00784F14" w:rsidRPr="003A416A" w:rsidRDefault="00784F14" w:rsidP="001B635A">
      <w:pPr>
        <w:rPr>
          <w:rFonts w:cs="Arial"/>
          <w:b/>
        </w:rPr>
      </w:pPr>
      <w:r w:rsidRPr="003A416A">
        <w:rPr>
          <w:rFonts w:cs="Arial"/>
          <w:b/>
        </w:rPr>
        <w:t xml:space="preserve">Województwa Dolnośląskiego </w:t>
      </w:r>
      <w:r w:rsidRPr="003A416A">
        <w:rPr>
          <w:b/>
        </w:rPr>
        <w:t>2014– 20</w:t>
      </w:r>
      <w:bookmarkEnd w:id="15"/>
      <w:bookmarkEnd w:id="16"/>
      <w:bookmarkEnd w:id="17"/>
      <w:bookmarkEnd w:id="18"/>
      <w:bookmarkEnd w:id="19"/>
      <w:bookmarkEnd w:id="20"/>
      <w:bookmarkEnd w:id="21"/>
      <w:bookmarkEnd w:id="22"/>
      <w:r w:rsidRPr="003A416A">
        <w:rPr>
          <w:b/>
        </w:rPr>
        <w:t>20</w:t>
      </w:r>
    </w:p>
    <w:p w14:paraId="014CDEC5" w14:textId="77777777" w:rsidR="00784F14" w:rsidRPr="003A416A" w:rsidRDefault="00784F14" w:rsidP="001B635A">
      <w:pPr>
        <w:rPr>
          <w:rFonts w:cs="Arial"/>
          <w:b/>
        </w:rPr>
      </w:pPr>
    </w:p>
    <w:p w14:paraId="409C9600" w14:textId="21489A4D" w:rsidR="00EE376B" w:rsidRPr="003A416A" w:rsidRDefault="00784F14" w:rsidP="001B635A">
      <w:pPr>
        <w:rPr>
          <w:rFonts w:cs="Arial"/>
          <w:b/>
        </w:rPr>
      </w:pPr>
      <w:r w:rsidRPr="003A416A">
        <w:rPr>
          <w:rFonts w:cs="Arial"/>
          <w:b/>
        </w:rPr>
        <w:t xml:space="preserve">Oś priorytetowa </w:t>
      </w:r>
      <w:r w:rsidR="00EE376B" w:rsidRPr="003A416A">
        <w:rPr>
          <w:rFonts w:cs="Arial"/>
          <w:b/>
        </w:rPr>
        <w:t>3</w:t>
      </w:r>
    </w:p>
    <w:p w14:paraId="250FFB30" w14:textId="52335EA8" w:rsidR="00784F14" w:rsidRPr="003A416A" w:rsidRDefault="00EE376B" w:rsidP="001B635A">
      <w:pPr>
        <w:rPr>
          <w:rFonts w:cs="Arial"/>
          <w:b/>
        </w:rPr>
      </w:pPr>
      <w:r w:rsidRPr="003A416A">
        <w:rPr>
          <w:rFonts w:cs="Arial"/>
          <w:b/>
        </w:rPr>
        <w:t xml:space="preserve"> Gospodarka niskoemisyjna</w:t>
      </w:r>
    </w:p>
    <w:p w14:paraId="6BD123F6" w14:textId="77777777" w:rsidR="00EE376B" w:rsidRPr="003A416A" w:rsidRDefault="00EE376B" w:rsidP="001B635A">
      <w:pP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14:paraId="2B4745E9" w14:textId="2B65649A" w:rsidR="00EE376B" w:rsidRPr="003A416A" w:rsidRDefault="00784F14" w:rsidP="001B635A">
      <w:pPr>
        <w:rPr>
          <w:b/>
        </w:rPr>
      </w:pPr>
      <w:r w:rsidRPr="003A416A">
        <w:rPr>
          <w:b/>
        </w:rPr>
        <w:t xml:space="preserve">Działanie </w:t>
      </w:r>
      <w:bookmarkEnd w:id="23"/>
      <w:bookmarkEnd w:id="24"/>
      <w:bookmarkEnd w:id="25"/>
      <w:bookmarkEnd w:id="26"/>
      <w:bookmarkEnd w:id="27"/>
      <w:bookmarkEnd w:id="28"/>
      <w:bookmarkEnd w:id="29"/>
      <w:bookmarkEnd w:id="30"/>
      <w:r w:rsidR="00EE376B" w:rsidRPr="003A416A">
        <w:rPr>
          <w:b/>
        </w:rPr>
        <w:t>3.1</w:t>
      </w:r>
    </w:p>
    <w:p w14:paraId="5905DB47" w14:textId="77777777" w:rsidR="00EE376B" w:rsidRPr="003A416A" w:rsidRDefault="00EE376B" w:rsidP="001B635A">
      <w:pPr>
        <w:widowControl w:val="0"/>
        <w:spacing w:after="0" w:line="360" w:lineRule="auto"/>
        <w:rPr>
          <w:rFonts w:cs="Arial"/>
          <w:b/>
        </w:rPr>
      </w:pPr>
      <w:r w:rsidRPr="003A416A">
        <w:rPr>
          <w:rFonts w:cs="Arial"/>
          <w:b/>
        </w:rPr>
        <w:t xml:space="preserve"> „Produkcja i dystrybucja energii ze źródeł odnawialnych – konkurs horyzontalny” </w:t>
      </w:r>
    </w:p>
    <w:p w14:paraId="109125D7" w14:textId="77777777" w:rsidR="00EE376B" w:rsidRPr="003A416A" w:rsidRDefault="00EE376B" w:rsidP="001B635A">
      <w:pPr>
        <w:widowControl w:val="0"/>
        <w:spacing w:after="0" w:line="360" w:lineRule="auto"/>
        <w:rPr>
          <w:rFonts w:cs="Arial"/>
        </w:rPr>
      </w:pPr>
    </w:p>
    <w:p w14:paraId="32854D96" w14:textId="27A1DA0F" w:rsidR="00EE376B" w:rsidRPr="003A416A" w:rsidRDefault="00784F14" w:rsidP="001B635A">
      <w:pPr>
        <w:widowControl w:val="0"/>
        <w:spacing w:after="0" w:line="360" w:lineRule="auto"/>
        <w:rPr>
          <w:b/>
        </w:rPr>
      </w:pPr>
      <w:r w:rsidRPr="003A416A">
        <w:rPr>
          <w:rFonts w:cs="Arial"/>
          <w:b/>
        </w:rPr>
        <w:t xml:space="preserve">Schemat </w:t>
      </w:r>
      <w:r w:rsidR="00EE376B" w:rsidRPr="003A416A">
        <w:rPr>
          <w:rFonts w:cs="Arial"/>
          <w:b/>
        </w:rPr>
        <w:t xml:space="preserve">3.1 </w:t>
      </w:r>
      <w:r w:rsidRPr="003A416A">
        <w:rPr>
          <w:b/>
        </w:rPr>
        <w:t>A </w:t>
      </w:r>
    </w:p>
    <w:p w14:paraId="44969080" w14:textId="3EFE3CFF" w:rsidR="00784F14" w:rsidRPr="003A416A" w:rsidRDefault="00EE376B" w:rsidP="001B635A">
      <w:pPr>
        <w:widowControl w:val="0"/>
        <w:spacing w:after="0" w:line="360" w:lineRule="auto"/>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14:paraId="5F3246BB" w14:textId="77777777" w:rsidR="00784F14" w:rsidRPr="003A416A" w:rsidRDefault="00784F14" w:rsidP="001B635A">
      <w:pPr>
        <w:widowControl w:val="0"/>
        <w:spacing w:after="0" w:line="360" w:lineRule="auto"/>
        <w:rPr>
          <w:rFonts w:cs="Arial"/>
        </w:rPr>
      </w:pPr>
    </w:p>
    <w:p w14:paraId="26D051AC" w14:textId="77777777" w:rsidR="00784F14" w:rsidRPr="003A416A" w:rsidRDefault="00784F14" w:rsidP="001B635A">
      <w:pPr>
        <w:widowControl w:val="0"/>
        <w:spacing w:after="0" w:line="360" w:lineRule="auto"/>
        <w:rPr>
          <w:rFonts w:cs="Arial"/>
        </w:rPr>
      </w:pPr>
    </w:p>
    <w:p w14:paraId="20D9EFE1" w14:textId="77777777" w:rsidR="00784F14" w:rsidRPr="003A416A" w:rsidRDefault="00784F14" w:rsidP="001B635A">
      <w:pPr>
        <w:widowControl w:val="0"/>
        <w:spacing w:after="0" w:line="360" w:lineRule="auto"/>
        <w:rPr>
          <w:rFonts w:cs="Arial"/>
        </w:rPr>
      </w:pPr>
    </w:p>
    <w:p w14:paraId="63D44DA6" w14:textId="77777777" w:rsidR="00784F14" w:rsidRPr="003A416A" w:rsidRDefault="00784F14" w:rsidP="001B635A">
      <w:pPr>
        <w:widowControl w:val="0"/>
        <w:spacing w:after="0" w:line="360" w:lineRule="auto"/>
        <w:rPr>
          <w:rFonts w:cs="Arial"/>
        </w:rPr>
      </w:pPr>
    </w:p>
    <w:p w14:paraId="7F340DEF" w14:textId="77777777" w:rsidR="00EE376B" w:rsidRPr="003A416A" w:rsidRDefault="00EE376B" w:rsidP="001B635A">
      <w:pPr>
        <w:widowControl w:val="0"/>
        <w:spacing w:after="0" w:line="360" w:lineRule="auto"/>
        <w:rPr>
          <w:rFonts w:cs="Arial"/>
        </w:rPr>
      </w:pPr>
    </w:p>
    <w:p w14:paraId="62B3BB02" w14:textId="47F30E2E" w:rsidR="00784F14" w:rsidRPr="003A416A" w:rsidRDefault="00EE376B" w:rsidP="001B635A">
      <w:pPr>
        <w:widowControl w:val="0"/>
        <w:spacing w:after="0" w:line="360" w:lineRule="auto"/>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3A416A" w:rsidRDefault="00C973AB" w:rsidP="001B635A">
          <w:pPr>
            <w:pStyle w:val="Nagwekspisutreci"/>
            <w:ind w:firstLine="0"/>
          </w:pPr>
          <w:r w:rsidRPr="003A416A">
            <w:t>Spis treści</w:t>
          </w:r>
        </w:p>
      </w:sdtContent>
    </w:sdt>
    <w:p w14:paraId="0F5F6B70" w14:textId="77777777" w:rsidR="00A82C40" w:rsidRPr="003A416A" w:rsidRDefault="00C973AB" w:rsidP="001B635A">
      <w:pPr>
        <w:pStyle w:val="Spistreci1"/>
        <w:rPr>
          <w:rFonts w:eastAsiaTheme="minorEastAsia"/>
          <w:noProof/>
          <w:lang w:eastAsia="pl-PL"/>
        </w:rPr>
      </w:pPr>
      <w:r w:rsidRPr="003A416A">
        <w:fldChar w:fldCharType="begin"/>
      </w:r>
      <w:r w:rsidRPr="003A416A">
        <w:instrText xml:space="preserve"> TOC \o "1-3" \h \z \u </w:instrText>
      </w:r>
      <w:r w:rsidRPr="003A416A">
        <w:fldChar w:fldCharType="separate"/>
      </w:r>
      <w:hyperlink w:anchor="_Toc20832223" w:history="1">
        <w:r w:rsidR="00A82C40" w:rsidRPr="003A416A">
          <w:rPr>
            <w:rStyle w:val="Hipercze"/>
            <w:noProof/>
          </w:rPr>
          <w:t>1.</w:t>
        </w:r>
        <w:r w:rsidR="00A82C40" w:rsidRPr="003A416A">
          <w:rPr>
            <w:rFonts w:eastAsiaTheme="minorEastAsia"/>
            <w:noProof/>
            <w:lang w:eastAsia="pl-PL"/>
          </w:rPr>
          <w:tab/>
        </w:r>
        <w:r w:rsidR="00A82C40" w:rsidRPr="003A416A">
          <w:rPr>
            <w:rStyle w:val="Hipercze"/>
            <w:noProof/>
          </w:rPr>
          <w:t>Podstawa prawna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_Toc20832223 \h </w:instrText>
        </w:r>
        <w:r w:rsidR="00A82C40" w:rsidRPr="003A416A">
          <w:rPr>
            <w:noProof/>
            <w:webHidden/>
          </w:rPr>
        </w:r>
        <w:r w:rsidR="00A82C40" w:rsidRPr="003A416A">
          <w:rPr>
            <w:noProof/>
            <w:webHidden/>
          </w:rPr>
          <w:fldChar w:fldCharType="separate"/>
        </w:r>
        <w:r w:rsidR="00B8529A">
          <w:rPr>
            <w:noProof/>
            <w:webHidden/>
          </w:rPr>
          <w:t>3</w:t>
        </w:r>
        <w:r w:rsidR="00A82C40" w:rsidRPr="003A416A">
          <w:rPr>
            <w:noProof/>
            <w:webHidden/>
          </w:rPr>
          <w:fldChar w:fldCharType="end"/>
        </w:r>
      </w:hyperlink>
    </w:p>
    <w:p w14:paraId="5AA96713" w14:textId="77777777" w:rsidR="00A82C40" w:rsidRPr="003A416A" w:rsidRDefault="00531391" w:rsidP="001B635A">
      <w:pPr>
        <w:pStyle w:val="Spistreci1"/>
        <w:rPr>
          <w:rFonts w:eastAsiaTheme="minorEastAsia"/>
          <w:noProof/>
          <w:lang w:eastAsia="pl-PL"/>
        </w:rPr>
      </w:pPr>
      <w:hyperlink w:anchor="_Toc20832224" w:history="1">
        <w:r w:rsidR="00A82C40" w:rsidRPr="003A416A">
          <w:rPr>
            <w:rStyle w:val="Hipercze"/>
            <w:noProof/>
          </w:rPr>
          <w:t>2. Postanowienia ogólne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_Toc20832224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2FE4375E" w14:textId="00BF1C3A" w:rsidR="00A82C40" w:rsidRPr="003A416A" w:rsidRDefault="00531391" w:rsidP="001B635A">
      <w:pPr>
        <w:pStyle w:val="Spistreci1"/>
        <w:rPr>
          <w:rFonts w:eastAsiaTheme="minorEastAsia"/>
          <w:noProof/>
          <w:lang w:eastAsia="pl-PL"/>
        </w:rPr>
      </w:pPr>
      <w:hyperlink w:anchor="_Toc20832225" w:history="1">
        <w:r w:rsidR="00A82C40" w:rsidRPr="003A416A">
          <w:rPr>
            <w:rStyle w:val="Hipercze"/>
            <w:noProof/>
          </w:rPr>
          <w:t>3. Pełna nazwa i adres właściwej instytucji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_Toc20832225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612CE777" w14:textId="77777777" w:rsidR="00A82C40" w:rsidRPr="003A416A" w:rsidRDefault="00531391" w:rsidP="001B635A">
      <w:pPr>
        <w:pStyle w:val="Spistreci1"/>
        <w:rPr>
          <w:rFonts w:eastAsiaTheme="minorEastAsia"/>
          <w:noProof/>
          <w:lang w:eastAsia="pl-PL"/>
        </w:rPr>
      </w:pPr>
      <w:hyperlink w:anchor="_Toc20832226" w:history="1">
        <w:r w:rsidR="00A82C40" w:rsidRPr="003A416A">
          <w:rPr>
            <w:rStyle w:val="Hipercze"/>
            <w:noProof/>
          </w:rPr>
          <w:t>4. Przedmiot konkursu, w tym typy projektów podlegających dofinansowaniu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_Toc20832226 \h </w:instrText>
        </w:r>
        <w:r w:rsidR="00A82C40" w:rsidRPr="003A416A">
          <w:rPr>
            <w:noProof/>
            <w:webHidden/>
          </w:rPr>
        </w:r>
        <w:r w:rsidR="00A82C40" w:rsidRPr="003A416A">
          <w:rPr>
            <w:noProof/>
            <w:webHidden/>
          </w:rPr>
          <w:fldChar w:fldCharType="separate"/>
        </w:r>
        <w:r w:rsidR="00B8529A">
          <w:rPr>
            <w:noProof/>
            <w:webHidden/>
          </w:rPr>
          <w:t>6</w:t>
        </w:r>
        <w:r w:rsidR="00A82C40" w:rsidRPr="003A416A">
          <w:rPr>
            <w:noProof/>
            <w:webHidden/>
          </w:rPr>
          <w:fldChar w:fldCharType="end"/>
        </w:r>
      </w:hyperlink>
    </w:p>
    <w:p w14:paraId="12B8A3AA" w14:textId="209B4A42" w:rsidR="00A82C40" w:rsidRPr="003A416A" w:rsidRDefault="00531391" w:rsidP="001B635A">
      <w:pPr>
        <w:pStyle w:val="Spistreci1"/>
        <w:rPr>
          <w:rFonts w:eastAsiaTheme="minorEastAsia"/>
          <w:noProof/>
          <w:lang w:eastAsia="pl-PL"/>
        </w:rPr>
      </w:pPr>
      <w:hyperlink w:anchor="_Toc20832227" w:history="1">
        <w:r w:rsidR="00A82C40" w:rsidRPr="003A416A">
          <w:rPr>
            <w:rStyle w:val="Hipercze"/>
            <w:noProof/>
          </w:rPr>
          <w:t>5. Dodatkowe postanowienia Regu</w:t>
        </w:r>
        <w:r w:rsidR="0083279E" w:rsidRPr="003A416A">
          <w:rPr>
            <w:rStyle w:val="Hipercze"/>
            <w:noProof/>
          </w:rPr>
          <w:t>laminu ……</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_Toc20832227 \h </w:instrText>
        </w:r>
        <w:r w:rsidR="00A82C40" w:rsidRPr="003A416A">
          <w:rPr>
            <w:noProof/>
            <w:webHidden/>
          </w:rPr>
        </w:r>
        <w:r w:rsidR="00A82C40" w:rsidRPr="003A416A">
          <w:rPr>
            <w:noProof/>
            <w:webHidden/>
          </w:rPr>
          <w:fldChar w:fldCharType="separate"/>
        </w:r>
        <w:r w:rsidR="00B8529A">
          <w:rPr>
            <w:noProof/>
            <w:webHidden/>
          </w:rPr>
          <w:t>7</w:t>
        </w:r>
        <w:r w:rsidR="00A82C40" w:rsidRPr="003A416A">
          <w:rPr>
            <w:noProof/>
            <w:webHidden/>
          </w:rPr>
          <w:fldChar w:fldCharType="end"/>
        </w:r>
      </w:hyperlink>
    </w:p>
    <w:p w14:paraId="506B65A8" w14:textId="3EAA94E4" w:rsidR="00A82C40" w:rsidRPr="003A416A" w:rsidRDefault="00531391" w:rsidP="001B635A">
      <w:pPr>
        <w:pStyle w:val="Spistreci1"/>
        <w:rPr>
          <w:rFonts w:eastAsiaTheme="minorEastAsia"/>
          <w:noProof/>
          <w:lang w:eastAsia="pl-PL"/>
        </w:rPr>
      </w:pPr>
      <w:hyperlink w:anchor="_Toc20832228" w:history="1">
        <w:r w:rsidR="00A82C40" w:rsidRPr="003A416A">
          <w:rPr>
            <w:rStyle w:val="Hipercze"/>
            <w:noProof/>
          </w:rPr>
          <w:t>6. Wykluczenia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_Toc20832228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4327C103" w14:textId="77777777" w:rsidR="00A82C40" w:rsidRPr="003A416A" w:rsidRDefault="00531391" w:rsidP="001B635A">
      <w:pPr>
        <w:pStyle w:val="Spistreci1"/>
        <w:rPr>
          <w:rFonts w:eastAsiaTheme="minorEastAsia"/>
          <w:noProof/>
          <w:lang w:eastAsia="pl-PL"/>
        </w:rPr>
      </w:pPr>
      <w:hyperlink w:anchor="_Toc20832229" w:history="1">
        <w:r w:rsidR="00A82C40" w:rsidRPr="003A416A">
          <w:rPr>
            <w:rStyle w:val="Hipercze"/>
            <w:noProof/>
          </w:rPr>
          <w:t>7. Typy Wnioskodawców/Beneficjentów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_Toc20832229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672467E7" w14:textId="311ED508" w:rsidR="00A82C40" w:rsidRPr="003A416A" w:rsidRDefault="00531391" w:rsidP="001B635A">
      <w:pPr>
        <w:pStyle w:val="Spistreci1"/>
        <w:rPr>
          <w:rFonts w:eastAsiaTheme="minorEastAsia"/>
          <w:noProof/>
          <w:lang w:eastAsia="pl-PL"/>
        </w:rPr>
      </w:pPr>
      <w:hyperlink w:anchor="_Toc20832230" w:history="1">
        <w:r w:rsidR="00A82C40" w:rsidRPr="003A416A">
          <w:rPr>
            <w:rStyle w:val="Hipercze"/>
            <w:noProof/>
          </w:rPr>
          <w:t>8. Wymagania w zakresie realizacji projektu partnerskiego</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_Toc20832230 \h </w:instrText>
        </w:r>
        <w:r w:rsidR="00A82C40" w:rsidRPr="003A416A">
          <w:rPr>
            <w:noProof/>
            <w:webHidden/>
          </w:rPr>
        </w:r>
        <w:r w:rsidR="00A82C40" w:rsidRPr="003A416A">
          <w:rPr>
            <w:noProof/>
            <w:webHidden/>
          </w:rPr>
          <w:fldChar w:fldCharType="separate"/>
        </w:r>
        <w:r w:rsidR="00B8529A">
          <w:rPr>
            <w:noProof/>
            <w:webHidden/>
          </w:rPr>
          <w:t>9</w:t>
        </w:r>
        <w:r w:rsidR="00A82C40" w:rsidRPr="003A416A">
          <w:rPr>
            <w:noProof/>
            <w:webHidden/>
          </w:rPr>
          <w:fldChar w:fldCharType="end"/>
        </w:r>
      </w:hyperlink>
    </w:p>
    <w:p w14:paraId="7AB3049F" w14:textId="506B6C05" w:rsidR="00A82C40" w:rsidRPr="003A416A" w:rsidRDefault="00531391" w:rsidP="001B635A">
      <w:pPr>
        <w:pStyle w:val="Spistreci1"/>
        <w:rPr>
          <w:rFonts w:eastAsiaTheme="minorEastAsia"/>
          <w:noProof/>
          <w:lang w:eastAsia="pl-PL"/>
        </w:rPr>
      </w:pPr>
      <w:hyperlink w:anchor="_Toc20832231" w:history="1">
        <w:r w:rsidR="00A82C40" w:rsidRPr="003A416A">
          <w:rPr>
            <w:rStyle w:val="Hipercze"/>
            <w:noProof/>
          </w:rPr>
          <w:t>9. Forma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_Toc20832231 \h </w:instrText>
        </w:r>
        <w:r w:rsidR="00A82C40" w:rsidRPr="003A416A">
          <w:rPr>
            <w:noProof/>
            <w:webHidden/>
          </w:rPr>
        </w:r>
        <w:r w:rsidR="00A82C40" w:rsidRPr="003A416A">
          <w:rPr>
            <w:noProof/>
            <w:webHidden/>
          </w:rPr>
          <w:fldChar w:fldCharType="separate"/>
        </w:r>
        <w:r w:rsidR="00B8529A">
          <w:rPr>
            <w:noProof/>
            <w:webHidden/>
          </w:rPr>
          <w:t>1</w:t>
        </w:r>
        <w:r w:rsidR="00A82C40" w:rsidRPr="003A416A">
          <w:rPr>
            <w:noProof/>
            <w:webHidden/>
          </w:rPr>
          <w:fldChar w:fldCharType="end"/>
        </w:r>
      </w:hyperlink>
      <w:r w:rsidR="00A117B9">
        <w:rPr>
          <w:noProof/>
        </w:rPr>
        <w:t>1</w:t>
      </w:r>
    </w:p>
    <w:p w14:paraId="40C543B2" w14:textId="7AD7C016" w:rsidR="00A82C40" w:rsidRPr="003A416A" w:rsidRDefault="00531391" w:rsidP="001B635A">
      <w:pPr>
        <w:pStyle w:val="Spistreci1"/>
        <w:rPr>
          <w:rFonts w:eastAsiaTheme="minorEastAsia"/>
          <w:noProof/>
          <w:lang w:eastAsia="pl-PL"/>
        </w:rPr>
      </w:pPr>
      <w:hyperlink w:anchor="_Toc20832232" w:history="1">
        <w:r w:rsidR="00A82C40" w:rsidRPr="003A416A">
          <w:rPr>
            <w:rStyle w:val="Hipercze"/>
            <w:noProof/>
          </w:rPr>
          <w:t>10. Zasady i forma składania wniosków o dofinansowanie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_Toc20832232 \h </w:instrText>
        </w:r>
        <w:r w:rsidR="00A82C40" w:rsidRPr="003A416A">
          <w:rPr>
            <w:noProof/>
            <w:webHidden/>
          </w:rPr>
        </w:r>
        <w:r w:rsidR="00A82C40" w:rsidRPr="003A416A">
          <w:rPr>
            <w:noProof/>
            <w:webHidden/>
          </w:rPr>
          <w:fldChar w:fldCharType="separate"/>
        </w:r>
        <w:r w:rsidR="00B8529A">
          <w:rPr>
            <w:noProof/>
            <w:webHidden/>
          </w:rPr>
          <w:t>1</w:t>
        </w:r>
        <w:r w:rsidR="00A117B9">
          <w:rPr>
            <w:noProof/>
            <w:webHidden/>
          </w:rPr>
          <w:t>5</w:t>
        </w:r>
        <w:r w:rsidR="00A82C40" w:rsidRPr="003A416A">
          <w:rPr>
            <w:noProof/>
            <w:webHidden/>
          </w:rPr>
          <w:fldChar w:fldCharType="end"/>
        </w:r>
      </w:hyperlink>
    </w:p>
    <w:p w14:paraId="6AC2C7EC" w14:textId="44D5664F" w:rsidR="00A82C40" w:rsidRPr="003A416A" w:rsidRDefault="00531391" w:rsidP="001B635A">
      <w:pPr>
        <w:pStyle w:val="Spistreci1"/>
        <w:rPr>
          <w:rFonts w:eastAsiaTheme="minorEastAsia"/>
          <w:noProof/>
          <w:lang w:eastAsia="pl-PL"/>
        </w:rPr>
      </w:pPr>
      <w:hyperlink w:anchor="_Toc20832233" w:history="1">
        <w:r w:rsidR="00A82C40" w:rsidRPr="003A416A">
          <w:rPr>
            <w:rStyle w:val="Hipercze"/>
            <w:noProof/>
          </w:rPr>
          <w:t>11. Sposób uzupełnienia braków w zakresie warunków formalnych oraz poprawiania oczywistych omyłek</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_Toc20832233 \h </w:instrText>
        </w:r>
        <w:r w:rsidR="00A82C40" w:rsidRPr="003A416A">
          <w:rPr>
            <w:noProof/>
            <w:webHidden/>
          </w:rPr>
        </w:r>
        <w:r w:rsidR="00A82C40" w:rsidRPr="003A416A">
          <w:rPr>
            <w:noProof/>
            <w:webHidden/>
          </w:rPr>
          <w:fldChar w:fldCharType="separate"/>
        </w:r>
        <w:r w:rsidR="00B8529A">
          <w:rPr>
            <w:noProof/>
            <w:webHidden/>
          </w:rPr>
          <w:t>18</w:t>
        </w:r>
        <w:r w:rsidR="00A82C40" w:rsidRPr="003A416A">
          <w:rPr>
            <w:noProof/>
            <w:webHidden/>
          </w:rPr>
          <w:fldChar w:fldCharType="end"/>
        </w:r>
      </w:hyperlink>
    </w:p>
    <w:p w14:paraId="4D7C94C8" w14:textId="49C2B9AB" w:rsidR="00A82C40" w:rsidRPr="003A416A" w:rsidRDefault="00531391" w:rsidP="001B635A">
      <w:pPr>
        <w:pStyle w:val="Spistreci1"/>
        <w:rPr>
          <w:rFonts w:eastAsiaTheme="minorEastAsia"/>
          <w:noProof/>
          <w:lang w:eastAsia="pl-PL"/>
        </w:rPr>
      </w:pPr>
      <w:hyperlink w:anchor="_Toc20832234" w:history="1">
        <w:r w:rsidR="00A82C40" w:rsidRPr="003A416A">
          <w:rPr>
            <w:rStyle w:val="Hipercze"/>
            <w:noProof/>
          </w:rPr>
          <w:t>12. Wzór wniosku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_Toc20832234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3F6493A6" w14:textId="4E59AE36" w:rsidR="00A82C40" w:rsidRPr="003A416A" w:rsidRDefault="00531391" w:rsidP="001B635A">
      <w:pPr>
        <w:pStyle w:val="Spistreci1"/>
        <w:rPr>
          <w:rFonts w:eastAsiaTheme="minorEastAsia"/>
          <w:noProof/>
          <w:lang w:eastAsia="pl-PL"/>
        </w:rPr>
      </w:pPr>
      <w:hyperlink w:anchor="_Toc20832235" w:history="1">
        <w:r w:rsidR="00A82C40" w:rsidRPr="003A416A">
          <w:rPr>
            <w:rStyle w:val="Hipercze"/>
            <w:noProof/>
          </w:rPr>
          <w:t>13. Wzór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_Toc20832235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10811CBA" w14:textId="617D2655" w:rsidR="00A82C40" w:rsidRPr="003A416A" w:rsidRDefault="00531391" w:rsidP="001B635A">
      <w:pPr>
        <w:pStyle w:val="Spistreci1"/>
        <w:rPr>
          <w:rFonts w:eastAsiaTheme="minorEastAsia"/>
          <w:noProof/>
          <w:lang w:eastAsia="pl-PL"/>
        </w:rPr>
      </w:pPr>
      <w:hyperlink w:anchor="_Toc20832236" w:history="1">
        <w:r w:rsidR="00A82C40" w:rsidRPr="003A416A">
          <w:rPr>
            <w:rStyle w:val="Hipercze"/>
            <w:noProof/>
          </w:rPr>
          <w:t>14. Kryteria wyboru projektów wraz z podaniem ich znaczenia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_Toc20832236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4437C1BE" w14:textId="1934671E" w:rsidR="00A82C40" w:rsidRPr="003A416A" w:rsidRDefault="00531391" w:rsidP="001B635A">
      <w:pPr>
        <w:pStyle w:val="Spistreci1"/>
        <w:rPr>
          <w:rFonts w:eastAsiaTheme="minorEastAsia"/>
          <w:noProof/>
          <w:lang w:eastAsia="pl-PL"/>
        </w:rPr>
      </w:pPr>
      <w:hyperlink w:anchor="_Toc20832237" w:history="1">
        <w:r w:rsidR="00A82C40" w:rsidRPr="003A416A">
          <w:rPr>
            <w:rStyle w:val="Hipercze"/>
            <w:noProof/>
          </w:rPr>
          <w:t>15. Zasady finansowania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_Toc20832237 \h </w:instrText>
        </w:r>
        <w:r w:rsidR="00A82C40" w:rsidRPr="003A416A">
          <w:rPr>
            <w:noProof/>
            <w:webHidden/>
          </w:rPr>
        </w:r>
        <w:r w:rsidR="00A82C40" w:rsidRPr="003A416A">
          <w:rPr>
            <w:noProof/>
            <w:webHidden/>
          </w:rPr>
          <w:fldChar w:fldCharType="separate"/>
        </w:r>
        <w:r w:rsidR="00B8529A">
          <w:rPr>
            <w:noProof/>
            <w:webHidden/>
          </w:rPr>
          <w:t>21</w:t>
        </w:r>
        <w:r w:rsidR="00A82C40" w:rsidRPr="003A416A">
          <w:rPr>
            <w:noProof/>
            <w:webHidden/>
          </w:rPr>
          <w:fldChar w:fldCharType="end"/>
        </w:r>
      </w:hyperlink>
    </w:p>
    <w:p w14:paraId="2A107C61" w14:textId="0A64B461" w:rsidR="00A82C40" w:rsidRPr="003A416A" w:rsidRDefault="00531391" w:rsidP="001B635A">
      <w:pPr>
        <w:pStyle w:val="Spistreci1"/>
        <w:rPr>
          <w:rFonts w:eastAsiaTheme="minorEastAsia"/>
          <w:noProof/>
          <w:lang w:eastAsia="pl-PL"/>
        </w:rPr>
      </w:pPr>
      <w:hyperlink w:anchor="_Toc20832238" w:history="1">
        <w:r w:rsidR="00A82C40" w:rsidRPr="003A416A">
          <w:rPr>
            <w:rStyle w:val="Hipercze"/>
            <w:noProof/>
          </w:rPr>
          <w:t>16. Maksymalny dopuszczalny poziom dofinansowania projektu lub maksymalna intensywność pomocy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_Toc20832238 \h </w:instrText>
        </w:r>
        <w:r w:rsidR="00A82C40" w:rsidRPr="003A416A">
          <w:rPr>
            <w:noProof/>
            <w:webHidden/>
          </w:rPr>
        </w:r>
        <w:r w:rsidR="00A82C40" w:rsidRPr="003A416A">
          <w:rPr>
            <w:noProof/>
            <w:webHidden/>
          </w:rPr>
          <w:fldChar w:fldCharType="separate"/>
        </w:r>
        <w:r w:rsidR="00B8529A">
          <w:rPr>
            <w:noProof/>
            <w:webHidden/>
          </w:rPr>
          <w:t>22</w:t>
        </w:r>
        <w:r w:rsidR="00A82C40" w:rsidRPr="003A416A">
          <w:rPr>
            <w:noProof/>
            <w:webHidden/>
          </w:rPr>
          <w:fldChar w:fldCharType="end"/>
        </w:r>
      </w:hyperlink>
    </w:p>
    <w:p w14:paraId="55804D5C" w14:textId="5468B5D8" w:rsidR="00A82C40" w:rsidRPr="003A416A" w:rsidRDefault="00531391" w:rsidP="001B635A">
      <w:pPr>
        <w:pStyle w:val="Spistreci1"/>
        <w:rPr>
          <w:rFonts w:eastAsiaTheme="minorEastAsia"/>
          <w:noProof/>
          <w:lang w:eastAsia="pl-PL"/>
        </w:rPr>
      </w:pPr>
      <w:hyperlink w:anchor="_Toc20832239" w:history="1">
        <w:r w:rsidR="00A82C40" w:rsidRPr="003A416A">
          <w:rPr>
            <w:rStyle w:val="Hipercze"/>
            <w:noProof/>
          </w:rPr>
          <w:t>17. Warunki uwzględnienia dochodu w projekcie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_Toc20832239 \h </w:instrText>
        </w:r>
        <w:r w:rsidR="00A82C40" w:rsidRPr="003A416A">
          <w:rPr>
            <w:noProof/>
            <w:webHidden/>
          </w:rPr>
        </w:r>
        <w:r w:rsidR="00A82C40" w:rsidRPr="003A416A">
          <w:rPr>
            <w:noProof/>
            <w:webHidden/>
          </w:rPr>
          <w:fldChar w:fldCharType="separate"/>
        </w:r>
        <w:r w:rsidR="00B8529A">
          <w:rPr>
            <w:noProof/>
            <w:webHidden/>
          </w:rPr>
          <w:t>25</w:t>
        </w:r>
        <w:r w:rsidR="00A82C40" w:rsidRPr="003A416A">
          <w:rPr>
            <w:noProof/>
            <w:webHidden/>
          </w:rPr>
          <w:fldChar w:fldCharType="end"/>
        </w:r>
      </w:hyperlink>
    </w:p>
    <w:p w14:paraId="36249E23" w14:textId="5014F9AF" w:rsidR="00A82C40" w:rsidRPr="003A416A" w:rsidRDefault="00531391" w:rsidP="001B635A">
      <w:pPr>
        <w:pStyle w:val="Spistreci1"/>
        <w:rPr>
          <w:rFonts w:eastAsiaTheme="minorEastAsia"/>
          <w:noProof/>
          <w:lang w:eastAsia="pl-PL"/>
        </w:rPr>
      </w:pPr>
      <w:hyperlink w:anchor="_Toc20832240" w:history="1">
        <w:r w:rsidR="00A82C40" w:rsidRPr="003A416A">
          <w:rPr>
            <w:rStyle w:val="Hipercze"/>
            <w:noProof/>
          </w:rPr>
          <w:t>18. Środki odwoławcze przysługujące wnioskodawcy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_Toc20832240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35D364C8" w14:textId="4FBB7CB9" w:rsidR="00A82C40" w:rsidRPr="003A416A" w:rsidRDefault="00531391" w:rsidP="001B635A">
      <w:pPr>
        <w:pStyle w:val="Spistreci1"/>
        <w:rPr>
          <w:rFonts w:eastAsiaTheme="minorEastAsia"/>
          <w:noProof/>
          <w:lang w:eastAsia="pl-PL"/>
        </w:rPr>
      </w:pPr>
      <w:hyperlink w:anchor="_Toc20832241" w:history="1">
        <w:r w:rsidR="00A82C40" w:rsidRPr="003A416A">
          <w:rPr>
            <w:rStyle w:val="Hipercze"/>
            <w:noProof/>
          </w:rPr>
          <w:t>19. Sposób podania do publicznej wiadomości wyników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_Toc20832241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09CE0BC0" w14:textId="66ACB05A" w:rsidR="00A82C40" w:rsidRPr="003A416A" w:rsidRDefault="00531391" w:rsidP="001B635A">
      <w:pPr>
        <w:pStyle w:val="Spistreci1"/>
        <w:rPr>
          <w:rFonts w:eastAsiaTheme="minorEastAsia"/>
          <w:noProof/>
          <w:lang w:eastAsia="pl-PL"/>
        </w:rPr>
      </w:pPr>
      <w:hyperlink w:anchor="_Toc20832242" w:history="1">
        <w:r w:rsidR="00A82C40" w:rsidRPr="003A416A">
          <w:rPr>
            <w:rStyle w:val="Hipercze"/>
            <w:noProof/>
          </w:rPr>
          <w:t>20. Warunki zawarcia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_Toc20832242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40A575FA" w14:textId="09F66329" w:rsidR="00A82C40" w:rsidRPr="003A416A" w:rsidRDefault="00531391" w:rsidP="001B635A">
      <w:pPr>
        <w:pStyle w:val="Spistreci1"/>
        <w:rPr>
          <w:rFonts w:eastAsiaTheme="minorEastAsia"/>
          <w:noProof/>
          <w:lang w:eastAsia="pl-PL"/>
        </w:rPr>
      </w:pPr>
      <w:hyperlink w:anchor="_Toc20832243" w:history="1">
        <w:r w:rsidR="00A82C40" w:rsidRPr="003A416A">
          <w:rPr>
            <w:rStyle w:val="Hipercze"/>
            <w:noProof/>
          </w:rPr>
          <w:t>21. Forma i sposób udzielania wnioskodawcy wyjaśnień w kwestiach dotyczących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_Toc20832243 \h </w:instrText>
        </w:r>
        <w:r w:rsidR="00A82C40" w:rsidRPr="003A416A">
          <w:rPr>
            <w:noProof/>
            <w:webHidden/>
          </w:rPr>
        </w:r>
        <w:r w:rsidR="00A82C40" w:rsidRPr="003A416A">
          <w:rPr>
            <w:noProof/>
            <w:webHidden/>
          </w:rPr>
          <w:fldChar w:fldCharType="separate"/>
        </w:r>
        <w:r w:rsidR="00B8529A">
          <w:rPr>
            <w:noProof/>
            <w:webHidden/>
          </w:rPr>
          <w:t>27</w:t>
        </w:r>
        <w:r w:rsidR="00A82C40" w:rsidRPr="003A416A">
          <w:rPr>
            <w:noProof/>
            <w:webHidden/>
          </w:rPr>
          <w:fldChar w:fldCharType="end"/>
        </w:r>
      </w:hyperlink>
    </w:p>
    <w:p w14:paraId="26ABDEA0" w14:textId="4C46D60A" w:rsidR="00A82C40" w:rsidRPr="003A416A" w:rsidRDefault="00531391" w:rsidP="001B635A">
      <w:pPr>
        <w:pStyle w:val="Spistreci1"/>
        <w:rPr>
          <w:rFonts w:eastAsiaTheme="minorEastAsia"/>
          <w:noProof/>
          <w:lang w:eastAsia="pl-PL"/>
        </w:rPr>
      </w:pPr>
      <w:hyperlink w:anchor="_Toc20832244" w:history="1">
        <w:r w:rsidR="00A82C40" w:rsidRPr="003A416A">
          <w:rPr>
            <w:rStyle w:val="Hipercze"/>
            <w:noProof/>
          </w:rPr>
          <w:t>22. Orientacyjny termin rozstrzygnięcia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_Toc20832244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2A885BB2" w14:textId="548E15AC" w:rsidR="00A82C40" w:rsidRPr="003A416A" w:rsidRDefault="00531391" w:rsidP="001B635A">
      <w:pPr>
        <w:pStyle w:val="Spistreci1"/>
        <w:rPr>
          <w:rFonts w:eastAsiaTheme="minorEastAsia"/>
          <w:noProof/>
          <w:lang w:eastAsia="pl-PL"/>
        </w:rPr>
      </w:pPr>
      <w:hyperlink w:anchor="_Toc20832245" w:history="1">
        <w:r w:rsidR="00A82C40" w:rsidRPr="003A416A">
          <w:rPr>
            <w:rStyle w:val="Hipercze"/>
            <w:noProof/>
          </w:rPr>
          <w:t>23. Sytuacje, w których konkurs może zostać anulowany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_Toc20832245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C327EA6" w14:textId="69E251BB" w:rsidR="00A82C40" w:rsidRPr="003A416A" w:rsidRDefault="00531391" w:rsidP="001B635A">
      <w:pPr>
        <w:pStyle w:val="Spistreci1"/>
        <w:rPr>
          <w:rFonts w:eastAsiaTheme="minorEastAsia"/>
          <w:noProof/>
          <w:lang w:eastAsia="pl-PL"/>
        </w:rPr>
      </w:pPr>
      <w:hyperlink w:anchor="_Toc20832246" w:history="1">
        <w:r w:rsidR="00A82C40" w:rsidRPr="003A416A">
          <w:rPr>
            <w:rStyle w:val="Hipercze"/>
            <w:noProof/>
          </w:rPr>
          <w:t>24. Postanowienie dotyczące możliwości zwiększenia kwoty przeznaczonej na dofinansowanie projektów w konkursie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_Toc20832246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8318EFB" w14:textId="2A666281" w:rsidR="00A82C40" w:rsidRPr="003A416A" w:rsidRDefault="00531391" w:rsidP="001B635A">
      <w:pPr>
        <w:pStyle w:val="Spistreci1"/>
        <w:rPr>
          <w:rFonts w:eastAsiaTheme="minorEastAsia"/>
          <w:noProof/>
          <w:lang w:eastAsia="pl-PL"/>
        </w:rPr>
      </w:pPr>
      <w:hyperlink w:anchor="_Toc20832247" w:history="1">
        <w:r w:rsidR="00A82C40" w:rsidRPr="003A416A">
          <w:rPr>
            <w:rStyle w:val="Hipercze"/>
            <w:noProof/>
          </w:rPr>
          <w:t>25. Wskaźniki produktu i rezultatu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_Toc20832247 \h </w:instrText>
        </w:r>
        <w:r w:rsidR="00A82C40" w:rsidRPr="003A416A">
          <w:rPr>
            <w:noProof/>
            <w:webHidden/>
          </w:rPr>
        </w:r>
        <w:r w:rsidR="00A82C40" w:rsidRPr="003A416A">
          <w:rPr>
            <w:noProof/>
            <w:webHidden/>
          </w:rPr>
          <w:fldChar w:fldCharType="separate"/>
        </w:r>
        <w:r w:rsidR="00B8529A">
          <w:rPr>
            <w:noProof/>
            <w:webHidden/>
          </w:rPr>
          <w:t>29</w:t>
        </w:r>
        <w:r w:rsidR="00A82C40" w:rsidRPr="003A416A">
          <w:rPr>
            <w:noProof/>
            <w:webHidden/>
          </w:rPr>
          <w:fldChar w:fldCharType="end"/>
        </w:r>
      </w:hyperlink>
    </w:p>
    <w:p w14:paraId="30470382" w14:textId="34DDB419" w:rsidR="00A82C40" w:rsidRPr="003A416A" w:rsidRDefault="00531391" w:rsidP="001B635A">
      <w:pPr>
        <w:pStyle w:val="Spistreci1"/>
        <w:rPr>
          <w:rFonts w:eastAsiaTheme="minorEastAsia"/>
          <w:noProof/>
          <w:lang w:eastAsia="pl-PL"/>
        </w:rPr>
      </w:pPr>
      <w:hyperlink w:anchor="_Toc20832248" w:history="1">
        <w:r w:rsidR="00A82C40" w:rsidRPr="003A416A">
          <w:rPr>
            <w:rStyle w:val="Hipercze"/>
            <w:noProof/>
          </w:rPr>
          <w:t>26. Pomoc publiczna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_Toc20832248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2F5E6147" w14:textId="3852F6A1" w:rsidR="00A82C40" w:rsidRPr="003A416A" w:rsidRDefault="00531391" w:rsidP="001B635A">
      <w:pPr>
        <w:pStyle w:val="Spistreci1"/>
        <w:rPr>
          <w:rFonts w:eastAsiaTheme="minorEastAsia"/>
          <w:noProof/>
          <w:lang w:eastAsia="pl-PL"/>
        </w:rPr>
      </w:pPr>
      <w:hyperlink w:anchor="_Toc20832249" w:history="1">
        <w:r w:rsidR="00A82C40" w:rsidRPr="003A416A">
          <w:rPr>
            <w:rStyle w:val="Hipercze"/>
            <w:noProof/>
          </w:rPr>
          <w:t>27. Kwalifikowalność wydatków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_Toc20832249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52C6AC78" w14:textId="61CC4645" w:rsidR="00A82C40" w:rsidRPr="003A416A" w:rsidRDefault="00531391" w:rsidP="001B635A">
      <w:pPr>
        <w:pStyle w:val="Spistreci1"/>
        <w:rPr>
          <w:rFonts w:eastAsiaTheme="minorEastAsia"/>
          <w:noProof/>
          <w:lang w:eastAsia="pl-PL"/>
        </w:rPr>
      </w:pPr>
      <w:hyperlink w:anchor="_Toc20832250" w:history="1">
        <w:r w:rsidR="00A82C40" w:rsidRPr="003A416A">
          <w:rPr>
            <w:rStyle w:val="Hipercze"/>
            <w:noProof/>
          </w:rPr>
          <w:t>28. Studium wykonalności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_Toc20832250 \h </w:instrText>
        </w:r>
        <w:r w:rsidR="00A82C40" w:rsidRPr="003A416A">
          <w:rPr>
            <w:noProof/>
            <w:webHidden/>
          </w:rPr>
        </w:r>
        <w:r w:rsidR="00A82C40" w:rsidRPr="003A416A">
          <w:rPr>
            <w:noProof/>
            <w:webHidden/>
          </w:rPr>
          <w:fldChar w:fldCharType="separate"/>
        </w:r>
        <w:r w:rsidR="00B8529A">
          <w:rPr>
            <w:noProof/>
            <w:webHidden/>
          </w:rPr>
          <w:t>35</w:t>
        </w:r>
        <w:r w:rsidR="00A82C40" w:rsidRPr="003A416A">
          <w:rPr>
            <w:noProof/>
            <w:webHidden/>
          </w:rPr>
          <w:fldChar w:fldCharType="end"/>
        </w:r>
      </w:hyperlink>
    </w:p>
    <w:p w14:paraId="2AD362F8" w14:textId="74B09F5A" w:rsidR="00A82C40" w:rsidRPr="003A416A" w:rsidRDefault="00531391" w:rsidP="001B635A">
      <w:pPr>
        <w:pStyle w:val="Spistreci1"/>
        <w:rPr>
          <w:rFonts w:eastAsiaTheme="minorEastAsia"/>
          <w:noProof/>
          <w:lang w:eastAsia="pl-PL"/>
        </w:rPr>
      </w:pPr>
      <w:hyperlink w:anchor="_Toc20832251" w:history="1">
        <w:r w:rsidR="00A82C40" w:rsidRPr="003A416A">
          <w:rPr>
            <w:rStyle w:val="Hipercze"/>
            <w:noProof/>
          </w:rPr>
          <w:t>29. Polityka ochrony środowiska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_Toc20832251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0A8882BD" w14:textId="36DE3B2E" w:rsidR="00A82C40" w:rsidRPr="003A416A" w:rsidRDefault="00531391" w:rsidP="001B635A">
      <w:pPr>
        <w:pStyle w:val="Spistreci1"/>
        <w:rPr>
          <w:rFonts w:eastAsiaTheme="minorEastAsia"/>
          <w:noProof/>
          <w:lang w:eastAsia="pl-PL"/>
        </w:rPr>
      </w:pPr>
      <w:hyperlink w:anchor="_Toc20832253" w:history="1">
        <w:r w:rsidR="00A82C40" w:rsidRPr="003A416A">
          <w:rPr>
            <w:rStyle w:val="Hipercze"/>
            <w:noProof/>
          </w:rPr>
          <w:t>Załączniki do Regulaminu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_Toc20832253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320C3A71" w14:textId="77777777" w:rsidR="00C973AB" w:rsidRPr="003A416A" w:rsidRDefault="00C973AB" w:rsidP="001B635A">
      <w:pPr>
        <w:widowControl w:val="0"/>
        <w:spacing w:after="0" w:line="360" w:lineRule="auto"/>
        <w:rPr>
          <w:rFonts w:cs="Arial"/>
        </w:rPr>
      </w:pPr>
      <w:r w:rsidRPr="003A416A">
        <w:rPr>
          <w:b/>
          <w:bCs/>
        </w:rPr>
        <w:fldChar w:fldCharType="end"/>
      </w:r>
    </w:p>
    <w:p w14:paraId="1A2ADA38" w14:textId="77777777" w:rsidR="00C973AB" w:rsidRPr="003A416A" w:rsidRDefault="00C973AB" w:rsidP="001B635A">
      <w:pPr>
        <w:pStyle w:val="Nagwek1"/>
        <w:numPr>
          <w:ilvl w:val="0"/>
          <w:numId w:val="10"/>
        </w:numPr>
        <w:tabs>
          <w:tab w:val="left" w:pos="426"/>
        </w:tabs>
        <w:spacing w:before="480" w:after="240" w:line="240" w:lineRule="auto"/>
        <w:ind w:left="425" w:hanging="425"/>
      </w:pPr>
      <w:bookmarkStart w:id="31" w:name="_Toc20832223"/>
      <w:r w:rsidRPr="003A416A">
        <w:lastRenderedPageBreak/>
        <w:t>Podstawa prawna</w:t>
      </w:r>
      <w:bookmarkEnd w:id="31"/>
      <w:r w:rsidRPr="003A416A">
        <w:t xml:space="preserve"> </w:t>
      </w:r>
    </w:p>
    <w:p w14:paraId="79024FA9" w14:textId="77777777" w:rsidR="00C973AB" w:rsidRPr="003A416A" w:rsidRDefault="00C973AB" w:rsidP="001B635A">
      <w:pPr>
        <w:autoSpaceDE w:val="0"/>
        <w:autoSpaceDN w:val="0"/>
        <w:adjustRightInd w:val="0"/>
        <w:spacing w:after="0" w:line="276" w:lineRule="auto"/>
      </w:pPr>
      <w:r w:rsidRPr="003A416A">
        <w:t>W ramach niniejszego konkursu zastosowanie mają w szczególności:</w:t>
      </w:r>
    </w:p>
    <w:p w14:paraId="68B704DF" w14:textId="06911461"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14:paraId="5042D03A" w14:textId="06C7775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14:paraId="2E3B2C85" w14:textId="35A7033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14:paraId="2F27AFED" w14:textId="4BD4DBF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14:paraId="2094E720" w14:textId="4007D71E"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14:paraId="1EFBA51A" w14:textId="568F39D8" w:rsidR="003A022B" w:rsidRPr="003A416A" w:rsidRDefault="00F91E38" w:rsidP="001B635A">
      <w:pPr>
        <w:pStyle w:val="Default"/>
        <w:numPr>
          <w:ilvl w:val="0"/>
          <w:numId w:val="2"/>
        </w:numPr>
        <w:spacing w:line="276" w:lineRule="auto"/>
        <w:ind w:left="714" w:hanging="357"/>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14:paraId="45B7771E" w14:textId="7211EEBE" w:rsidR="006A7E7C" w:rsidRPr="006701CD"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14:paraId="2A28657F" w14:textId="1587850A" w:rsidR="004C21A2" w:rsidRPr="003A416A" w:rsidRDefault="004C21A2" w:rsidP="001B635A">
      <w:pPr>
        <w:numPr>
          <w:ilvl w:val="0"/>
          <w:numId w:val="2"/>
        </w:numPr>
        <w:autoSpaceDE w:val="0"/>
        <w:autoSpaceDN w:val="0"/>
        <w:adjustRightInd w:val="0"/>
        <w:spacing w:after="0" w:line="276" w:lineRule="auto"/>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14:paraId="4CC03AC2" w14:textId="1378BF51"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10 kwietnia </w:t>
      </w:r>
      <w:r w:rsidR="00901FD2" w:rsidRPr="003A416A">
        <w:t>1997 r. Prawo energetyczne</w:t>
      </w:r>
      <w:r w:rsidRPr="003A416A">
        <w:t xml:space="preserve"> wraz z aktami wykonawczymi;</w:t>
      </w:r>
    </w:p>
    <w:p w14:paraId="2643794A" w14:textId="67652EA3"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w:t>
      </w:r>
      <w:r w:rsidR="00901FD2" w:rsidRPr="003A416A">
        <w:t xml:space="preserve">20 maja 2016 r. o efektywności energetycznej </w:t>
      </w:r>
      <w:r w:rsidRPr="003A416A">
        <w:t>wraz z aktami wykonawczymi;</w:t>
      </w:r>
    </w:p>
    <w:p w14:paraId="789AEA73" w14:textId="586432CD" w:rsid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14:paraId="5746F650" w14:textId="6B82F66F" w:rsidR="00935635" w:rsidRP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27 kwietnia 2001 r. Prawo ochrony środowiska wraz z aktami wykonawczymi;</w:t>
      </w:r>
    </w:p>
    <w:p w14:paraId="657E857D" w14:textId="539DECC4" w:rsidR="00901FD2" w:rsidRPr="003A416A" w:rsidRDefault="00901FD2"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14:paraId="0EFB0674" w14:textId="0C5C8E1F"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ustawa z dnia 27 sierpnia 2009 r. o finansach publicznych wraz z aktami wykonawczymi;</w:t>
      </w:r>
    </w:p>
    <w:p w14:paraId="4F333B73" w14:textId="27A0F909"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14:paraId="7B7C842A" w14:textId="1A34E1F5"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14:paraId="72E733D8" w14:textId="79CD418D"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14:paraId="2ABCD796" w14:textId="5258BE59"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7 lipca 1994 r. Prawo budowlane</w:t>
      </w:r>
      <w:r w:rsidR="00935635">
        <w:t xml:space="preserve"> wraz z aktami wykonawczymi</w:t>
      </w:r>
      <w:r w:rsidRPr="003A416A">
        <w:t>;</w:t>
      </w:r>
    </w:p>
    <w:p w14:paraId="29A7618C" w14:textId="5FFDA788"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6 września 2001 r. o dostępie do informacji publicznej;</w:t>
      </w:r>
    </w:p>
    <w:p w14:paraId="1555F95A" w14:textId="4083386C"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14:paraId="1E4B9BBC" w14:textId="0518613A"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30 sierpnia 2002 r. – Prawo o postępowaniu przed sądami administracyjnymi;</w:t>
      </w:r>
    </w:p>
    <w:p w14:paraId="55A22AF3" w14:textId="53F43867"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23 li</w:t>
      </w:r>
      <w:r w:rsidR="00B24077" w:rsidRPr="003A416A">
        <w:t>stopada 2012 r. Prawo pocztowe</w:t>
      </w:r>
      <w:r w:rsidRPr="003A416A">
        <w:t>;</w:t>
      </w:r>
    </w:p>
    <w:p w14:paraId="347C5F13" w14:textId="4287412A" w:rsidR="000576B8" w:rsidRPr="00935635" w:rsidRDefault="000576B8" w:rsidP="001B635A">
      <w:pPr>
        <w:numPr>
          <w:ilvl w:val="0"/>
          <w:numId w:val="2"/>
        </w:numPr>
        <w:shd w:val="clear" w:color="auto" w:fill="FFFFFF" w:themeFill="background1"/>
        <w:autoSpaceDE w:val="0"/>
        <w:autoSpaceDN w:val="0"/>
        <w:adjustRightInd w:val="0"/>
        <w:spacing w:after="0" w:line="276" w:lineRule="auto"/>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14:paraId="7183338E" w14:textId="5EC29207" w:rsidR="00923CEE" w:rsidRPr="00935635" w:rsidRDefault="00923CEE" w:rsidP="001B635A">
      <w:pPr>
        <w:numPr>
          <w:ilvl w:val="0"/>
          <w:numId w:val="2"/>
        </w:numPr>
        <w:shd w:val="clear" w:color="auto" w:fill="FFFFFF" w:themeFill="background1"/>
        <w:autoSpaceDE w:val="0"/>
        <w:autoSpaceDN w:val="0"/>
        <w:adjustRightInd w:val="0"/>
        <w:spacing w:after="0" w:line="276" w:lineRule="auto"/>
      </w:pPr>
      <w:r w:rsidRPr="00935635">
        <w:t>rozporządzenie Ministra Infrastruktury i Rozwoju z dnia 5 listopada 2015 r. w sprawie udzielania pomocy inwestycyjnej na infrastrukturę energetyczną w ramach regionalnych programów operacyjnych na lata 2014-2020 ;</w:t>
      </w:r>
    </w:p>
    <w:p w14:paraId="73CE12B4" w14:textId="69690057" w:rsidR="004C21A2" w:rsidRPr="003A416A" w:rsidRDefault="004C21A2" w:rsidP="001B635A">
      <w:pPr>
        <w:pStyle w:val="Akapitzlist"/>
        <w:numPr>
          <w:ilvl w:val="0"/>
          <w:numId w:val="2"/>
        </w:numPr>
        <w:jc w:val="left"/>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14:paraId="1A665BEA"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Regionalny Program Operacyjny Województwa Dolnośląskiego 2014-2020 zatwierdzony przez Komisję Europejską decyzją z dnia 18 grudnia 2014 r. (z późn. zm.), zwanym „ RPO WD”;</w:t>
      </w:r>
    </w:p>
    <w:p w14:paraId="63E0DB20" w14:textId="5912418C" w:rsidR="00784F14" w:rsidRPr="003A416A" w:rsidRDefault="00784F14" w:rsidP="001B635A">
      <w:pPr>
        <w:numPr>
          <w:ilvl w:val="0"/>
          <w:numId w:val="2"/>
        </w:numPr>
        <w:autoSpaceDE w:val="0"/>
        <w:autoSpaceDN w:val="0"/>
        <w:adjustRightInd w:val="0"/>
        <w:spacing w:after="0" w:line="276" w:lineRule="auto"/>
      </w:pPr>
      <w:r w:rsidRPr="003A416A">
        <w:rPr>
          <w:rFonts w:eastAsia="Times New Roman"/>
          <w:lang w:eastAsia="pl-PL"/>
        </w:rPr>
        <w:t xml:space="preserve">zaakceptowany </w:t>
      </w:r>
      <w:r w:rsidR="00B6188F">
        <w:rPr>
          <w:rFonts w:eastAsia="Times New Roman"/>
          <w:lang w:eastAsia="pl-PL"/>
        </w:rPr>
        <w:t>15.04.2020</w:t>
      </w:r>
      <w:r w:rsidRPr="003A416A">
        <w:rPr>
          <w:rFonts w:eastAsia="Times New Roman"/>
          <w:lang w:eastAsia="pl-PL"/>
        </w:rPr>
        <w:t xml:space="preserve"> r. (wersja</w:t>
      </w:r>
      <w:r w:rsidR="008D6B4A" w:rsidRPr="003A416A">
        <w:rPr>
          <w:rFonts w:eastAsia="Times New Roman"/>
          <w:lang w:eastAsia="pl-PL"/>
        </w:rPr>
        <w:t xml:space="preserve"> </w:t>
      </w:r>
      <w:r w:rsidR="00B6188F">
        <w:rPr>
          <w:rFonts w:eastAsia="Times New Roman"/>
          <w:lang w:eastAsia="pl-PL"/>
        </w:rPr>
        <w:t>53</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14:paraId="44434087"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t xml:space="preserve">Umowa Partnerstwa - Programowanie perspektywy finansowej 2014-2020 - Umowa Partnerstwa, dokument przyjęty przez Komisję Europejską 23 maja 2014 r. (z późn. zm.); </w:t>
      </w:r>
    </w:p>
    <w:p w14:paraId="630F5614" w14:textId="323E21CB" w:rsidR="00784F14" w:rsidRPr="003A416A" w:rsidRDefault="00784F14" w:rsidP="001B635A">
      <w:pPr>
        <w:numPr>
          <w:ilvl w:val="0"/>
          <w:numId w:val="2"/>
        </w:numPr>
        <w:autoSpaceDE w:val="0"/>
        <w:autoSpaceDN w:val="0"/>
        <w:adjustRightInd w:val="0"/>
        <w:spacing w:after="0" w:line="276" w:lineRule="auto"/>
        <w:ind w:left="714" w:hanging="357"/>
      </w:pPr>
      <w:r w:rsidRPr="003A416A">
        <w:t>Strategia Rozwoju Województwa Dolnośląskiego 20</w:t>
      </w:r>
      <w:r w:rsidR="00551753" w:rsidRPr="003A416A">
        <w:t>3</w:t>
      </w:r>
      <w:r w:rsidRPr="003A416A">
        <w:t>0;</w:t>
      </w:r>
    </w:p>
    <w:p w14:paraId="118DAA93"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wytyczne, o których mowa w art. 5 ust. 1 ustawy wdrożeniowej;</w:t>
      </w:r>
    </w:p>
    <w:p w14:paraId="524CFF1C" w14:textId="7E92F2F4" w:rsidR="00784F14" w:rsidRPr="003A416A" w:rsidRDefault="00784F14" w:rsidP="001B635A">
      <w:pPr>
        <w:numPr>
          <w:ilvl w:val="0"/>
          <w:numId w:val="2"/>
        </w:numPr>
        <w:autoSpaceDE w:val="0"/>
        <w:autoSpaceDN w:val="0"/>
        <w:adjustRightInd w:val="0"/>
        <w:spacing w:after="0" w:line="276" w:lineRule="auto"/>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8" w:history="1">
        <w:r w:rsidRPr="003A416A">
          <w:rPr>
            <w:rStyle w:val="Hipercze"/>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14:paraId="5B00F050" w14:textId="5EE723A0" w:rsidR="00E46501" w:rsidRPr="003A416A" w:rsidRDefault="00784F14" w:rsidP="001B635A">
      <w:pPr>
        <w:numPr>
          <w:ilvl w:val="0"/>
          <w:numId w:val="2"/>
        </w:numPr>
        <w:autoSpaceDE w:val="0"/>
        <w:autoSpaceDN w:val="0"/>
        <w:adjustRightInd w:val="0"/>
        <w:spacing w:after="0" w:line="276" w:lineRule="auto"/>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546D91C6" w:rsidR="00BB1A64" w:rsidRPr="003A416A" w:rsidRDefault="00BB1A64" w:rsidP="001B635A">
      <w:pPr>
        <w:pStyle w:val="Nagwek1"/>
        <w:tabs>
          <w:tab w:val="left" w:pos="426"/>
        </w:tabs>
        <w:spacing w:before="480" w:after="240" w:line="240" w:lineRule="auto"/>
        <w:ind w:left="425" w:hanging="425"/>
      </w:pPr>
      <w:bookmarkStart w:id="32" w:name="_Toc20832224"/>
      <w:r w:rsidRPr="003A416A">
        <w:lastRenderedPageBreak/>
        <w:t>2. Postanowienia ogólne</w:t>
      </w:r>
      <w:bookmarkEnd w:id="32"/>
    </w:p>
    <w:p w14:paraId="4F1F2FC1" w14:textId="71086D66" w:rsidR="00784F14" w:rsidRDefault="00F86258" w:rsidP="001B635A">
      <w:pPr>
        <w:autoSpaceDE w:val="0"/>
        <w:autoSpaceDN w:val="0"/>
        <w:adjustRightInd w:val="0"/>
        <w:spacing w:after="120" w:line="276" w:lineRule="auto"/>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14:paraId="2EC58F80" w14:textId="517075BE" w:rsidR="00935635" w:rsidRPr="00935635" w:rsidRDefault="00935635" w:rsidP="001B635A">
      <w:pPr>
        <w:autoSpaceDE w:val="0"/>
        <w:autoSpaceDN w:val="0"/>
        <w:adjustRightInd w:val="0"/>
        <w:spacing w:after="120" w:line="276" w:lineRule="auto"/>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14:paraId="7A77ECE1" w14:textId="72B70ACE" w:rsidR="00784F14" w:rsidRPr="003A416A" w:rsidRDefault="00784F14" w:rsidP="001B635A">
      <w:pPr>
        <w:tabs>
          <w:tab w:val="num" w:pos="720"/>
        </w:tabs>
        <w:autoSpaceDE w:val="0"/>
        <w:autoSpaceDN w:val="0"/>
        <w:adjustRightInd w:val="0"/>
        <w:spacing w:after="120" w:line="276" w:lineRule="auto"/>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27B5686F" w:rsidR="00784F14" w:rsidRPr="003A416A" w:rsidRDefault="00784F14" w:rsidP="001B635A">
      <w:pPr>
        <w:spacing w:after="120" w:line="276" w:lineRule="auto"/>
        <w:rPr>
          <w:rFonts w:eastAsia="Droid Sans Fallback"/>
        </w:rPr>
      </w:pPr>
      <w:r w:rsidRPr="003A416A">
        <w:t>3</w:t>
      </w:r>
      <w:r w:rsidR="00F86258">
        <w:t>)</w:t>
      </w:r>
      <w:r w:rsidRPr="003A416A">
        <w:t xml:space="preserve"> Przystąpienie do konkursu jest równoznaczne z akceptacją przez Wnioskodawcę postanowień Regulaminu.</w:t>
      </w:r>
    </w:p>
    <w:p w14:paraId="30500F5F" w14:textId="03FB43E3"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14:paraId="0A6A6E4E" w14:textId="09DDF089"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14:paraId="3016620E" w14:textId="0D36EEC1"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C21212A" w14:textId="26629726" w:rsidR="00784F14" w:rsidRPr="003A416A" w:rsidRDefault="00784F14" w:rsidP="001B635A">
      <w:pPr>
        <w:tabs>
          <w:tab w:val="num" w:pos="720"/>
        </w:tabs>
        <w:autoSpaceDE w:val="0"/>
        <w:autoSpaceDN w:val="0"/>
        <w:adjustRightInd w:val="0"/>
        <w:spacing w:after="120" w:line="276" w:lineRule="auto"/>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14:paraId="6E01F2F7" w14:textId="77777777" w:rsidR="00784F14" w:rsidRPr="003A416A" w:rsidRDefault="00784F14" w:rsidP="001B635A">
      <w:pPr>
        <w:widowControl w:val="0"/>
        <w:spacing w:after="0" w:line="274" w:lineRule="auto"/>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3A416A" w:rsidRDefault="00BB1A64" w:rsidP="001B635A">
      <w:pPr>
        <w:pStyle w:val="Nagwek1"/>
        <w:tabs>
          <w:tab w:val="left" w:pos="426"/>
        </w:tabs>
        <w:spacing w:before="480" w:after="240" w:line="240" w:lineRule="auto"/>
        <w:ind w:left="425" w:hanging="425"/>
      </w:pPr>
      <w:bookmarkStart w:id="33" w:name="_Toc499633758"/>
      <w:bookmarkStart w:id="34" w:name="_Toc499633759"/>
      <w:bookmarkStart w:id="35" w:name="_Toc499633760"/>
      <w:bookmarkStart w:id="36" w:name="_Toc20832225"/>
      <w:bookmarkEnd w:id="33"/>
      <w:bookmarkEnd w:id="34"/>
      <w:bookmarkEnd w:id="35"/>
      <w:r w:rsidRPr="003A416A">
        <w:t>3. Pełna nazwa i adres właściwej instytucji</w:t>
      </w:r>
      <w:bookmarkEnd w:id="36"/>
    </w:p>
    <w:p w14:paraId="52F83E6B" w14:textId="01BF4A6F" w:rsidR="00784F14" w:rsidRPr="003A416A" w:rsidRDefault="00784F14" w:rsidP="001B635A">
      <w:pPr>
        <w:autoSpaceDE w:val="0"/>
        <w:autoSpaceDN w:val="0"/>
        <w:adjustRightInd w:val="0"/>
        <w:spacing w:before="120" w:after="120" w:line="276" w:lineRule="auto"/>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14:paraId="6C67CE33" w14:textId="1F753771" w:rsidR="00784F14" w:rsidRPr="003A416A" w:rsidRDefault="00784F14" w:rsidP="001B635A">
      <w:pPr>
        <w:spacing w:after="0" w:line="276" w:lineRule="auto"/>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14:paraId="6AAF4F56" w14:textId="77777777" w:rsidR="00BB1A64" w:rsidRPr="003A416A" w:rsidRDefault="00BB1A64" w:rsidP="001B635A">
      <w:pPr>
        <w:pStyle w:val="Nagwek1"/>
        <w:tabs>
          <w:tab w:val="left" w:pos="426"/>
        </w:tabs>
        <w:spacing w:before="480" w:after="240" w:line="240" w:lineRule="auto"/>
        <w:ind w:left="425" w:hanging="425"/>
      </w:pPr>
      <w:bookmarkStart w:id="37" w:name="_Toc499633762"/>
      <w:bookmarkStart w:id="38" w:name="_Toc499633763"/>
      <w:bookmarkStart w:id="39" w:name="_Toc20832226"/>
      <w:bookmarkEnd w:id="37"/>
      <w:bookmarkEnd w:id="38"/>
      <w:r w:rsidRPr="003A416A">
        <w:lastRenderedPageBreak/>
        <w:t>4. Przedmiot konkursu, w tym typy projektów podlegających dofinansowaniu</w:t>
      </w:r>
      <w:bookmarkEnd w:id="39"/>
    </w:p>
    <w:p w14:paraId="628382A9" w14:textId="64FB7885" w:rsidR="00784F14" w:rsidRPr="003A416A" w:rsidRDefault="00784F14" w:rsidP="001B635A">
      <w:pPr>
        <w:spacing w:before="120" w:after="120" w:line="240" w:lineRule="auto"/>
        <w:ind w:left="53"/>
        <w:contextualSpacing/>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14:paraId="6A38873A" w14:textId="77777777" w:rsidR="00784F14" w:rsidRPr="003A416A" w:rsidRDefault="00784F14" w:rsidP="001B635A">
      <w:pPr>
        <w:spacing w:before="120" w:after="120" w:line="240" w:lineRule="auto"/>
        <w:ind w:left="53"/>
        <w:contextualSpacing/>
        <w:rPr>
          <w:rFonts w:cs="Arial"/>
        </w:rPr>
      </w:pPr>
    </w:p>
    <w:p w14:paraId="60ABE65A" w14:textId="4606B2CE" w:rsidR="00551753" w:rsidRPr="003A416A" w:rsidRDefault="00551753" w:rsidP="001B635A">
      <w:pPr>
        <w:spacing w:before="120" w:after="120"/>
        <w:ind w:left="53"/>
        <w:contextualSpacing/>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14:paraId="51945A33" w14:textId="5447CEFB" w:rsidR="00453716" w:rsidRPr="003A416A" w:rsidRDefault="00453716" w:rsidP="001B635A">
      <w:pPr>
        <w:pStyle w:val="Akapitzlist"/>
        <w:numPr>
          <w:ilvl w:val="0"/>
          <w:numId w:val="19"/>
        </w:numPr>
        <w:jc w:val="left"/>
      </w:pPr>
      <w:r w:rsidRPr="003A416A">
        <w:t>Energia wiatru,</w:t>
      </w:r>
    </w:p>
    <w:p w14:paraId="074DF1F4" w14:textId="10C5FAD9" w:rsidR="00453716" w:rsidRPr="003A416A" w:rsidRDefault="00453716" w:rsidP="001B635A">
      <w:pPr>
        <w:pStyle w:val="Akapitzlist"/>
        <w:numPr>
          <w:ilvl w:val="0"/>
          <w:numId w:val="19"/>
        </w:numPr>
        <w:jc w:val="left"/>
      </w:pPr>
      <w:r w:rsidRPr="003A416A">
        <w:t>Energia promieniowania słonecznego,</w:t>
      </w:r>
    </w:p>
    <w:p w14:paraId="3DB0F53F" w14:textId="32D4A6C5" w:rsidR="00551753" w:rsidRPr="003A416A" w:rsidRDefault="00F67573" w:rsidP="001B635A">
      <w:pPr>
        <w:pStyle w:val="Akapitzlist"/>
        <w:numPr>
          <w:ilvl w:val="0"/>
          <w:numId w:val="19"/>
        </w:numPr>
        <w:jc w:val="left"/>
      </w:pPr>
      <w:r w:rsidRPr="003A416A">
        <w:t>Energia geotermalna,</w:t>
      </w:r>
    </w:p>
    <w:p w14:paraId="137F5C8E" w14:textId="7C2A1BC2" w:rsidR="003A416A" w:rsidRPr="003A416A" w:rsidRDefault="00F67573" w:rsidP="001B635A">
      <w:pPr>
        <w:pStyle w:val="Akapitzlist"/>
        <w:numPr>
          <w:ilvl w:val="0"/>
          <w:numId w:val="19"/>
        </w:numPr>
        <w:jc w:val="left"/>
      </w:pPr>
      <w:r w:rsidRPr="003A416A">
        <w:t xml:space="preserve">Energia </w:t>
      </w:r>
      <w:r w:rsidR="003A416A" w:rsidRPr="003A416A">
        <w:t>aerotermalna</w:t>
      </w:r>
      <w:r w:rsidR="003A416A">
        <w:t>.</w:t>
      </w:r>
    </w:p>
    <w:p w14:paraId="137EC90F" w14:textId="77777777" w:rsidR="00F67573" w:rsidRPr="003A416A" w:rsidRDefault="00F67573" w:rsidP="001B635A">
      <w:pPr>
        <w:spacing w:before="120" w:after="120"/>
        <w:ind w:left="53"/>
        <w:contextualSpacing/>
        <w:rPr>
          <w:b/>
        </w:rPr>
      </w:pPr>
    </w:p>
    <w:p w14:paraId="01F3EFB0" w14:textId="0A065AD0" w:rsidR="00F67573" w:rsidRPr="003A416A" w:rsidRDefault="00F67573" w:rsidP="001B635A">
      <w:pPr>
        <w:spacing w:before="120" w:after="120"/>
        <w:ind w:left="53"/>
        <w:contextualSpacing/>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14:paraId="063EDF00" w14:textId="77777777" w:rsidR="00F67573" w:rsidRPr="003A416A" w:rsidRDefault="00F67573" w:rsidP="001B635A">
      <w:pPr>
        <w:spacing w:before="120" w:after="120"/>
        <w:ind w:left="53"/>
        <w:contextualSpacing/>
        <w:rPr>
          <w:b/>
        </w:rPr>
      </w:pPr>
    </w:p>
    <w:p w14:paraId="3A8D445A" w14:textId="7F9ACD81" w:rsidR="00DE213F" w:rsidRPr="003A416A" w:rsidRDefault="00DE213F" w:rsidP="001B635A">
      <w:pPr>
        <w:spacing w:before="120" w:after="120"/>
        <w:ind w:left="53"/>
        <w:contextualSpacing/>
        <w:rPr>
          <w:b/>
        </w:rPr>
      </w:pPr>
      <w:r w:rsidRPr="003A416A">
        <w:rPr>
          <w:b/>
        </w:rPr>
        <w:t xml:space="preserve">Konkurs obejmuje swym zakresem następujące kody interwencji: </w:t>
      </w:r>
    </w:p>
    <w:p w14:paraId="5E6C663B" w14:textId="27EBA6E9" w:rsidR="00DE213F" w:rsidRPr="003A416A" w:rsidRDefault="00DE213F" w:rsidP="001B635A">
      <w:pPr>
        <w:spacing w:before="120" w:after="120"/>
        <w:ind w:left="53"/>
        <w:contextualSpacing/>
      </w:pPr>
      <w:r w:rsidRPr="003A416A">
        <w:t>009 Energia odnawialna: wiatrowa</w:t>
      </w:r>
    </w:p>
    <w:p w14:paraId="1B693780" w14:textId="61BE8F26" w:rsidR="00DE213F" w:rsidRPr="003A416A" w:rsidRDefault="00DE213F" w:rsidP="001B635A">
      <w:pPr>
        <w:spacing w:before="120" w:after="120"/>
        <w:ind w:left="53"/>
        <w:contextualSpacing/>
      </w:pPr>
      <w:r w:rsidRPr="003A416A">
        <w:t>010 Energia odnawialna: słoneczna</w:t>
      </w:r>
    </w:p>
    <w:p w14:paraId="2E82E1C6" w14:textId="48629A31" w:rsidR="00DE213F" w:rsidRPr="003A416A" w:rsidRDefault="00DE213F" w:rsidP="001B635A">
      <w:pPr>
        <w:spacing w:before="120" w:after="120"/>
        <w:ind w:left="53"/>
        <w:contextualSpacing/>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14:paraId="7A08E349" w14:textId="77777777" w:rsidR="00DE213F" w:rsidRPr="003A416A" w:rsidRDefault="00DE213F" w:rsidP="001B635A">
      <w:pPr>
        <w:spacing w:after="0" w:line="276" w:lineRule="auto"/>
        <w:rPr>
          <w:rFonts w:eastAsia="Calibri"/>
          <w:b/>
        </w:rPr>
      </w:pPr>
    </w:p>
    <w:p w14:paraId="1093517E" w14:textId="77777777" w:rsidR="00453716" w:rsidRPr="003A416A" w:rsidRDefault="00453716" w:rsidP="001B635A">
      <w:pPr>
        <w:spacing w:after="0" w:line="276" w:lineRule="auto"/>
        <w:rPr>
          <w:rFonts w:eastAsia="Calibri"/>
          <w:b/>
        </w:rPr>
      </w:pPr>
      <w:r w:rsidRPr="003A416A">
        <w:rPr>
          <w:rFonts w:eastAsia="Calibri"/>
          <w:b/>
        </w:rPr>
        <w:t>Nie będą wspierane projekty:</w:t>
      </w:r>
    </w:p>
    <w:p w14:paraId="7EAA119B" w14:textId="77777777"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ze źródeł w układzie wysokosprawnej kogeneracji i trigeneracji;</w:t>
      </w:r>
    </w:p>
    <w:p w14:paraId="5D726869" w14:textId="1B7AE830" w:rsidR="00453716" w:rsidRPr="003A416A" w:rsidRDefault="00453716" w:rsidP="001B635A">
      <w:pPr>
        <w:pStyle w:val="Akapitzlist"/>
        <w:numPr>
          <w:ilvl w:val="0"/>
          <w:numId w:val="36"/>
        </w:numPr>
        <w:jc w:val="left"/>
        <w:rPr>
          <w:rFonts w:cs="Arial"/>
        </w:rPr>
      </w:pPr>
      <w:r w:rsidRPr="003A416A">
        <w:rPr>
          <w:rFonts w:eastAsia="Calibri"/>
        </w:rPr>
        <w:t xml:space="preserve">opierające się o energię spadku wody, </w:t>
      </w:r>
    </w:p>
    <w:p w14:paraId="091C5CCA" w14:textId="552A3B86"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 biomasy;</w:t>
      </w:r>
    </w:p>
    <w:p w14:paraId="2020604A" w14:textId="2E992CC4" w:rsidR="00453716" w:rsidRPr="003A416A" w:rsidRDefault="00453716" w:rsidP="001B635A">
      <w:pPr>
        <w:pStyle w:val="Akapitzlist"/>
        <w:numPr>
          <w:ilvl w:val="0"/>
          <w:numId w:val="36"/>
        </w:numPr>
        <w:jc w:val="left"/>
        <w:rPr>
          <w:rFonts w:cs="Arial"/>
        </w:rPr>
      </w:pPr>
      <w:r w:rsidRPr="003A416A">
        <w:t xml:space="preserve">dotyczące produkcji biopaliw </w:t>
      </w:r>
    </w:p>
    <w:p w14:paraId="61DBA9FF" w14:textId="77777777" w:rsidR="00291D84" w:rsidRDefault="00291D84" w:rsidP="001B635A">
      <w:pPr>
        <w:spacing w:after="0" w:line="276" w:lineRule="auto"/>
        <w:rPr>
          <w:rFonts w:cs="Arial"/>
          <w:b/>
        </w:rPr>
      </w:pPr>
    </w:p>
    <w:p w14:paraId="72912949" w14:textId="5F1ABEDD" w:rsidR="00935635" w:rsidRPr="00935635" w:rsidRDefault="00935635" w:rsidP="001B635A">
      <w:pPr>
        <w:spacing w:after="0" w:line="276" w:lineRule="auto"/>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14:paraId="30D6861A" w14:textId="77777777" w:rsidR="000B34CD" w:rsidRDefault="000B34CD" w:rsidP="001B635A">
      <w:pPr>
        <w:spacing w:after="0" w:line="276" w:lineRule="auto"/>
        <w:rPr>
          <w:rFonts w:cs="Arial"/>
        </w:rPr>
      </w:pPr>
    </w:p>
    <w:p w14:paraId="00A11272" w14:textId="20190445" w:rsidR="00453716" w:rsidRPr="003A416A" w:rsidRDefault="00453716" w:rsidP="001B635A">
      <w:pPr>
        <w:spacing w:after="0" w:line="276" w:lineRule="auto"/>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14:paraId="3E4D592F" w14:textId="77777777" w:rsidR="00453716" w:rsidRDefault="00453716" w:rsidP="001B635A">
      <w:pPr>
        <w:autoSpaceDE w:val="0"/>
        <w:autoSpaceDN w:val="0"/>
        <w:adjustRightInd w:val="0"/>
        <w:spacing w:after="0" w:line="240" w:lineRule="auto"/>
        <w:rPr>
          <w:rFonts w:ascii="Calibri" w:hAnsi="Calibri" w:cs="Calibri"/>
          <w:color w:val="000000"/>
        </w:rPr>
      </w:pPr>
    </w:p>
    <w:p w14:paraId="30E35130" w14:textId="77777777" w:rsidR="000B34CD" w:rsidRPr="003A416A" w:rsidRDefault="000B34CD" w:rsidP="001B635A">
      <w:pPr>
        <w:autoSpaceDE w:val="0"/>
        <w:autoSpaceDN w:val="0"/>
        <w:adjustRightInd w:val="0"/>
        <w:spacing w:after="0" w:line="240" w:lineRule="auto"/>
        <w:rPr>
          <w:rFonts w:ascii="Calibri" w:hAnsi="Calibri" w:cs="Calibri"/>
          <w:color w:val="000000"/>
        </w:rPr>
      </w:pPr>
    </w:p>
    <w:p w14:paraId="5AF03753" w14:textId="47D43C38" w:rsidR="00784F14" w:rsidRPr="003A416A" w:rsidRDefault="00F14D36" w:rsidP="001B635A">
      <w:pPr>
        <w:pStyle w:val="Nagwek1"/>
      </w:pPr>
      <w:bookmarkStart w:id="40" w:name="_Toc20832227"/>
      <w:r w:rsidRPr="003A416A">
        <w:lastRenderedPageBreak/>
        <w:t xml:space="preserve">5. </w:t>
      </w:r>
      <w:r w:rsidR="00846EAA" w:rsidRPr="003A416A">
        <w:t xml:space="preserve">Dodatkowe postanowienia Regulaminu </w:t>
      </w:r>
      <w:bookmarkEnd w:id="40"/>
    </w:p>
    <w:p w14:paraId="004B1CFA" w14:textId="128041FF" w:rsidR="00DB14D2" w:rsidRDefault="00DB14D2" w:rsidP="001B635A">
      <w:pPr>
        <w:rPr>
          <w:rFonts w:eastAsia="Calibri"/>
          <w:highlight w:val="green"/>
        </w:rPr>
      </w:pPr>
      <w:bookmarkStart w:id="41" w:name="_Toc499633765"/>
      <w:bookmarkEnd w:id="41"/>
    </w:p>
    <w:p w14:paraId="0107553A" w14:textId="7AC78DBB" w:rsidR="00DB14D2" w:rsidRPr="00DB14D2" w:rsidRDefault="00DB14D2" w:rsidP="001B635A">
      <w:pPr>
        <w:rPr>
          <w:rFonts w:eastAsia="Calibri"/>
        </w:rPr>
      </w:pPr>
      <w:r w:rsidRPr="00DB14D2">
        <w:rPr>
          <w:rFonts w:eastAsia="Calibri"/>
        </w:rPr>
        <w:t>W ramach konkursu pomoc może być udzielona również na:</w:t>
      </w:r>
    </w:p>
    <w:p w14:paraId="6866E698" w14:textId="2C152E10" w:rsidR="00DB14D2" w:rsidRPr="00DB14D2" w:rsidRDefault="00DB14D2" w:rsidP="001B635A">
      <w:pPr>
        <w:pStyle w:val="Akapitzlist"/>
        <w:numPr>
          <w:ilvl w:val="0"/>
          <w:numId w:val="44"/>
        </w:numPr>
        <w:jc w:val="left"/>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14:paraId="5A492EB8" w14:textId="18A5DDBA" w:rsidR="00DB14D2" w:rsidRPr="00DB14D2" w:rsidRDefault="00DB14D2" w:rsidP="001B635A">
      <w:pPr>
        <w:pStyle w:val="Akapitzlist"/>
        <w:numPr>
          <w:ilvl w:val="0"/>
          <w:numId w:val="44"/>
        </w:numPr>
        <w:jc w:val="left"/>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14:paraId="21D8F822" w14:textId="09ED4EE2" w:rsidR="00DB14D2" w:rsidRPr="00DB14D2" w:rsidRDefault="00DB14D2" w:rsidP="001B635A">
      <w:pPr>
        <w:pStyle w:val="Akapitzlist"/>
        <w:numPr>
          <w:ilvl w:val="0"/>
          <w:numId w:val="44"/>
        </w:numPr>
        <w:jc w:val="left"/>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14:paraId="5CA3552C" w14:textId="484FA618" w:rsidR="00DB14D2" w:rsidRPr="00DB14D2" w:rsidRDefault="00A03713" w:rsidP="001B635A">
      <w:pPr>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14:paraId="15DFC721" w14:textId="6976B01A" w:rsidR="00A445C7" w:rsidRPr="00A03713" w:rsidRDefault="00A445C7" w:rsidP="001B635A">
      <w:pPr>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14:paraId="5DF04F37" w14:textId="10DD0A00" w:rsidR="00E361A9" w:rsidRPr="00A03713" w:rsidRDefault="006121A1" w:rsidP="001B635A">
      <w:pPr>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14:paraId="4DF30EF6" w14:textId="7C5BC5A0" w:rsidR="007B5297" w:rsidRPr="003A416A" w:rsidRDefault="007B5297" w:rsidP="001B635A">
      <w:pPr>
        <w:spacing w:after="0"/>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14:paraId="193CCE53" w14:textId="77777777" w:rsidR="007B5297" w:rsidRPr="003A416A" w:rsidRDefault="007B5297" w:rsidP="001B635A">
      <w:pPr>
        <w:spacing w:after="0"/>
      </w:pPr>
    </w:p>
    <w:p w14:paraId="729B6B36" w14:textId="5AC5A69C" w:rsidR="0094537D" w:rsidRPr="003A416A" w:rsidRDefault="007B5297" w:rsidP="001B635A">
      <w:pPr>
        <w:spacing w:after="0"/>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14:paraId="2C68802B" w14:textId="77777777" w:rsidR="00A445C7" w:rsidRPr="003A416A" w:rsidRDefault="00A445C7" w:rsidP="001B635A">
      <w:pPr>
        <w:spacing w:after="0"/>
      </w:pPr>
    </w:p>
    <w:p w14:paraId="5056DBFD" w14:textId="77777777" w:rsidR="00A445C7" w:rsidRPr="003A416A" w:rsidRDefault="00A445C7" w:rsidP="001B635A">
      <w:pPr>
        <w:spacing w:after="0"/>
        <w:rPr>
          <w:b/>
        </w:rPr>
      </w:pPr>
      <w:r w:rsidRPr="003A416A">
        <w:rPr>
          <w:b/>
        </w:rPr>
        <w:t xml:space="preserve">Każdy z klastrów może złożyć tylko jeden wniosek o dofinansowanie. </w:t>
      </w:r>
    </w:p>
    <w:p w14:paraId="2F426A94" w14:textId="77777777" w:rsidR="00A445C7" w:rsidRPr="003A416A" w:rsidRDefault="00A445C7" w:rsidP="001B635A">
      <w:pPr>
        <w:spacing w:after="0"/>
      </w:pPr>
    </w:p>
    <w:p w14:paraId="21FF784C" w14:textId="77777777" w:rsidR="00A445C7" w:rsidRDefault="00A445C7" w:rsidP="001B635A">
      <w:pPr>
        <w:spacing w:after="0"/>
        <w:rPr>
          <w:b/>
        </w:rPr>
      </w:pPr>
      <w:r w:rsidRPr="003A416A">
        <w:rPr>
          <w:b/>
        </w:rPr>
        <w:t xml:space="preserve">Projekt w całości musi być realizowany na obszarze województwa dolnośląskiego. </w:t>
      </w:r>
    </w:p>
    <w:p w14:paraId="3262BD17" w14:textId="77777777" w:rsidR="00EB6214" w:rsidRDefault="00EB6214" w:rsidP="001B635A">
      <w:pPr>
        <w:spacing w:after="0"/>
        <w:rPr>
          <w:b/>
        </w:rPr>
      </w:pPr>
    </w:p>
    <w:p w14:paraId="10FCD6A0" w14:textId="67B988ED" w:rsidR="00EB6214" w:rsidRPr="003A416A" w:rsidRDefault="00EB6214" w:rsidP="001B635A">
      <w:pPr>
        <w:spacing w:after="0"/>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14:paraId="4009BAFA" w14:textId="77777777" w:rsidR="00A445C7" w:rsidRDefault="00A445C7" w:rsidP="001B635A">
      <w:pPr>
        <w:spacing w:after="0"/>
        <w:rPr>
          <w:rFonts w:ascii="Calibri" w:eastAsia="Times New Roman" w:hAnsi="Calibri" w:cs="Arial"/>
          <w:lang w:eastAsia="pl-PL"/>
        </w:rPr>
      </w:pPr>
    </w:p>
    <w:p w14:paraId="160B7FE6" w14:textId="22292285" w:rsidR="006948AA" w:rsidRDefault="006948AA" w:rsidP="001B635A">
      <w:pPr>
        <w:spacing w:after="0"/>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14:paraId="1BAE6BB1" w14:textId="77777777" w:rsidR="000B34CD" w:rsidRDefault="000B34CD" w:rsidP="001B635A">
      <w:pPr>
        <w:spacing w:after="0"/>
        <w:rPr>
          <w:rFonts w:ascii="Calibri" w:eastAsia="Times New Roman" w:hAnsi="Calibri" w:cs="Arial"/>
          <w:lang w:eastAsia="pl-PL"/>
        </w:rPr>
      </w:pPr>
    </w:p>
    <w:p w14:paraId="7AFD6AEB" w14:textId="77777777" w:rsidR="000B34CD" w:rsidRDefault="000B34CD" w:rsidP="001B635A">
      <w:pPr>
        <w:spacing w:after="0"/>
        <w:rPr>
          <w:rFonts w:ascii="Calibri" w:eastAsia="Times New Roman" w:hAnsi="Calibri" w:cs="Arial"/>
          <w:lang w:eastAsia="pl-PL"/>
        </w:rPr>
      </w:pPr>
    </w:p>
    <w:p w14:paraId="66FBBBAB" w14:textId="77777777" w:rsidR="000B34CD" w:rsidRPr="003A416A" w:rsidRDefault="000B34CD" w:rsidP="001B635A">
      <w:pPr>
        <w:spacing w:after="0"/>
        <w:rPr>
          <w:rFonts w:ascii="Calibri" w:eastAsia="Times New Roman" w:hAnsi="Calibri" w:cs="Arial"/>
          <w:lang w:eastAsia="pl-PL"/>
        </w:rPr>
      </w:pPr>
    </w:p>
    <w:p w14:paraId="506158C0" w14:textId="77777777" w:rsidR="001509BE" w:rsidRPr="003A416A" w:rsidRDefault="00F14D36" w:rsidP="001B635A">
      <w:pPr>
        <w:pStyle w:val="Nagwek1"/>
      </w:pPr>
      <w:bookmarkStart w:id="42" w:name="_Toc20832228"/>
      <w:r w:rsidRPr="003A416A">
        <w:lastRenderedPageBreak/>
        <w:t>6</w:t>
      </w:r>
      <w:r w:rsidR="001509BE" w:rsidRPr="003A416A">
        <w:t>. Wykluczenia</w:t>
      </w:r>
      <w:bookmarkEnd w:id="42"/>
    </w:p>
    <w:p w14:paraId="4196A54D" w14:textId="77777777" w:rsidR="001509BE" w:rsidRPr="003A416A" w:rsidRDefault="001509BE" w:rsidP="001B635A">
      <w:pPr>
        <w:pStyle w:val="Tekstpodstawowy2"/>
        <w:spacing w:line="276" w:lineRule="auto"/>
        <w:rPr>
          <w:rFonts w:ascii="Calibri" w:hAnsi="Calibri" w:cs="Arial"/>
          <w:sz w:val="22"/>
          <w:szCs w:val="22"/>
        </w:rPr>
      </w:pPr>
    </w:p>
    <w:p w14:paraId="5EA843EB" w14:textId="4C546ADF" w:rsidR="00A445C7" w:rsidRPr="003A416A" w:rsidRDefault="00846EAA" w:rsidP="001B635A">
      <w:pPr>
        <w:pStyle w:val="Default"/>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14:paraId="6A0828D0" w14:textId="084CD82D" w:rsidR="002B1A70" w:rsidRPr="00DB14D2" w:rsidRDefault="00846EAA" w:rsidP="001B635A">
      <w:pPr>
        <w:pStyle w:val="Default"/>
        <w:numPr>
          <w:ilvl w:val="1"/>
          <w:numId w:val="10"/>
        </w:numPr>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14:paraId="7F865266" w14:textId="7AF8B0D3" w:rsidR="007736D9" w:rsidRPr="00DB14D2" w:rsidRDefault="007736D9" w:rsidP="001B635A">
      <w:pPr>
        <w:pStyle w:val="Default"/>
        <w:numPr>
          <w:ilvl w:val="1"/>
          <w:numId w:val="10"/>
        </w:numPr>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14:paraId="6CDE3D19" w14:textId="77777777" w:rsidR="000B34CD" w:rsidRDefault="000B34CD" w:rsidP="001B635A">
      <w:pPr>
        <w:spacing w:after="0" w:line="276" w:lineRule="auto"/>
      </w:pPr>
    </w:p>
    <w:p w14:paraId="258E7EA8" w14:textId="625B8A87" w:rsidR="00846EAA" w:rsidRPr="00A03713" w:rsidRDefault="00846EAA" w:rsidP="001B635A">
      <w:pPr>
        <w:spacing w:after="0" w:line="276" w:lineRule="auto"/>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0083A488" w14:textId="77777777" w:rsidR="00F737A5" w:rsidRDefault="00F737A5" w:rsidP="001B635A"/>
    <w:p w14:paraId="669DC680" w14:textId="171B3B10" w:rsidR="00846EAA" w:rsidRPr="003A416A" w:rsidRDefault="00846EAA" w:rsidP="001B635A">
      <w:r w:rsidRPr="003A416A">
        <w:t xml:space="preserve">Ponadto w ramach Działania </w:t>
      </w:r>
      <w:r w:rsidR="002B1A70" w:rsidRPr="003A416A">
        <w:t xml:space="preserve">3.1 A </w:t>
      </w:r>
      <w:r w:rsidRPr="003A416A">
        <w:rPr>
          <w:rFonts w:cs="Arial"/>
        </w:rPr>
        <w:t xml:space="preserve">o dofinansowanie nie mogą ubiegać się Wnioskodawcy: </w:t>
      </w:r>
    </w:p>
    <w:p w14:paraId="4DD503AD" w14:textId="77777777" w:rsidR="00846EAA" w:rsidRPr="003A416A" w:rsidRDefault="00846EAA" w:rsidP="001B635A">
      <w:pPr>
        <w:pStyle w:val="Akapitzlist"/>
        <w:numPr>
          <w:ilvl w:val="0"/>
          <w:numId w:val="4"/>
        </w:numPr>
        <w:jc w:val="left"/>
      </w:pPr>
      <w:r w:rsidRPr="003A416A">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3A416A" w:rsidRDefault="00846EAA" w:rsidP="001B635A">
      <w:pPr>
        <w:pStyle w:val="Akapitzlist"/>
        <w:numPr>
          <w:ilvl w:val="0"/>
          <w:numId w:val="4"/>
        </w:numPr>
        <w:jc w:val="left"/>
      </w:pPr>
      <w:r w:rsidRPr="003A416A">
        <w:t xml:space="preserve">na których ciąży obowiązek zwrotu pomocy wynikający z decyzji KE uznającej pomoc za niezgodną z prawem oraz ze wspólnym rynkiem w rozumieniu art. 107 TFUE; </w:t>
      </w:r>
    </w:p>
    <w:p w14:paraId="56C6D2B8" w14:textId="3D71D87A" w:rsidR="00846EAA" w:rsidRPr="003A416A" w:rsidRDefault="00846EAA" w:rsidP="001B635A">
      <w:pPr>
        <w:pStyle w:val="Akapitzlist"/>
        <w:numPr>
          <w:ilvl w:val="0"/>
          <w:numId w:val="4"/>
        </w:numPr>
        <w:jc w:val="left"/>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3A416A" w:rsidRDefault="00846EAA" w:rsidP="001B635A">
      <w:pPr>
        <w:pStyle w:val="Akapitzlist"/>
        <w:numPr>
          <w:ilvl w:val="0"/>
          <w:numId w:val="4"/>
        </w:numPr>
        <w:jc w:val="left"/>
      </w:pPr>
      <w:r w:rsidRPr="003A416A">
        <w:t>karani na podstawie art. 9 ust. 1 pkt. 2a ustawy z dnia 28 października 2002 r. o odpowiedzialności podmiotów zbiorowych za czyny zabronione pod groźbą kary.</w:t>
      </w:r>
    </w:p>
    <w:p w14:paraId="14870C48" w14:textId="77777777" w:rsidR="001509BE" w:rsidRPr="003A416A" w:rsidRDefault="00846EAA" w:rsidP="001B635A">
      <w:pPr>
        <w:pStyle w:val="Akapitzlist"/>
        <w:numPr>
          <w:ilvl w:val="0"/>
          <w:numId w:val="4"/>
        </w:numPr>
        <w:jc w:val="left"/>
      </w:pPr>
      <w:r w:rsidRPr="003A416A">
        <w:t>przedsiębiorstwa w trudnej sytuacji w rozumieniu unijnych przepisów dotyczących pomocy państwa.</w:t>
      </w:r>
    </w:p>
    <w:p w14:paraId="1BEED6CA" w14:textId="77777777" w:rsidR="00614F27" w:rsidRPr="003A416A" w:rsidRDefault="00614F27" w:rsidP="001B635A">
      <w:pPr>
        <w:ind w:left="680"/>
      </w:pPr>
    </w:p>
    <w:p w14:paraId="34B2B270" w14:textId="77777777" w:rsidR="001509BE" w:rsidRPr="003A416A" w:rsidRDefault="001509BE" w:rsidP="001B635A">
      <w:pPr>
        <w:spacing w:after="0" w:line="276" w:lineRule="auto"/>
        <w:rPr>
          <w:b/>
          <w:sz w:val="24"/>
          <w:szCs w:val="24"/>
        </w:rPr>
      </w:pPr>
      <w:r w:rsidRPr="003A416A">
        <w:rPr>
          <w:b/>
          <w:sz w:val="24"/>
          <w:szCs w:val="24"/>
        </w:rPr>
        <w:t>UWAGA:</w:t>
      </w:r>
    </w:p>
    <w:p w14:paraId="7710240E" w14:textId="753102E6" w:rsidR="001509BE" w:rsidRPr="003A416A" w:rsidRDefault="001509BE" w:rsidP="001B635A">
      <w:pPr>
        <w:spacing w:after="0" w:line="276" w:lineRule="auto"/>
      </w:pPr>
      <w:r w:rsidRPr="003A416A">
        <w:t>Wykluczenia dotyczą Wnioskodawców</w:t>
      </w:r>
      <w:r w:rsidR="00DA481E" w:rsidRPr="003A416A">
        <w:t>,</w:t>
      </w:r>
      <w:r w:rsidRPr="003A416A">
        <w:t xml:space="preserve"> jak również Partnerów projektu.</w:t>
      </w:r>
    </w:p>
    <w:p w14:paraId="414431EF" w14:textId="77777777" w:rsidR="003F20D1" w:rsidRPr="003A416A" w:rsidRDefault="00F14D36" w:rsidP="001B635A">
      <w:pPr>
        <w:pStyle w:val="Nagwek1"/>
        <w:tabs>
          <w:tab w:val="left" w:pos="426"/>
        </w:tabs>
        <w:spacing w:before="480" w:after="240" w:line="240" w:lineRule="auto"/>
        <w:ind w:left="425" w:hanging="425"/>
      </w:pPr>
      <w:bookmarkStart w:id="43" w:name="_Toc20832229"/>
      <w:r w:rsidRPr="003A416A">
        <w:t>7</w:t>
      </w:r>
      <w:r w:rsidR="00576300" w:rsidRPr="003A416A">
        <w:t xml:space="preserve">. </w:t>
      </w:r>
      <w:r w:rsidR="003F20D1" w:rsidRPr="003A416A">
        <w:t>Typy Wnioskodawców/Beneficjentów</w:t>
      </w:r>
      <w:bookmarkEnd w:id="43"/>
    </w:p>
    <w:p w14:paraId="7FF17A26" w14:textId="7B10B9E6" w:rsidR="00291D84" w:rsidRPr="003A416A" w:rsidRDefault="00291D84"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posiadający odpowiednie umocowanie, osobowość prawną oraz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14:paraId="7C6D4614" w14:textId="262ADC4A" w:rsidR="00A920B8" w:rsidRDefault="00A920B8" w:rsidP="001B635A">
      <w:pPr>
        <w:pStyle w:val="Akapitzlist1"/>
        <w:autoSpaceDE w:val="0"/>
        <w:autoSpaceDN w:val="0"/>
        <w:adjustRightInd w:val="0"/>
        <w:spacing w:before="120" w:after="120" w:line="240" w:lineRule="auto"/>
        <w:ind w:left="0"/>
        <w:rPr>
          <w:rFonts w:asciiTheme="minorHAnsi" w:hAnsiTheme="minorHAnsi"/>
        </w:rPr>
      </w:pPr>
    </w:p>
    <w:p w14:paraId="786F2509" w14:textId="52788248" w:rsidR="00DE213F" w:rsidRPr="003A416A" w:rsidRDefault="00291D84" w:rsidP="001B635A">
      <w:pPr>
        <w:pStyle w:val="Akapitzlist1"/>
        <w:autoSpaceDE w:val="0"/>
        <w:autoSpaceDN w:val="0"/>
        <w:adjustRightInd w:val="0"/>
        <w:spacing w:before="120" w:after="120" w:line="240" w:lineRule="auto"/>
        <w:ind w:left="0"/>
        <w:rPr>
          <w:rFonts w:asciiTheme="minorHAnsi" w:hAnsiTheme="minorHAnsi"/>
        </w:rPr>
      </w:pPr>
      <w:r>
        <w:rPr>
          <w:rFonts w:asciiTheme="minorHAnsi" w:hAnsiTheme="minorHAnsi"/>
        </w:rPr>
        <w:lastRenderedPageBreak/>
        <w:t xml:space="preserve">Pomoc kierowana jest do członków tych klastrów, które posiadają </w:t>
      </w:r>
      <w:r w:rsidR="00DE213F" w:rsidRPr="003A416A">
        <w:rPr>
          <w:rFonts w:asciiTheme="minorHAnsi" w:hAnsiTheme="minorHAnsi"/>
        </w:rPr>
        <w:t>Certyfikat Pilotażowego Klastra Energii Ministra Energii.</w:t>
      </w:r>
    </w:p>
    <w:p w14:paraId="794E3579" w14:textId="23240CB3" w:rsidR="0094537D" w:rsidRPr="003A416A" w:rsidRDefault="009468CE"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14:paraId="7902121E" w14:textId="071131CE" w:rsidR="00784E98" w:rsidRPr="003A416A" w:rsidRDefault="00291D84" w:rsidP="001B635A">
      <w:pPr>
        <w:pStyle w:val="Akapitzlist1"/>
        <w:autoSpaceDE w:val="0"/>
        <w:autoSpaceDN w:val="0"/>
        <w:adjustRightInd w:val="0"/>
        <w:spacing w:after="0"/>
        <w:ind w:left="0"/>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14:paraId="2F652A4C" w14:textId="77777777" w:rsidR="002D7BB5" w:rsidRPr="003A416A" w:rsidRDefault="002D7BB5" w:rsidP="001B635A">
      <w:pPr>
        <w:pStyle w:val="Akapitzlist1"/>
        <w:autoSpaceDE w:val="0"/>
        <w:autoSpaceDN w:val="0"/>
        <w:adjustRightInd w:val="0"/>
        <w:spacing w:after="0"/>
        <w:ind w:left="0"/>
        <w:rPr>
          <w:rFonts w:asciiTheme="minorHAnsi" w:hAnsiTheme="minorHAnsi"/>
        </w:rPr>
      </w:pPr>
    </w:p>
    <w:p w14:paraId="595A1EE8" w14:textId="3DBB08AF" w:rsidR="0094537D" w:rsidRPr="003A416A" w:rsidRDefault="00FC205C"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14:paraId="7C10B7A7"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 jednostki samorządu terytorialnego, ich związki i stowarzyszenia; </w:t>
      </w:r>
    </w:p>
    <w:p w14:paraId="286272B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2) jednostki organizacyjne jst; </w:t>
      </w:r>
    </w:p>
    <w:p w14:paraId="63D873E1"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14:paraId="0C64C7D6" w14:textId="77777777" w:rsidR="00032CA2"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4) przedsiębiorstwa energetyczne, </w:t>
      </w:r>
    </w:p>
    <w:p w14:paraId="053A003C" w14:textId="75054710" w:rsidR="00032CA2"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14:paraId="01E279ED" w14:textId="3A2DF11F" w:rsidR="00FC205C"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14:paraId="686C1DE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organizacje pozarządowe; </w:t>
      </w:r>
    </w:p>
    <w:p w14:paraId="16C36E6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spółdzielnie mieszkaniowe i wspólnoty mieszkaniowe; </w:t>
      </w:r>
    </w:p>
    <w:p w14:paraId="627017B9"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7) towarzystwa budownictwa społecznego; </w:t>
      </w:r>
    </w:p>
    <w:p w14:paraId="014B0308"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8) grupy producentów rolnych; </w:t>
      </w:r>
    </w:p>
    <w:p w14:paraId="35BFEFD2"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9) jednostki naukowe; </w:t>
      </w:r>
    </w:p>
    <w:p w14:paraId="1F6021AF"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10) uczelnie/szkoły wyższe ich związki i porozumienia; </w:t>
      </w:r>
    </w:p>
    <w:p w14:paraId="45F9061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14:paraId="7D6AD606"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12) PGL Lasy Państwowe i jego jednostki organizacyjne; </w:t>
      </w:r>
    </w:p>
    <w:p w14:paraId="5019085B"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14:paraId="6B627D19" w14:textId="77777777" w:rsidR="00FC205C"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14) Lokalne Grupy Działania*; </w:t>
      </w:r>
    </w:p>
    <w:p w14:paraId="2FF3EEC2" w14:textId="3C1B629E" w:rsidR="00040044" w:rsidRPr="003A416A" w:rsidRDefault="00040044" w:rsidP="001B635A">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 będące członkami certyfikowanego Pilotażowego Klastra Energii. </w:t>
      </w:r>
    </w:p>
    <w:p w14:paraId="38A495A4" w14:textId="77777777" w:rsidR="006B2307" w:rsidRPr="003A416A" w:rsidRDefault="00F14D36" w:rsidP="001B635A">
      <w:pPr>
        <w:pStyle w:val="Nagwek1"/>
        <w:tabs>
          <w:tab w:val="left" w:pos="426"/>
        </w:tabs>
        <w:spacing w:before="480" w:after="240" w:line="240" w:lineRule="auto"/>
        <w:ind w:left="425" w:hanging="425"/>
      </w:pPr>
      <w:bookmarkStart w:id="44" w:name="_Toc20832230"/>
      <w:r w:rsidRPr="003A416A">
        <w:t>8</w:t>
      </w:r>
      <w:r w:rsidR="006B2307" w:rsidRPr="003A416A">
        <w:t>. Wymagania w zakresie realizacji projektu partnerskiego</w:t>
      </w:r>
      <w:bookmarkEnd w:id="44"/>
    </w:p>
    <w:p w14:paraId="1D0D96BD"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14:paraId="2D5C8230"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50FB47C0"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p>
    <w:p w14:paraId="21923580" w14:textId="77777777" w:rsidR="00F957BC" w:rsidRPr="003A416A" w:rsidRDefault="00F957BC"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11B28D3" w14:textId="77777777" w:rsidR="00F957BC" w:rsidRPr="003A416A" w:rsidRDefault="00F957BC" w:rsidP="001B635A">
      <w:pPr>
        <w:suppressAutoHyphens/>
        <w:autoSpaceDN w:val="0"/>
        <w:spacing w:after="0" w:line="276" w:lineRule="auto"/>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14:paraId="257331D7"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0372BDBF" w14:textId="77777777" w:rsidR="000B34CD" w:rsidRDefault="000B34CD" w:rsidP="001B635A">
      <w:pPr>
        <w:suppressAutoHyphens/>
        <w:autoSpaceDN w:val="0"/>
        <w:spacing w:after="0" w:line="276" w:lineRule="auto"/>
        <w:textAlignment w:val="baseline"/>
        <w:rPr>
          <w:rFonts w:eastAsia="SimSun" w:cs="Arial"/>
          <w:b/>
          <w:kern w:val="3"/>
          <w:lang w:eastAsia="pl-PL"/>
        </w:rPr>
      </w:pPr>
    </w:p>
    <w:p w14:paraId="4F4BDBA6"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UWAGA:</w:t>
      </w:r>
    </w:p>
    <w:p w14:paraId="50EFD8A3" w14:textId="77777777" w:rsidR="00F957BC" w:rsidRPr="003A416A" w:rsidRDefault="00F957BC"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3A416A" w:rsidRDefault="00D22E23" w:rsidP="001B635A">
      <w:pPr>
        <w:suppressAutoHyphens/>
        <w:autoSpaceDN w:val="0"/>
        <w:spacing w:after="0" w:line="276" w:lineRule="auto"/>
        <w:textAlignment w:val="baseline"/>
        <w:rPr>
          <w:rFonts w:eastAsia="SimSun" w:cs="Arial"/>
          <w:b/>
          <w:kern w:val="3"/>
          <w:lang w:eastAsia="pl-PL"/>
        </w:rPr>
      </w:pPr>
    </w:p>
    <w:p w14:paraId="0368DF7A" w14:textId="77777777" w:rsidR="00F957BC" w:rsidRPr="003A416A" w:rsidRDefault="00F957BC" w:rsidP="001B635A">
      <w:pPr>
        <w:suppressAutoHyphens/>
        <w:autoSpaceDN w:val="0"/>
        <w:spacing w:after="0" w:line="276" w:lineRule="auto"/>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14:paraId="695209BC" w14:textId="77777777" w:rsidR="00F957BC" w:rsidRPr="003A416A" w:rsidRDefault="00F957BC" w:rsidP="001B635A">
      <w:pPr>
        <w:spacing w:after="0" w:line="276" w:lineRule="auto"/>
      </w:pPr>
      <w:r w:rsidRPr="003A416A">
        <w:t>• data sporządzenia/podpisania dokumentu;</w:t>
      </w:r>
    </w:p>
    <w:p w14:paraId="0B4C56E7" w14:textId="77777777" w:rsidR="00F957BC" w:rsidRPr="003A416A" w:rsidRDefault="00F957BC" w:rsidP="001B635A">
      <w:pPr>
        <w:spacing w:after="0" w:line="276" w:lineRule="auto"/>
      </w:pPr>
      <w:r w:rsidRPr="003A416A">
        <w:t>• wskazanie stron (podmiotów), które oświadczają chęć wspólnej realizacji projektu z wyróżnieniem Partnera Wiodącego;</w:t>
      </w:r>
    </w:p>
    <w:p w14:paraId="0AAE9B16" w14:textId="77777777" w:rsidR="00F957BC" w:rsidRPr="003A416A" w:rsidRDefault="00F957BC" w:rsidP="001B635A">
      <w:pPr>
        <w:spacing w:after="0" w:line="276" w:lineRule="auto"/>
      </w:pPr>
      <w:r w:rsidRPr="003A416A">
        <w:t>• tytuł projektu, który strony zdecydowały się realizować wspólnie;</w:t>
      </w:r>
    </w:p>
    <w:p w14:paraId="67805330" w14:textId="77777777" w:rsidR="00F957BC" w:rsidRPr="003A416A" w:rsidRDefault="00F957BC" w:rsidP="001B635A">
      <w:pPr>
        <w:spacing w:after="0" w:line="276" w:lineRule="auto"/>
      </w:pPr>
      <w:r w:rsidRPr="003A416A">
        <w:t>• oświadczenie o chęci wspólnej realizacji przedmiotowego projektu;</w:t>
      </w:r>
    </w:p>
    <w:p w14:paraId="41043B1E" w14:textId="77777777" w:rsidR="00F957BC" w:rsidRPr="003A416A" w:rsidRDefault="00F957BC" w:rsidP="001B635A">
      <w:pPr>
        <w:spacing w:after="0" w:line="276" w:lineRule="auto"/>
      </w:pPr>
      <w:r w:rsidRPr="003A416A">
        <w:t>• podpisy wszystkich stron partnerstwa.</w:t>
      </w:r>
    </w:p>
    <w:p w14:paraId="5A5CD034" w14:textId="77777777" w:rsidR="00F957BC" w:rsidRPr="003A416A" w:rsidRDefault="00F957BC" w:rsidP="001B635A">
      <w:pPr>
        <w:spacing w:after="0" w:line="276" w:lineRule="auto"/>
      </w:pPr>
      <w:r w:rsidRPr="003A416A">
        <w:t xml:space="preserve">Dokument może mieć formę np. listu intencyjnego, oświadczenia. </w:t>
      </w:r>
    </w:p>
    <w:p w14:paraId="787C3D4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C3BA6EA" w14:textId="77777777" w:rsidR="00F957BC" w:rsidRPr="003A416A" w:rsidRDefault="00F957BC"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7217644"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14:paraId="543ABB5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2) prawa i obowiązki stron;</w:t>
      </w:r>
    </w:p>
    <w:p w14:paraId="6C329029"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14:paraId="6AD169A1"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14:paraId="7ECE45B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14:paraId="234ED1CB" w14:textId="77777777" w:rsidR="006B2307" w:rsidRPr="003A416A" w:rsidRDefault="006B2307" w:rsidP="001B635A">
      <w:pPr>
        <w:pStyle w:val="Default"/>
        <w:spacing w:line="276" w:lineRule="auto"/>
        <w:rPr>
          <w:rFonts w:asciiTheme="minorHAnsi" w:hAnsiTheme="minorHAnsi" w:cs="Arial"/>
          <w:color w:val="auto"/>
          <w:sz w:val="22"/>
          <w:szCs w:val="22"/>
        </w:rPr>
      </w:pPr>
    </w:p>
    <w:p w14:paraId="21D329D2" w14:textId="77777777" w:rsidR="006B2307" w:rsidRPr="003A416A" w:rsidRDefault="006B2307" w:rsidP="001B635A">
      <w:pPr>
        <w:pStyle w:val="Default"/>
        <w:spacing w:line="276" w:lineRule="auto"/>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14:paraId="3CF8254C" w14:textId="77777777" w:rsidR="006B2307" w:rsidRPr="003A416A" w:rsidRDefault="006B2307" w:rsidP="001B635A">
      <w:pPr>
        <w:spacing w:after="0" w:line="276" w:lineRule="auto"/>
        <w:rPr>
          <w:rFonts w:ascii="Calibri" w:hAnsi="Calibri" w:cs="Calibri"/>
          <w:b/>
          <w:bCs/>
          <w:color w:val="000000"/>
        </w:rPr>
      </w:pPr>
    </w:p>
    <w:p w14:paraId="16BB9D71" w14:textId="77777777" w:rsidR="006B2307" w:rsidRPr="003A416A" w:rsidRDefault="006B2307" w:rsidP="001B635A">
      <w:pPr>
        <w:spacing w:after="0" w:line="276" w:lineRule="auto"/>
        <w:rPr>
          <w:b/>
        </w:rPr>
      </w:pPr>
      <w:r w:rsidRPr="003A416A">
        <w:rPr>
          <w:b/>
        </w:rPr>
        <w:t>Wszyscy partnerzy zobowiązani są do przestrzegania zasad poddawania się kontroli oraz postanowień zawartych w umowie o dofinansowanie na takich samych zasadach jak Partner wiodący.</w:t>
      </w:r>
    </w:p>
    <w:p w14:paraId="3693C0CF" w14:textId="77777777" w:rsidR="006B2307" w:rsidRPr="003A416A" w:rsidRDefault="006B2307" w:rsidP="001B635A">
      <w:pPr>
        <w:spacing w:after="0" w:line="276" w:lineRule="auto"/>
        <w:rPr>
          <w:rFonts w:ascii="Calibri" w:hAnsi="Calibri" w:cs="Calibri"/>
          <w:b/>
          <w:bCs/>
          <w:color w:val="000000"/>
        </w:rPr>
      </w:pPr>
    </w:p>
    <w:p w14:paraId="1685EB29" w14:textId="67733308" w:rsidR="00F957BC" w:rsidRPr="003A416A" w:rsidRDefault="00F957BC" w:rsidP="001B635A">
      <w:pPr>
        <w:widowControl w:val="0"/>
        <w:spacing w:after="0" w:line="276" w:lineRule="auto"/>
        <w:rPr>
          <w:rFonts w:eastAsia="Calibri"/>
        </w:rPr>
      </w:pPr>
      <w:bookmarkStart w:id="45" w:name="_Toc499633772"/>
      <w:bookmarkStart w:id="46" w:name="_Toc20832231"/>
      <w:bookmarkEnd w:id="45"/>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14:paraId="2A9B3739" w14:textId="77777777" w:rsidR="00F957BC" w:rsidRPr="003A416A" w:rsidRDefault="00F957BC" w:rsidP="001B635A">
      <w:pPr>
        <w:widowControl w:val="0"/>
        <w:spacing w:after="0" w:line="276" w:lineRule="auto"/>
        <w:rPr>
          <w:rFonts w:eastAsia="Calibri"/>
        </w:rPr>
      </w:pPr>
    </w:p>
    <w:p w14:paraId="1FA24972" w14:textId="77777777" w:rsidR="00F957BC" w:rsidRPr="003A416A" w:rsidRDefault="00F957BC" w:rsidP="001B635A">
      <w:pPr>
        <w:widowControl w:val="0"/>
        <w:spacing w:after="0" w:line="276" w:lineRule="auto"/>
        <w:rPr>
          <w:b/>
          <w:sz w:val="28"/>
          <w:szCs w:val="28"/>
        </w:rPr>
      </w:pPr>
      <w:r w:rsidRPr="003A416A">
        <w:rPr>
          <w:rFonts w:eastAsia="Calibri"/>
        </w:rPr>
        <w:t>Nie dopuszcza się realizacji projektów w formule partnerstwa publiczno-prywatnego.</w:t>
      </w:r>
    </w:p>
    <w:p w14:paraId="4FB595B5" w14:textId="77777777" w:rsidR="006B2307" w:rsidRPr="003A416A" w:rsidRDefault="00F14D36" w:rsidP="001B635A">
      <w:pPr>
        <w:pStyle w:val="Nagwek1"/>
        <w:tabs>
          <w:tab w:val="left" w:pos="426"/>
        </w:tabs>
        <w:spacing w:before="480" w:after="240" w:line="240" w:lineRule="auto"/>
        <w:ind w:left="425" w:hanging="425"/>
      </w:pPr>
      <w:r w:rsidRPr="003A416A">
        <w:t>9</w:t>
      </w:r>
      <w:r w:rsidR="006B2307" w:rsidRPr="003A416A">
        <w:t>. Forma konkursu</w:t>
      </w:r>
      <w:bookmarkEnd w:id="46"/>
    </w:p>
    <w:p w14:paraId="7B68BC70" w14:textId="77777777" w:rsidR="00057D3A" w:rsidRPr="003A416A" w:rsidRDefault="00057D3A"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3A416A" w:rsidRDefault="00057D3A" w:rsidP="001B635A">
      <w:pPr>
        <w:pStyle w:val="Default"/>
        <w:spacing w:line="276" w:lineRule="auto"/>
        <w:ind w:left="317" w:hanging="317"/>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14:paraId="592D5957" w14:textId="77777777" w:rsidR="00057D3A" w:rsidRPr="003A416A" w:rsidRDefault="00057D3A" w:rsidP="001B635A">
      <w:pPr>
        <w:pStyle w:val="Default"/>
        <w:spacing w:line="276" w:lineRule="auto"/>
        <w:ind w:left="33" w:hanging="33"/>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Pr="003A416A" w:rsidRDefault="00057D3A" w:rsidP="001B635A">
      <w:pPr>
        <w:spacing w:after="0" w:line="276" w:lineRule="auto"/>
      </w:pPr>
    </w:p>
    <w:p w14:paraId="043D1E6B" w14:textId="77777777" w:rsidR="005D4098" w:rsidRPr="003A416A" w:rsidRDefault="005D4098" w:rsidP="001B635A">
      <w:pPr>
        <w:spacing w:after="0" w:line="276" w:lineRule="auto"/>
      </w:pPr>
      <w:r w:rsidRPr="003A416A">
        <w:t>Wybór projektów do dofinansowania następuje w trybie konkursowym.</w:t>
      </w:r>
    </w:p>
    <w:p w14:paraId="37C4A44C" w14:textId="77777777" w:rsidR="005D4098" w:rsidRPr="003A416A" w:rsidRDefault="005D4098" w:rsidP="001B635A">
      <w:pPr>
        <w:spacing w:after="0" w:line="276" w:lineRule="auto"/>
      </w:pPr>
    </w:p>
    <w:p w14:paraId="0DDFBEA5" w14:textId="2D6B3D4C" w:rsidR="005D4098" w:rsidRPr="003A416A" w:rsidRDefault="005D4098" w:rsidP="001B635A">
      <w:pPr>
        <w:spacing w:after="0" w:line="276" w:lineRule="auto"/>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14:paraId="5BA17AE9" w14:textId="77777777" w:rsidR="005D4098" w:rsidRPr="003A416A" w:rsidRDefault="005D4098" w:rsidP="001B635A">
      <w:pPr>
        <w:spacing w:after="0" w:line="276" w:lineRule="auto"/>
        <w:rPr>
          <w:lang w:eastAsia="pl-PL"/>
        </w:rPr>
      </w:pPr>
    </w:p>
    <w:p w14:paraId="5CF5149C" w14:textId="77777777" w:rsidR="005D4098" w:rsidRPr="003A416A" w:rsidRDefault="005D4098" w:rsidP="001B635A">
      <w:pPr>
        <w:spacing w:after="0" w:line="276" w:lineRule="auto"/>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412487F4" w14:textId="77777777" w:rsidR="005D4098" w:rsidRPr="003A416A" w:rsidRDefault="005D4098" w:rsidP="001B635A">
      <w:pPr>
        <w:spacing w:after="0" w:line="276" w:lineRule="auto"/>
        <w:rPr>
          <w:lang w:eastAsia="pl-PL"/>
        </w:rPr>
      </w:pPr>
    </w:p>
    <w:p w14:paraId="318068F8" w14:textId="0E8E54E3" w:rsidR="005D4098" w:rsidRPr="003A416A" w:rsidRDefault="005D4098" w:rsidP="001B635A">
      <w:pPr>
        <w:spacing w:after="0" w:line="276" w:lineRule="auto"/>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14:paraId="2647B6F4" w14:textId="77777777" w:rsidR="005D4098" w:rsidRPr="003A416A" w:rsidRDefault="005D4098" w:rsidP="001B635A">
      <w:pPr>
        <w:spacing w:after="0" w:line="276" w:lineRule="auto"/>
        <w:rPr>
          <w:lang w:eastAsia="pl-PL"/>
        </w:rPr>
      </w:pPr>
      <w:r w:rsidRPr="003A416A">
        <w:rPr>
          <w:lang w:eastAsia="pl-PL"/>
        </w:rPr>
        <w:t>Procedury związane z wyborem projektów do dofinansowania obejmują okres od momentu zgłoszenia projektu do dofinansowania do jego wybrania do dofinansowania lub odrzucenia.</w:t>
      </w:r>
    </w:p>
    <w:p w14:paraId="5422D187" w14:textId="77777777" w:rsidR="0092641C" w:rsidRPr="003A416A" w:rsidRDefault="0092641C" w:rsidP="001B635A">
      <w:pPr>
        <w:spacing w:after="0" w:line="276" w:lineRule="auto"/>
        <w:rPr>
          <w:b/>
        </w:rPr>
      </w:pPr>
    </w:p>
    <w:p w14:paraId="1B104D25" w14:textId="77777777" w:rsidR="005D4098" w:rsidRPr="003A416A" w:rsidRDefault="005D4098" w:rsidP="001B635A">
      <w:pPr>
        <w:spacing w:after="0" w:line="276" w:lineRule="auto"/>
        <w:rPr>
          <w:lang w:eastAsia="pl-PL"/>
        </w:rPr>
      </w:pPr>
      <w:r w:rsidRPr="003A416A">
        <w:rPr>
          <w:b/>
        </w:rPr>
        <w:t>Konkurs składa się z następujących etapów</w:t>
      </w:r>
      <w:r w:rsidRPr="003A416A">
        <w:t>:</w:t>
      </w:r>
    </w:p>
    <w:p w14:paraId="5B6C367E" w14:textId="77777777" w:rsidR="005D4098" w:rsidRPr="003A416A" w:rsidRDefault="005D4098" w:rsidP="001B635A">
      <w:pPr>
        <w:pStyle w:val="Default"/>
        <w:spacing w:line="276" w:lineRule="auto"/>
        <w:rPr>
          <w:rFonts w:asciiTheme="minorHAnsi" w:hAnsiTheme="minorHAnsi"/>
          <w:sz w:val="22"/>
          <w:szCs w:val="22"/>
        </w:rPr>
      </w:pPr>
    </w:p>
    <w:p w14:paraId="61736680" w14:textId="46302C92"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14:paraId="2330177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0700F75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14:paraId="46BF5657" w14:textId="69242B5F"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w:t>
      </w:r>
      <w:r w:rsidRPr="003A416A">
        <w:rPr>
          <w:rFonts w:asciiTheme="minorHAnsi" w:hAnsiTheme="minorHAnsi"/>
          <w:bCs/>
          <w:iCs/>
          <w:sz w:val="22"/>
          <w:szCs w:val="22"/>
        </w:rPr>
        <w:lastRenderedPageBreak/>
        <w:t xml:space="preserve">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p>
    <w:p w14:paraId="5316290F"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068A48D9" w14:textId="77777777" w:rsidR="00F957BC" w:rsidRPr="003A416A" w:rsidRDefault="00F957BC" w:rsidP="001B635A">
      <w:pPr>
        <w:pStyle w:val="Default"/>
        <w:tabs>
          <w:tab w:val="left" w:pos="635"/>
        </w:tabs>
        <w:suppressAutoHyphens/>
        <w:autoSpaceDE/>
        <w:adjustRightInd/>
        <w:spacing w:line="276" w:lineRule="auto"/>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3A416A">
          <w:rPr>
            <w:rStyle w:val="Hipercze"/>
            <w:rFonts w:ascii="Calibri" w:hAnsi="Calibri"/>
            <w:bCs/>
            <w:iCs/>
            <w:sz w:val="22"/>
            <w:szCs w:val="22"/>
          </w:rPr>
          <w:t>www.dip.dolnyslask.pl</w:t>
        </w:r>
      </w:hyperlink>
      <w:r w:rsidRPr="003A416A">
        <w:rPr>
          <w:rFonts w:ascii="Calibri" w:hAnsi="Calibri"/>
          <w:bCs/>
          <w:iCs/>
          <w:sz w:val="22"/>
          <w:szCs w:val="22"/>
        </w:rPr>
        <w:t>)</w:t>
      </w:r>
      <w:r w:rsidRPr="003A416A">
        <w:rPr>
          <w:rStyle w:val="Hipercze"/>
          <w:rFonts w:ascii="Calibri" w:hAnsi="Calibri"/>
          <w:sz w:val="22"/>
          <w:szCs w:val="22"/>
        </w:rPr>
        <w:t>.</w:t>
      </w:r>
    </w:p>
    <w:p w14:paraId="19BAE04A"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313B409D"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14:paraId="492A96AF"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p>
    <w:p w14:paraId="01E394A4"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09697265" w14:textId="533CA29F"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14:paraId="2D565167" w14:textId="77777777"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14:paraId="637DA58C"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14:paraId="2BA0CF47" w14:textId="77777777" w:rsidR="00AE4DC4" w:rsidRPr="003A416A" w:rsidRDefault="00AE4DC4" w:rsidP="001B635A">
      <w:pPr>
        <w:pStyle w:val="Default"/>
        <w:tabs>
          <w:tab w:val="left" w:pos="635"/>
        </w:tabs>
        <w:spacing w:line="276" w:lineRule="auto"/>
        <w:rPr>
          <w:rFonts w:asciiTheme="minorHAnsi" w:hAnsiTheme="minorHAnsi"/>
          <w:sz w:val="22"/>
          <w:szCs w:val="22"/>
        </w:rPr>
      </w:pPr>
    </w:p>
    <w:p w14:paraId="6644D07C" w14:textId="23B33F0A"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 xml:space="preserve">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w:t>
      </w:r>
      <w:r w:rsidRPr="003A416A">
        <w:rPr>
          <w:rFonts w:asciiTheme="minorHAnsi" w:hAnsiTheme="minorHAnsi"/>
          <w:sz w:val="22"/>
          <w:szCs w:val="22"/>
        </w:rPr>
        <w:lastRenderedPageBreak/>
        <w:t>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8FF2313"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6EF17DAB" w14:textId="77777777" w:rsidR="005D4098" w:rsidRPr="003A416A" w:rsidRDefault="005D4098" w:rsidP="001B635A">
      <w:pPr>
        <w:spacing w:after="0" w:line="276" w:lineRule="auto"/>
        <w:contextualSpacing/>
        <w:rPr>
          <w:rFonts w:cs="Calibri"/>
        </w:rPr>
      </w:pPr>
      <w:r w:rsidRPr="003A416A">
        <w:rPr>
          <w:rFonts w:cs="Calibri"/>
        </w:rPr>
        <w:t>Osoba oceniająca w trakcie oceny merytorycznej wniosku o dofinansowanie oraz załączników ma możliwość jednokrotnego wystąpienia z wnioskiem o:</w:t>
      </w:r>
    </w:p>
    <w:p w14:paraId="416F0D5F" w14:textId="2E862612"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14:paraId="5C60BFEA"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14:paraId="06AF5C03"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14:paraId="10699711" w14:textId="77777777" w:rsidR="005D4098" w:rsidRPr="003A416A" w:rsidRDefault="005D4098" w:rsidP="001B635A">
      <w:pPr>
        <w:autoSpaceDE w:val="0"/>
        <w:adjustRightInd w:val="0"/>
        <w:spacing w:after="0" w:line="276" w:lineRule="auto"/>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3A416A" w:rsidRDefault="005D4098" w:rsidP="001B635A">
      <w:pPr>
        <w:tabs>
          <w:tab w:val="left" w:pos="634"/>
        </w:tabs>
        <w:suppressAutoHyphens/>
        <w:autoSpaceDN w:val="0"/>
        <w:spacing w:after="0" w:line="276" w:lineRule="auto"/>
        <w:textAlignment w:val="baseline"/>
        <w:rPr>
          <w:rFonts w:eastAsia="SimSun" w:cs="Calibri"/>
          <w:b/>
          <w:vanish/>
          <w:color w:val="00000A"/>
        </w:rPr>
      </w:pPr>
    </w:p>
    <w:p w14:paraId="40CFC837" w14:textId="77777777" w:rsidR="005D4098" w:rsidRPr="003A416A" w:rsidRDefault="005D4098" w:rsidP="001B635A">
      <w:pPr>
        <w:pStyle w:val="Standard"/>
        <w:spacing w:after="0"/>
        <w:rPr>
          <w:rFonts w:asciiTheme="minorHAnsi" w:hAnsiTheme="minorHAnsi" w:cs="Calibri"/>
        </w:rPr>
      </w:pPr>
    </w:p>
    <w:p w14:paraId="1E132DF6" w14:textId="0219663B" w:rsidR="00BB085D" w:rsidRPr="003A416A" w:rsidRDefault="005D4098" w:rsidP="001B635A">
      <w:pPr>
        <w:pStyle w:val="Standard"/>
        <w:spacing w:after="0"/>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14:paraId="60D7009F" w14:textId="77777777" w:rsidR="005D4098" w:rsidRPr="003A416A" w:rsidRDefault="005D4098" w:rsidP="001B635A">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3A416A" w:rsidRDefault="005D4098" w:rsidP="001B635A">
      <w:pPr>
        <w:pStyle w:val="Standard"/>
        <w:spacing w:after="0"/>
        <w:rPr>
          <w:rFonts w:asciiTheme="minorHAnsi" w:hAnsiTheme="minorHAnsi"/>
        </w:rPr>
      </w:pPr>
    </w:p>
    <w:p w14:paraId="0C45C430" w14:textId="77777777" w:rsidR="00F957BC" w:rsidRPr="003A416A" w:rsidRDefault="00F957BC" w:rsidP="001B635A">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0" w:history="1">
        <w:r w:rsidRPr="003A416A">
          <w:rPr>
            <w:rStyle w:val="Hipercze"/>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14:paraId="6DDEE037" w14:textId="77777777" w:rsidR="005D4098" w:rsidRPr="003A416A" w:rsidRDefault="005D4098" w:rsidP="001B635A">
      <w:pPr>
        <w:pStyle w:val="Default"/>
        <w:spacing w:line="276" w:lineRule="auto"/>
        <w:rPr>
          <w:rFonts w:asciiTheme="minorHAnsi" w:hAnsiTheme="minorHAnsi"/>
          <w:color w:val="00000A"/>
          <w:sz w:val="22"/>
          <w:szCs w:val="22"/>
        </w:rPr>
      </w:pPr>
    </w:p>
    <w:p w14:paraId="1A4C8589"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3A416A" w:rsidRDefault="005D4098" w:rsidP="001B635A">
      <w:pPr>
        <w:pStyle w:val="Default"/>
        <w:spacing w:line="276" w:lineRule="auto"/>
        <w:rPr>
          <w:rFonts w:asciiTheme="minorHAnsi" w:hAnsiTheme="minorHAnsi"/>
          <w:sz w:val="22"/>
          <w:szCs w:val="22"/>
        </w:rPr>
      </w:pPr>
    </w:p>
    <w:p w14:paraId="03613DD6" w14:textId="644A7248" w:rsidR="005D4098" w:rsidRPr="003A416A" w:rsidRDefault="005D4098" w:rsidP="001B635A">
      <w:pPr>
        <w:spacing w:after="0" w:line="276" w:lineRule="auto"/>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14:paraId="709072E5" w14:textId="77777777" w:rsidR="00F957BC" w:rsidRPr="003A416A" w:rsidRDefault="00F957BC" w:rsidP="001B635A">
      <w:pPr>
        <w:spacing w:after="0" w:line="276" w:lineRule="auto"/>
        <w:rPr>
          <w:b/>
        </w:rPr>
      </w:pPr>
    </w:p>
    <w:p w14:paraId="49892C2E" w14:textId="77777777" w:rsidR="00F957BC" w:rsidRPr="003A416A" w:rsidRDefault="00F957BC" w:rsidP="001B635A">
      <w:pPr>
        <w:spacing w:after="0" w:line="276" w:lineRule="auto"/>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projektów w konkursie zawierająca projekty ocenione negatywnie na etapie oceny formalnej, </w:t>
      </w:r>
      <w:r w:rsidRPr="003A416A">
        <w:lastRenderedPageBreak/>
        <w:t>projekty ocenione negatywnie na etapie oceny merytorycznej oraz projekty, które przeszły pozytywnie ocenę formalną oraz merytoryczną.</w:t>
      </w:r>
    </w:p>
    <w:p w14:paraId="13CAAE16" w14:textId="77777777" w:rsidR="005D4098" w:rsidRPr="003A416A" w:rsidRDefault="005D4098" w:rsidP="001B635A">
      <w:pPr>
        <w:spacing w:after="0" w:line="276" w:lineRule="auto"/>
      </w:pPr>
    </w:p>
    <w:p w14:paraId="4CCC58E9" w14:textId="77777777" w:rsidR="00F957BC" w:rsidRPr="003A416A" w:rsidRDefault="00F957BC" w:rsidP="001B635A">
      <w:pPr>
        <w:spacing w:after="0" w:line="276" w:lineRule="auto"/>
      </w:pPr>
      <w:bookmarkStart w:id="47"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67BC972" w14:textId="77777777" w:rsidR="00F957BC" w:rsidRPr="003A416A" w:rsidRDefault="00F957BC" w:rsidP="001B635A">
      <w:pPr>
        <w:spacing w:after="0" w:line="276" w:lineRule="auto"/>
      </w:pPr>
    </w:p>
    <w:p w14:paraId="65EBFC58" w14:textId="77777777" w:rsidR="00F957BC" w:rsidRPr="003A416A" w:rsidRDefault="00F957BC" w:rsidP="001B635A">
      <w:pPr>
        <w:spacing w:after="0" w:line="276" w:lineRule="auto"/>
      </w:pPr>
      <w:r w:rsidRPr="003A416A">
        <w:t xml:space="preserve">DIP przekazuje niezwłocznie Wnioskodawcy pisemną informację o wyborze projektu do dofinansowania. </w:t>
      </w:r>
    </w:p>
    <w:p w14:paraId="293CA552" w14:textId="77777777" w:rsidR="00F957BC" w:rsidRPr="003A416A" w:rsidRDefault="00F957BC" w:rsidP="001B635A">
      <w:pPr>
        <w:spacing w:after="0" w:line="276" w:lineRule="auto"/>
      </w:pPr>
    </w:p>
    <w:p w14:paraId="169EFD1A" w14:textId="77777777" w:rsidR="00F957BC" w:rsidRPr="003A416A" w:rsidRDefault="00F957BC" w:rsidP="001B635A">
      <w:pPr>
        <w:spacing w:after="0" w:line="276" w:lineRule="auto"/>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14:paraId="6C609EC4" w14:textId="77777777" w:rsidR="00F957BC" w:rsidRPr="003A416A" w:rsidRDefault="00F957BC" w:rsidP="001B635A">
      <w:pPr>
        <w:spacing w:after="0" w:line="276" w:lineRule="auto"/>
      </w:pPr>
    </w:p>
    <w:p w14:paraId="51B7BA9D" w14:textId="77777777" w:rsidR="00F957BC" w:rsidRPr="003A416A" w:rsidRDefault="00F957BC" w:rsidP="001B635A">
      <w:pPr>
        <w:spacing w:after="0" w:line="276" w:lineRule="auto"/>
      </w:pPr>
      <w:r w:rsidRPr="003A416A">
        <w:t xml:space="preserve">W przypadku wyboru projektu do dofinansowania, wniosek o dofinansowanie projektu staje się załącznikiem do umowy o dofinansowanie i stanowi jej integralną część. </w:t>
      </w:r>
    </w:p>
    <w:p w14:paraId="107F0B27" w14:textId="77777777" w:rsidR="00F957BC" w:rsidRPr="003A416A" w:rsidRDefault="00F957BC" w:rsidP="001B635A">
      <w:pPr>
        <w:spacing w:after="0" w:line="276" w:lineRule="auto"/>
      </w:pPr>
    </w:p>
    <w:p w14:paraId="74DBA324" w14:textId="77777777" w:rsidR="00F957BC" w:rsidRPr="003A416A" w:rsidRDefault="00F957BC" w:rsidP="001B635A">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14:paraId="290EA353" w14:textId="77777777" w:rsidR="00F957BC" w:rsidRPr="003A416A" w:rsidRDefault="00F957BC" w:rsidP="001B635A">
      <w:pPr>
        <w:spacing w:after="0" w:line="276" w:lineRule="auto"/>
      </w:pPr>
    </w:p>
    <w:p w14:paraId="319C7BBF" w14:textId="77777777" w:rsidR="00F957BC" w:rsidRPr="003A416A" w:rsidRDefault="00F957BC" w:rsidP="001B635A">
      <w:pPr>
        <w:autoSpaceDE w:val="0"/>
        <w:adjustRightInd w:val="0"/>
        <w:spacing w:after="0" w:line="276" w:lineRule="auto"/>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14:paraId="5B442AFF" w14:textId="77777777" w:rsidR="00F957BC" w:rsidRPr="003A416A" w:rsidRDefault="00F957BC" w:rsidP="001B635A">
      <w:pPr>
        <w:autoSpaceDE w:val="0"/>
        <w:adjustRightInd w:val="0"/>
        <w:spacing w:after="0" w:line="276" w:lineRule="auto"/>
        <w:rPr>
          <w:b/>
        </w:rPr>
      </w:pPr>
    </w:p>
    <w:p w14:paraId="613265F5" w14:textId="77777777" w:rsidR="00F957BC" w:rsidRPr="003A416A" w:rsidRDefault="00F957BC" w:rsidP="001B635A">
      <w:pPr>
        <w:autoSpaceDE w:val="0"/>
        <w:adjustRightInd w:val="0"/>
        <w:spacing w:after="0" w:line="276" w:lineRule="auto"/>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14:paraId="657E425E" w14:textId="77777777" w:rsidR="00F957BC" w:rsidRPr="003A416A" w:rsidRDefault="00F957BC" w:rsidP="001B635A">
      <w:pPr>
        <w:pStyle w:val="Akapitzlist"/>
        <w:numPr>
          <w:ilvl w:val="0"/>
          <w:numId w:val="11"/>
        </w:numPr>
        <w:jc w:val="left"/>
      </w:pPr>
      <w:r w:rsidRPr="003A416A">
        <w:t>dokumenty i informacje przedstawiane przez Wnioskodawców nie podlegają udostępnieniu przez właściwą instytucję w trybie przepisów ustawy z dnia 6 września 2001 r. o dostępie do informacji publicznej.</w:t>
      </w:r>
    </w:p>
    <w:p w14:paraId="37C4EC3C" w14:textId="77777777" w:rsidR="00F957BC" w:rsidRPr="003A416A" w:rsidRDefault="00F957BC" w:rsidP="001B635A">
      <w:pPr>
        <w:pStyle w:val="Akapitzlist"/>
        <w:numPr>
          <w:ilvl w:val="0"/>
          <w:numId w:val="11"/>
        </w:numPr>
        <w:jc w:val="left"/>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449C0001" w14:textId="77777777" w:rsidR="008D60BE" w:rsidRPr="003A416A" w:rsidRDefault="008D60BE" w:rsidP="001B635A">
      <w:pPr>
        <w:autoSpaceDE w:val="0"/>
        <w:adjustRightInd w:val="0"/>
        <w:spacing w:after="0" w:line="276" w:lineRule="auto"/>
        <w:rPr>
          <w:b/>
        </w:rPr>
      </w:pPr>
    </w:p>
    <w:p w14:paraId="7133763C" w14:textId="77777777" w:rsidR="00F957BC" w:rsidRPr="003A416A" w:rsidRDefault="00F957BC" w:rsidP="001B635A">
      <w:pPr>
        <w:autoSpaceDE w:val="0"/>
        <w:adjustRightInd w:val="0"/>
        <w:spacing w:after="0" w:line="276" w:lineRule="auto"/>
        <w:rPr>
          <w:b/>
        </w:rPr>
      </w:pPr>
      <w:r w:rsidRPr="003A416A">
        <w:rPr>
          <w:b/>
        </w:rPr>
        <w:t>Ponadto:</w:t>
      </w:r>
    </w:p>
    <w:p w14:paraId="5E4BDB9F" w14:textId="0AE05DE9" w:rsidR="00F957BC" w:rsidRPr="003A416A" w:rsidRDefault="00F957BC" w:rsidP="001B635A">
      <w:pPr>
        <w:pStyle w:val="Akapitzlist"/>
        <w:numPr>
          <w:ilvl w:val="0"/>
          <w:numId w:val="37"/>
        </w:numPr>
        <w:jc w:val="left"/>
      </w:pPr>
      <w:r w:rsidRPr="003A416A">
        <w:t xml:space="preserve">na wniosek zainteresowanego udzielana jest informacja o postępowaniu, jakie toczy się w odniesieniu do jego projektu, jednakże zwraca się uwagę, iż na podstawie art. 37 ust. 6 i ust.7 ustawy wdrożeniowej: dokumenty i informacje przedstawiane przez wnioskodawców nie </w:t>
      </w:r>
      <w:r w:rsidRPr="003A416A">
        <w:lastRenderedPageBreak/>
        <w:t>podlegają udostępnieniu przez właściwą instytucję w trybie przepisów ustawy z dnia 6 września 2001 r. o dostępie do informacji publicznej,</w:t>
      </w:r>
    </w:p>
    <w:p w14:paraId="669484B5" w14:textId="77777777" w:rsidR="008D60BE" w:rsidRPr="003A416A" w:rsidRDefault="00F957BC" w:rsidP="001B635A">
      <w:pPr>
        <w:pStyle w:val="Akapitzlist"/>
        <w:numPr>
          <w:ilvl w:val="0"/>
          <w:numId w:val="37"/>
        </w:numPr>
        <w:jc w:val="left"/>
      </w:pPr>
      <w:r w:rsidRPr="003A416A">
        <w:t xml:space="preserve">dokumenty i informacje wytworzone lub przygotowane przez właściwe instytucje w związku </w:t>
      </w:r>
      <w:r w:rsidR="008D60BE" w:rsidRPr="003A416A">
        <w:t>z</w:t>
      </w:r>
    </w:p>
    <w:p w14:paraId="1F355E78" w14:textId="6AB40A97" w:rsidR="00F957BC" w:rsidRPr="003A416A" w:rsidRDefault="00F957BC" w:rsidP="001B635A">
      <w:pPr>
        <w:pStyle w:val="Akapitzlist"/>
        <w:jc w:val="left"/>
      </w:pP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6D3EBBFC" w14:textId="730629E1" w:rsidR="00136366" w:rsidRPr="003A416A" w:rsidRDefault="00F14D36" w:rsidP="001B635A">
      <w:pPr>
        <w:pStyle w:val="Nagwek1"/>
        <w:tabs>
          <w:tab w:val="left" w:pos="426"/>
        </w:tabs>
        <w:spacing w:before="480" w:after="240" w:line="240" w:lineRule="auto"/>
        <w:ind w:left="425" w:hanging="425"/>
      </w:pPr>
      <w:r w:rsidRPr="003A416A">
        <w:t>10</w:t>
      </w:r>
      <w:r w:rsidR="00136366" w:rsidRPr="003A416A">
        <w:t>. Zasady i forma składania wniosków o dofinansowanie</w:t>
      </w:r>
      <w:bookmarkEnd w:id="47"/>
    </w:p>
    <w:p w14:paraId="2772AEE1" w14:textId="1E83C74B" w:rsidR="001257C3" w:rsidRPr="001257C3" w:rsidRDefault="00291D84" w:rsidP="001257C3">
      <w:pPr>
        <w:spacing w:line="276" w:lineRule="auto"/>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xml:space="preserve">, dostępnej na stronie: </w:t>
      </w:r>
      <w:hyperlink r:id="rId11" w:history="1">
        <w:r w:rsidR="001257C3" w:rsidRPr="001257C3">
          <w:t>https://snow-dip.dolnyslask.pl/</w:t>
        </w:r>
      </w:hyperlink>
    </w:p>
    <w:p w14:paraId="05BE8F4F" w14:textId="77777777" w:rsidR="00291D84" w:rsidRDefault="00291D84" w:rsidP="001B635A">
      <w:pPr>
        <w:spacing w:after="100" w:afterAutospacing="1" w:line="276" w:lineRule="auto"/>
        <w:rPr>
          <w:rFonts w:cstheme="minorHAnsi"/>
        </w:rPr>
      </w:pPr>
      <w:r>
        <w:rPr>
          <w:rFonts w:cstheme="minorHAnsi"/>
        </w:rPr>
        <w:t>i przesyła do IOK w ramach niniejszego konkursu w terminie:</w:t>
      </w:r>
    </w:p>
    <w:p w14:paraId="7A8C7C33" w14:textId="055B4AC8" w:rsidR="00291D84" w:rsidRPr="00E11C30" w:rsidRDefault="00291D84" w:rsidP="001B635A">
      <w:pPr>
        <w:spacing w:after="100" w:afterAutospacing="1" w:line="276" w:lineRule="auto"/>
        <w:rPr>
          <w:rFonts w:cstheme="minorHAnsi"/>
          <w:b/>
        </w:rPr>
      </w:pPr>
      <w:r>
        <w:rPr>
          <w:rFonts w:cstheme="minorHAnsi"/>
          <w:b/>
        </w:rPr>
        <w:t xml:space="preserve">od godz. 8:00 dnia 18 maja 2020 r. do godz. 15:00 dnia </w:t>
      </w:r>
      <w:r w:rsidRPr="000B34CD">
        <w:rPr>
          <w:rFonts w:cstheme="minorHAnsi"/>
          <w:b/>
        </w:rPr>
        <w:t xml:space="preserve">31 </w:t>
      </w:r>
      <w:r w:rsidR="0081548D" w:rsidRPr="000B34CD">
        <w:rPr>
          <w:rFonts w:cstheme="minorHAnsi"/>
          <w:b/>
        </w:rPr>
        <w:t xml:space="preserve">sierpnia </w:t>
      </w:r>
      <w:r w:rsidRPr="000B34CD">
        <w:rPr>
          <w:rFonts w:cstheme="minorHAnsi"/>
          <w:b/>
        </w:rPr>
        <w:t>2020 r.</w:t>
      </w:r>
    </w:p>
    <w:p w14:paraId="7A859AB3" w14:textId="77777777" w:rsidR="00291D84" w:rsidRPr="00E11C30" w:rsidRDefault="00291D84" w:rsidP="001B635A">
      <w:pPr>
        <w:spacing w:after="100" w:afterAutospacing="1" w:line="276" w:lineRule="auto"/>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28CADB3" w14:textId="2CC01276" w:rsidR="00291D84" w:rsidRDefault="00291D84" w:rsidP="001B635A">
      <w:pPr>
        <w:spacing w:after="100" w:afterAutospacing="1" w:line="276" w:lineRule="auto"/>
        <w:rPr>
          <w:rFonts w:cstheme="minorHAnsi"/>
        </w:rPr>
      </w:pPr>
      <w:bookmarkStart w:id="48"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8"/>
      <w:r>
        <w:rPr>
          <w:rFonts w:cstheme="minorHAnsi"/>
        </w:rPr>
        <w:t xml:space="preserve">, dostępnej na stronie: </w:t>
      </w:r>
      <w:hyperlink r:id="rId12" w:history="1">
        <w:r w:rsidR="00531391" w:rsidRPr="001257C3">
          <w:t>https://snow-dip.dolnyslask.pl/</w:t>
        </w:r>
      </w:hyperlink>
      <w:r>
        <w:rPr>
          <w:rFonts w:cstheme="minorHAnsi"/>
        </w:rPr>
        <w:t xml:space="preserve">we wskazanym w Regulaminie terminie.  Wnioskodawca nie składa wersji papierowej wniosku o dofinansowanie na etapie aplikowania i oceny. </w:t>
      </w:r>
      <w:r>
        <w:rPr>
          <w:rFonts w:cstheme="minorHAnsi"/>
          <w:b/>
        </w:rPr>
        <w:t>Złożona do IOK wersja pa</w:t>
      </w:r>
      <w:bookmarkStart w:id="49" w:name="_GoBack"/>
      <w:bookmarkEnd w:id="49"/>
      <w:r>
        <w:rPr>
          <w:rFonts w:cstheme="minorHAnsi"/>
          <w:b/>
        </w:rPr>
        <w:t xml:space="preserve">pierowa wniosku o dofinansowanie nie będzie podlegać ocenie. </w:t>
      </w:r>
    </w:p>
    <w:p w14:paraId="19F0A2CB" w14:textId="77777777" w:rsidR="00291D84" w:rsidRPr="00E11C30" w:rsidRDefault="00291D84" w:rsidP="001B635A">
      <w:pPr>
        <w:spacing w:after="100" w:afterAutospacing="1" w:line="276" w:lineRule="auto"/>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3FA1F57A" w14:textId="74455940" w:rsidR="00291D84" w:rsidRDefault="00291D84" w:rsidP="001B635A">
      <w:pPr>
        <w:spacing w:after="0" w:line="276" w:lineRule="auto"/>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14:paraId="435317D8" w14:textId="1A50849E" w:rsidR="00291D84" w:rsidRPr="00E11C30" w:rsidRDefault="00291D84" w:rsidP="001B635A">
      <w:pPr>
        <w:pStyle w:val="Akapitzlist"/>
        <w:numPr>
          <w:ilvl w:val="0"/>
          <w:numId w:val="45"/>
        </w:numPr>
        <w:tabs>
          <w:tab w:val="clear" w:pos="142"/>
          <w:tab w:val="left" w:pos="284"/>
        </w:tabs>
        <w:suppressAutoHyphens w:val="0"/>
        <w:autoSpaceDN/>
        <w:ind w:left="0" w:firstLine="0"/>
        <w:jc w:val="left"/>
        <w:textAlignment w:val="auto"/>
        <w:rPr>
          <w:rFonts w:cstheme="minorHAnsi"/>
          <w:b/>
        </w:rPr>
      </w:pPr>
      <w:r w:rsidRPr="00E11C30">
        <w:rPr>
          <w:rFonts w:cstheme="minorHAnsi"/>
        </w:rPr>
        <w:t xml:space="preserve"> osoby uprawnione do podpisania wniosku o dofinansowanie zgodnie z dokumentami statutowymi lub załączonym do wniosku pełnomocnictwem – jeżeli właścicielem dokumentu potwierdzanego „za zgodność” jest Wnioskodawca, lub </w:t>
      </w:r>
    </w:p>
    <w:p w14:paraId="65C6A118" w14:textId="1DFC7073" w:rsidR="00291D84" w:rsidRPr="009004B4" w:rsidRDefault="00291D84" w:rsidP="001B635A">
      <w:pPr>
        <w:pStyle w:val="Akapitzlist"/>
        <w:numPr>
          <w:ilvl w:val="0"/>
          <w:numId w:val="45"/>
        </w:numPr>
        <w:tabs>
          <w:tab w:val="clear" w:pos="142"/>
          <w:tab w:val="left" w:pos="284"/>
        </w:tabs>
        <w:suppressAutoHyphens w:val="0"/>
        <w:autoSpaceDN/>
        <w:spacing w:after="100" w:afterAutospacing="1"/>
        <w:ind w:left="0" w:firstLine="0"/>
        <w:jc w:val="left"/>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14:paraId="101EF794"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0F0CA4C9"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31A7973"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59B22716" w14:textId="77777777" w:rsidR="00291D84" w:rsidRPr="00E11C30" w:rsidRDefault="00291D84" w:rsidP="001B635A">
      <w:pPr>
        <w:pStyle w:val="Akapitzlist"/>
        <w:numPr>
          <w:ilvl w:val="0"/>
          <w:numId w:val="0"/>
        </w:numPr>
        <w:suppressAutoHyphens w:val="0"/>
        <w:autoSpaceDN/>
        <w:spacing w:after="100" w:afterAutospacing="1"/>
        <w:jc w:val="left"/>
        <w:textAlignment w:val="auto"/>
        <w:rPr>
          <w:rFonts w:cstheme="minorHAnsi"/>
          <w:b/>
        </w:rPr>
      </w:pPr>
    </w:p>
    <w:p w14:paraId="22927001" w14:textId="77777777" w:rsidR="00291D84" w:rsidRDefault="00291D84" w:rsidP="001B635A">
      <w:pPr>
        <w:spacing w:after="100" w:afterAutospacing="1" w:line="276" w:lineRule="auto"/>
        <w:rPr>
          <w:rFonts w:cstheme="minorHAnsi"/>
        </w:rPr>
      </w:pPr>
      <w:r>
        <w:rPr>
          <w:rFonts w:cstheme="minorHAnsi"/>
        </w:rPr>
        <w:t xml:space="preserve">Wnioski wypełnione w języku obcym (obowiązuje język polski), nie będą rozpatrywane.  </w:t>
      </w:r>
    </w:p>
    <w:p w14:paraId="66DF9740" w14:textId="77777777" w:rsidR="00291D84" w:rsidRDefault="00291D84" w:rsidP="001B635A">
      <w:pPr>
        <w:spacing w:after="100" w:afterAutospacing="1" w:line="276" w:lineRule="auto"/>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50" w:name="_Hlk35004252"/>
      <w:r>
        <w:rPr>
          <w:rFonts w:cstheme="minorHAnsi"/>
          <w:b/>
          <w:bCs/>
        </w:rPr>
        <w:t>Generator Wniosków o dofinansowanie EFRR</w:t>
      </w:r>
      <w:bookmarkEnd w:id="50"/>
      <w:r>
        <w:rPr>
          <w:rFonts w:cstheme="minorHAnsi"/>
        </w:rPr>
        <w:t>.</w:t>
      </w:r>
    </w:p>
    <w:p w14:paraId="2ABA57A1" w14:textId="6452BB45" w:rsidR="00291D84" w:rsidRDefault="00291D84" w:rsidP="001B635A">
      <w:pPr>
        <w:spacing w:after="100" w:afterAutospacing="1" w:line="276" w:lineRule="auto"/>
        <w:rPr>
          <w:rFonts w:cstheme="minorHAnsi"/>
        </w:rPr>
      </w:pPr>
      <w:r>
        <w:rPr>
          <w:rFonts w:cstheme="minorHAnsi"/>
        </w:rPr>
        <w:t xml:space="preserve">W przypadku problemów technicznych z systemem informatycznym SNOW należy niezwłocznie zgłosić problem na adres email: </w:t>
      </w:r>
      <w:hyperlink r:id="rId13" w:history="1">
        <w:r w:rsidR="00C052C2" w:rsidRPr="007B5E2D">
          <w:rPr>
            <w:rStyle w:val="Hipercze"/>
            <w:rFonts w:cstheme="minorHAnsi"/>
          </w:rPr>
          <w:t>maciej.syrek@dip.dolnyslask.pl</w:t>
        </w:r>
      </w:hyperlink>
      <w:r w:rsidR="00C052C2">
        <w:rPr>
          <w:rFonts w:cstheme="minorHAnsi"/>
        </w:rPr>
        <w:t xml:space="preserve"> </w:t>
      </w:r>
    </w:p>
    <w:p w14:paraId="49C08C1C" w14:textId="77777777" w:rsidR="00291D84" w:rsidRDefault="00291D84" w:rsidP="001B635A">
      <w:pPr>
        <w:spacing w:after="100" w:afterAutospacing="1" w:line="276" w:lineRule="auto"/>
        <w:rPr>
          <w:rFonts w:cstheme="minorHAnsi"/>
        </w:rPr>
      </w:pPr>
      <w:r>
        <w:rPr>
          <w:rFonts w:cstheme="minorHAnsi"/>
        </w:rPr>
        <w:t xml:space="preserve">Wnioski robocze w </w:t>
      </w:r>
      <w:bookmarkStart w:id="51" w:name="_Hlk35004756"/>
      <w:r>
        <w:rPr>
          <w:rFonts w:cstheme="minorHAnsi"/>
        </w:rPr>
        <w:t>aplikacji Generator</w:t>
      </w:r>
      <w:r>
        <w:t xml:space="preserve"> </w:t>
      </w:r>
      <w:r>
        <w:rPr>
          <w:rFonts w:cstheme="minorHAnsi"/>
        </w:rPr>
        <w:t xml:space="preserve">Wniosków o dofinansowanie EFRR </w:t>
      </w:r>
      <w:bookmarkEnd w:id="51"/>
      <w:r>
        <w:rPr>
          <w:rFonts w:cstheme="minorHAnsi"/>
        </w:rPr>
        <w:t>są uznawane za złożone nieskutecznie i nie podlegają ocenie.</w:t>
      </w:r>
    </w:p>
    <w:p w14:paraId="7ACBF917" w14:textId="77777777" w:rsidR="00291D84" w:rsidRDefault="00291D84" w:rsidP="001B635A">
      <w:pPr>
        <w:spacing w:after="100" w:afterAutospacing="1" w:line="276" w:lineRule="auto"/>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7E1FEF46" w14:textId="77777777" w:rsidR="00291D84" w:rsidRDefault="00291D84" w:rsidP="001B635A">
      <w:pPr>
        <w:spacing w:after="100" w:afterAutospacing="1" w:line="276" w:lineRule="auto"/>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A2B3D74" w14:textId="77777777" w:rsidR="00291D84" w:rsidRDefault="00291D84" w:rsidP="001B635A">
      <w:pPr>
        <w:spacing w:after="100" w:afterAutospacing="1" w:line="276" w:lineRule="auto"/>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7E149B4" w14:textId="77777777" w:rsidR="00291D84" w:rsidRDefault="00291D84" w:rsidP="001B635A">
      <w:pPr>
        <w:spacing w:after="100" w:afterAutospacing="1" w:line="276" w:lineRule="auto"/>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8D571ED" w14:textId="77777777" w:rsidR="00291D84" w:rsidRDefault="00291D84" w:rsidP="001B635A">
      <w:pPr>
        <w:spacing w:after="100" w:afterAutospacing="1" w:line="276" w:lineRule="auto"/>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2F8094BF" w14:textId="77777777" w:rsidR="00291D84" w:rsidRDefault="00291D84" w:rsidP="001B635A">
      <w:pPr>
        <w:spacing w:after="100" w:afterAutospacing="1" w:line="276" w:lineRule="auto"/>
        <w:rPr>
          <w:rFonts w:cstheme="minorHAnsi"/>
        </w:rPr>
      </w:pPr>
      <w:r>
        <w:rPr>
          <w:rFonts w:cstheme="minorHAnsi"/>
        </w:rPr>
        <w:t>IOK nie przewiduje możliwości skrócenia terminu składania wniosków o dofinansowanie.</w:t>
      </w:r>
    </w:p>
    <w:p w14:paraId="6AF6245E" w14:textId="06DDCAE3" w:rsidR="002133B8" w:rsidRDefault="00291D84" w:rsidP="001B635A">
      <w:pPr>
        <w:autoSpaceDE w:val="0"/>
        <w:autoSpaceDN w:val="0"/>
        <w:spacing w:after="100" w:afterAutospacing="1" w:line="276" w:lineRule="auto"/>
        <w:rPr>
          <w:b/>
          <w:u w:val="single"/>
        </w:rPr>
      </w:pPr>
      <w:r>
        <w:rPr>
          <w:rFonts w:cstheme="minorHAnsi"/>
          <w:b/>
        </w:rPr>
        <w:lastRenderedPageBreak/>
        <w:t>Forma składania wniosków określona w tym punkcie Regulaminu obowiązuje także przy składaniu każdej poprawionej wersji wniosku o dofinansowanie.</w:t>
      </w:r>
    </w:p>
    <w:p w14:paraId="7FDE1DC2" w14:textId="77777777" w:rsidR="002133B8" w:rsidRDefault="002133B8" w:rsidP="001B635A">
      <w:pPr>
        <w:autoSpaceDE w:val="0"/>
        <w:autoSpaceDN w:val="0"/>
        <w:spacing w:after="0" w:line="276" w:lineRule="auto"/>
        <w:rPr>
          <w:b/>
          <w:u w:val="single"/>
        </w:rPr>
      </w:pPr>
    </w:p>
    <w:p w14:paraId="7872B774" w14:textId="77777777" w:rsidR="000B34CD" w:rsidRDefault="000B34CD" w:rsidP="001B635A">
      <w:pPr>
        <w:autoSpaceDE w:val="0"/>
        <w:autoSpaceDN w:val="0"/>
        <w:spacing w:after="0" w:line="276" w:lineRule="auto"/>
        <w:rPr>
          <w:b/>
          <w:u w:val="single"/>
        </w:rPr>
      </w:pPr>
    </w:p>
    <w:p w14:paraId="74A660D0" w14:textId="77777777" w:rsidR="00136366" w:rsidRPr="003A416A" w:rsidRDefault="00136366" w:rsidP="001B635A">
      <w:pPr>
        <w:autoSpaceDE w:val="0"/>
        <w:autoSpaceDN w:val="0"/>
        <w:spacing w:after="0" w:line="276" w:lineRule="auto"/>
        <w:rPr>
          <w:b/>
          <w:u w:val="single"/>
        </w:rPr>
      </w:pPr>
      <w:r w:rsidRPr="003A416A">
        <w:rPr>
          <w:b/>
          <w:u w:val="single"/>
        </w:rPr>
        <w:t>Forma i sposób komunikacji pomiędzy IOK i wnioskodawcą</w:t>
      </w:r>
      <w:r w:rsidR="000C13FB" w:rsidRPr="003A416A">
        <w:rPr>
          <w:b/>
          <w:u w:val="single"/>
        </w:rPr>
        <w:t>:</w:t>
      </w:r>
    </w:p>
    <w:p w14:paraId="2DDCEFD1" w14:textId="77777777" w:rsidR="00136366" w:rsidRPr="003A416A" w:rsidRDefault="00136366" w:rsidP="001B635A">
      <w:pPr>
        <w:autoSpaceDE w:val="0"/>
        <w:autoSpaceDN w:val="0"/>
        <w:spacing w:after="0" w:line="276" w:lineRule="auto"/>
        <w:rPr>
          <w:rFonts w:eastAsia="Times New Roman" w:cs="Calibri"/>
          <w:color w:val="000000"/>
          <w:lang w:eastAsia="pl-PL"/>
        </w:rPr>
      </w:pPr>
    </w:p>
    <w:p w14:paraId="0FE90044" w14:textId="77777777" w:rsidR="00136366" w:rsidRPr="003A416A" w:rsidRDefault="00136366" w:rsidP="001B635A">
      <w:pPr>
        <w:autoSpaceDE w:val="0"/>
        <w:autoSpaceDN w:val="0"/>
        <w:spacing w:after="0" w:line="276" w:lineRule="auto"/>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78BBF449" w14:textId="77777777" w:rsidR="00136366" w:rsidRPr="003A416A" w:rsidRDefault="00136366" w:rsidP="001B635A">
      <w:pPr>
        <w:autoSpaceDE w:val="0"/>
        <w:autoSpaceDN w:val="0"/>
        <w:spacing w:after="0" w:line="276" w:lineRule="auto"/>
        <w:rPr>
          <w:lang w:eastAsia="pl-PL"/>
        </w:rPr>
      </w:pPr>
    </w:p>
    <w:p w14:paraId="76B387AF" w14:textId="77777777" w:rsidR="00291D84" w:rsidRPr="003D6619" w:rsidRDefault="00291D84" w:rsidP="001B635A">
      <w:pPr>
        <w:autoSpaceDE w:val="0"/>
        <w:autoSpaceDN w:val="0"/>
        <w:spacing w:after="0" w:line="276" w:lineRule="auto"/>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14:paraId="1A459990" w14:textId="77777777" w:rsidR="00136366" w:rsidRPr="003A416A" w:rsidRDefault="00136366" w:rsidP="001B635A">
      <w:pPr>
        <w:autoSpaceDE w:val="0"/>
        <w:autoSpaceDN w:val="0"/>
        <w:spacing w:after="0" w:line="276" w:lineRule="auto"/>
        <w:rPr>
          <w:lang w:eastAsia="pl-PL"/>
        </w:rPr>
      </w:pPr>
    </w:p>
    <w:p w14:paraId="7B20DBF6" w14:textId="42EF6384" w:rsidR="00136366" w:rsidRPr="003A416A" w:rsidRDefault="00136366" w:rsidP="001B635A">
      <w:pPr>
        <w:autoSpaceDE w:val="0"/>
        <w:autoSpaceDN w:val="0"/>
        <w:spacing w:after="0" w:line="276" w:lineRule="auto"/>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4" w:history="1">
        <w:r w:rsidRPr="003A416A">
          <w:rPr>
            <w:rStyle w:val="Hipercze"/>
            <w:lang w:eastAsia="pl-PL"/>
          </w:rPr>
          <w:t>www.dip.dolnyslask.pl</w:t>
        </w:r>
      </w:hyperlink>
      <w:r w:rsidRPr="003A416A">
        <w:rPr>
          <w:lang w:eastAsia="pl-PL"/>
        </w:rPr>
        <w:t>.</w:t>
      </w:r>
    </w:p>
    <w:p w14:paraId="36A3647A" w14:textId="77777777" w:rsidR="00136366" w:rsidRPr="003A416A" w:rsidRDefault="00136366" w:rsidP="001B635A">
      <w:pPr>
        <w:autoSpaceDE w:val="0"/>
        <w:autoSpaceDN w:val="0"/>
        <w:spacing w:after="0" w:line="276" w:lineRule="auto"/>
        <w:rPr>
          <w:lang w:eastAsia="pl-PL"/>
        </w:rPr>
      </w:pPr>
    </w:p>
    <w:p w14:paraId="35527CC1" w14:textId="77777777" w:rsidR="00136366" w:rsidRPr="003A416A" w:rsidRDefault="00136366" w:rsidP="001B635A">
      <w:pPr>
        <w:autoSpaceDE w:val="0"/>
        <w:autoSpaceDN w:val="0"/>
        <w:spacing w:after="0" w:line="276" w:lineRule="auto"/>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14:paraId="3888C930" w14:textId="77777777" w:rsidR="00136366" w:rsidRPr="003A416A" w:rsidRDefault="00136366" w:rsidP="001B635A">
      <w:pPr>
        <w:autoSpaceDE w:val="0"/>
        <w:autoSpaceDN w:val="0"/>
        <w:spacing w:after="0" w:line="276" w:lineRule="auto"/>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14:paraId="729AFE71"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14:paraId="3F20243F"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F1B4DA4"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14:paraId="657E74BA"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F50EFD8" w14:textId="77777777" w:rsidR="00136366" w:rsidRPr="003A416A" w:rsidRDefault="00136366" w:rsidP="001B635A">
      <w:pPr>
        <w:autoSpaceDE w:val="0"/>
        <w:autoSpaceDN w:val="0"/>
        <w:spacing w:after="0" w:line="276" w:lineRule="auto"/>
        <w:rPr>
          <w:bCs/>
          <w:lang w:eastAsia="pl-PL"/>
        </w:rPr>
      </w:pPr>
      <w:r w:rsidRPr="003A416A">
        <w:rPr>
          <w:bCs/>
          <w:lang w:eastAsia="pl-PL"/>
        </w:rPr>
        <w:lastRenderedPageBreak/>
        <w:t>Żądanie potwierdzenia odbioru oraz automatyczne (w tym powtórne) powiadomienia nie zwalniają z obowiązku dotrzymania terminu wskazanego w wezwaniu, tj. liczonego od dnia następującego po dniu wysłania wezwania.</w:t>
      </w:r>
    </w:p>
    <w:p w14:paraId="1F0DF701" w14:textId="77777777" w:rsidR="00136366" w:rsidRPr="003A416A" w:rsidRDefault="00136366" w:rsidP="001B635A">
      <w:pPr>
        <w:autoSpaceDE w:val="0"/>
        <w:autoSpaceDN w:val="0"/>
        <w:spacing w:after="0" w:line="276" w:lineRule="auto"/>
        <w:rPr>
          <w:bCs/>
          <w:lang w:eastAsia="pl-PL"/>
        </w:rPr>
      </w:pPr>
    </w:p>
    <w:p w14:paraId="75C9AA6A" w14:textId="77777777" w:rsidR="00136366" w:rsidRPr="003A416A" w:rsidRDefault="00136366" w:rsidP="001B635A">
      <w:pPr>
        <w:autoSpaceDE w:val="0"/>
        <w:autoSpaceDN w:val="0"/>
        <w:spacing w:after="0" w:line="276" w:lineRule="auto"/>
        <w:rPr>
          <w:bCs/>
          <w:lang w:eastAsia="pl-PL"/>
        </w:rPr>
      </w:pPr>
      <w:r w:rsidRPr="003A416A">
        <w:rPr>
          <w:bCs/>
          <w:lang w:eastAsia="pl-PL"/>
        </w:rPr>
        <w:t xml:space="preserve">Wnioskodawca zobowiązuje się do odbioru korespondencji kierowanej do niego w ww. sposób. </w:t>
      </w:r>
    </w:p>
    <w:p w14:paraId="549BA888" w14:textId="77777777" w:rsidR="00136366" w:rsidRPr="003A416A" w:rsidRDefault="00136366" w:rsidP="001B635A">
      <w:pPr>
        <w:autoSpaceDE w:val="0"/>
        <w:autoSpaceDN w:val="0"/>
        <w:spacing w:after="0" w:line="276" w:lineRule="auto"/>
        <w:rPr>
          <w:bCs/>
          <w:lang w:eastAsia="pl-PL"/>
        </w:rPr>
      </w:pPr>
    </w:p>
    <w:p w14:paraId="729D4557" w14:textId="77777777" w:rsidR="00136366" w:rsidRPr="003A416A" w:rsidRDefault="00136366" w:rsidP="001B635A">
      <w:pPr>
        <w:autoSpaceDE w:val="0"/>
        <w:autoSpaceDN w:val="0"/>
        <w:spacing w:after="0" w:line="276" w:lineRule="auto"/>
        <w:rPr>
          <w:bCs/>
          <w:lang w:eastAsia="pl-PL"/>
        </w:rPr>
      </w:pPr>
      <w:r w:rsidRPr="003A416A">
        <w:rPr>
          <w:bCs/>
          <w:lang w:eastAsia="pl-PL"/>
        </w:rPr>
        <w:t>Nieprzestrzeganie wskazanej formy komunikacji (w szczególności, gdy Wnioskodawca nie odbierze przesłanego za pomocą SNOW wezwania) oznaczać będzie:</w:t>
      </w:r>
    </w:p>
    <w:p w14:paraId="167A15F1" w14:textId="77777777" w:rsidR="00136366" w:rsidRPr="003A416A" w:rsidRDefault="00136366" w:rsidP="001B635A">
      <w:pPr>
        <w:numPr>
          <w:ilvl w:val="0"/>
          <w:numId w:val="13"/>
        </w:numPr>
        <w:autoSpaceDE w:val="0"/>
        <w:autoSpaceDN w:val="0"/>
        <w:spacing w:after="0" w:line="276" w:lineRule="auto"/>
        <w:rPr>
          <w:bCs/>
          <w:lang w:eastAsia="pl-PL"/>
        </w:rPr>
      </w:pPr>
      <w:r w:rsidRPr="003A416A">
        <w:rPr>
          <w:bCs/>
          <w:lang w:eastAsia="pl-PL"/>
        </w:rPr>
        <w:t>negatywną ocenę projektu w przypadku niespełnienia przez projekt kryteriów wyboru projektów;</w:t>
      </w:r>
    </w:p>
    <w:p w14:paraId="2D144940" w14:textId="7389D265" w:rsidR="00136366" w:rsidRPr="00A03713" w:rsidRDefault="00136366" w:rsidP="001B635A">
      <w:pPr>
        <w:numPr>
          <w:ilvl w:val="0"/>
          <w:numId w:val="13"/>
        </w:numPr>
        <w:autoSpaceDE w:val="0"/>
        <w:autoSpaceDN w:val="0"/>
        <w:spacing w:after="0" w:line="276" w:lineRule="auto"/>
        <w:rPr>
          <w:bCs/>
          <w:lang w:eastAsia="pl-PL"/>
        </w:rPr>
      </w:pPr>
      <w:r w:rsidRPr="003A416A">
        <w:rPr>
          <w:bCs/>
          <w:lang w:eastAsia="pl-PL"/>
        </w:rPr>
        <w:t>pozostawienie wniosku o dofinansowanie bez rozpatrzenia w przypadku niespełnienia przez wniosek warunków formalnych i/lub niepoprawienia oczywistych omyłek.</w:t>
      </w:r>
    </w:p>
    <w:p w14:paraId="0583ECAA" w14:textId="689A8ED7" w:rsidR="00136366" w:rsidRPr="003A416A" w:rsidRDefault="00B46E71" w:rsidP="001B635A">
      <w:pPr>
        <w:pStyle w:val="Nagwek1"/>
        <w:tabs>
          <w:tab w:val="left" w:pos="426"/>
        </w:tabs>
        <w:spacing w:before="480" w:after="240" w:line="240" w:lineRule="auto"/>
        <w:ind w:left="425" w:hanging="425"/>
      </w:pPr>
      <w:bookmarkStart w:id="52"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2"/>
    </w:p>
    <w:p w14:paraId="311AD8D3"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p>
    <w:p w14:paraId="1BAE62EE"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t>Oczywista omyłka</w:t>
      </w:r>
    </w:p>
    <w:p w14:paraId="0C160D85"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14:paraId="45115E9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Przykładem oczywistych omyłek są:</w:t>
      </w:r>
    </w:p>
    <w:p w14:paraId="0CF8CDB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14:paraId="3FF793E8"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rachunkowe (oczywiste do zidentyfikowania, np.: niewłaściwe zaokrąglenie kwot, błędnie umieszczony przecinek, omyłkowe przestawienie kolejności cyfr);</w:t>
      </w:r>
    </w:p>
    <w:p w14:paraId="17F2034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14:paraId="3A736B2B"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14:paraId="78E31DF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w nazwach własnych;</w:t>
      </w:r>
    </w:p>
    <w:p w14:paraId="672E9FFD" w14:textId="77777777" w:rsidR="009D2CE1"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14:paraId="02A4EDDC" w14:textId="02BC8D59" w:rsidR="00B05150" w:rsidRPr="002133B8" w:rsidRDefault="00B05150" w:rsidP="001B635A">
      <w:pPr>
        <w:pStyle w:val="Akapitzlist"/>
        <w:jc w:val="left"/>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14:paraId="0C45CDEB" w14:textId="1EF566CC" w:rsidR="00136366" w:rsidRPr="002133B8" w:rsidRDefault="00B05150" w:rsidP="001B635A">
      <w:pPr>
        <w:pStyle w:val="Akapitzlist"/>
        <w:jc w:val="left"/>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14:paraId="6CF95E4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p>
    <w:p w14:paraId="6359A7B4" w14:textId="25044570" w:rsidR="00136366" w:rsidRPr="003A416A" w:rsidRDefault="001975D3" w:rsidP="001B635A">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14:paraId="018382F4"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lastRenderedPageBreak/>
        <w:t>Warunki formalne</w:t>
      </w:r>
    </w:p>
    <w:p w14:paraId="2D4386F6"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Default="00136366" w:rsidP="001B635A">
      <w:pPr>
        <w:pStyle w:val="Akapitzlist"/>
        <w:numPr>
          <w:ilvl w:val="0"/>
          <w:numId w:val="9"/>
        </w:numPr>
        <w:jc w:val="left"/>
        <w:rPr>
          <w:rFonts w:eastAsia="SimSun"/>
        </w:rPr>
      </w:pPr>
      <w:r w:rsidRPr="003A416A">
        <w:rPr>
          <w:rFonts w:eastAsia="SimSun"/>
        </w:rPr>
        <w:t>Termin (brak możliwości poprawy)</w:t>
      </w:r>
    </w:p>
    <w:p w14:paraId="14BFB9DD" w14:textId="7F7E2666" w:rsidR="00E248F5" w:rsidRPr="000B34CD" w:rsidRDefault="00134BB0" w:rsidP="001B635A">
      <w:pPr>
        <w:rPr>
          <w:b/>
        </w:rPr>
      </w:pPr>
      <w:r>
        <w:t xml:space="preserve">Niespełnienie warunku </w:t>
      </w:r>
      <w:r w:rsidR="00E248F5">
        <w:t xml:space="preserve">nr1 skutkuje pozostawieniem wniosku bez rozpatrzenia. </w:t>
      </w:r>
    </w:p>
    <w:p w14:paraId="54A65643" w14:textId="77777777" w:rsidR="00136366" w:rsidRPr="003A416A" w:rsidRDefault="00136366" w:rsidP="001B635A">
      <w:pPr>
        <w:pStyle w:val="Akapitzlist"/>
        <w:numPr>
          <w:ilvl w:val="0"/>
          <w:numId w:val="9"/>
        </w:numPr>
        <w:jc w:val="left"/>
        <w:rPr>
          <w:rFonts w:eastAsia="SimSun"/>
        </w:rPr>
      </w:pPr>
      <w:r w:rsidRPr="003A416A">
        <w:rPr>
          <w:rFonts w:eastAsia="SimSun"/>
        </w:rPr>
        <w:t>Forma (bez możliwości poprawy)</w:t>
      </w:r>
    </w:p>
    <w:p w14:paraId="0C481AEA" w14:textId="3B81256B" w:rsidR="00136366" w:rsidRPr="000B34CD" w:rsidRDefault="00E248F5" w:rsidP="001B635A">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14:paraId="453D3CED" w14:textId="77777777" w:rsidR="00136366" w:rsidRPr="003A416A" w:rsidRDefault="00136366" w:rsidP="001B635A">
      <w:pPr>
        <w:pStyle w:val="Akapitzlist"/>
        <w:numPr>
          <w:ilvl w:val="0"/>
          <w:numId w:val="9"/>
        </w:numPr>
        <w:jc w:val="left"/>
        <w:rPr>
          <w:rFonts w:eastAsia="SimSun"/>
        </w:rPr>
      </w:pPr>
      <w:r w:rsidRPr="003A416A">
        <w:rPr>
          <w:rFonts w:eastAsia="SimSun"/>
        </w:rPr>
        <w:t>Kompletność złożonego wniosku (możliwość jednej poprawy):</w:t>
      </w:r>
    </w:p>
    <w:p w14:paraId="59573998" w14:textId="31F59230" w:rsidR="00136366" w:rsidRPr="003A416A" w:rsidRDefault="00136366" w:rsidP="001B635A">
      <w:pPr>
        <w:spacing w:after="0" w:line="276" w:lineRule="auto"/>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14:paraId="024972D6" w14:textId="77777777" w:rsidR="00136366" w:rsidRPr="003A416A" w:rsidRDefault="00136366" w:rsidP="001B635A">
      <w:pPr>
        <w:spacing w:after="0" w:line="276" w:lineRule="auto"/>
        <w:rPr>
          <w:rFonts w:eastAsia="Calibri Light"/>
        </w:rPr>
      </w:pPr>
    </w:p>
    <w:p w14:paraId="56C71D75" w14:textId="77777777" w:rsidR="00136366" w:rsidRPr="003A416A" w:rsidRDefault="00136366" w:rsidP="001B635A">
      <w:pPr>
        <w:spacing w:after="0" w:line="276" w:lineRule="auto"/>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14:paraId="2FC207AB"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14:paraId="41AD06C2"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14:paraId="34F603BF" w14:textId="77777777" w:rsidR="001975D3"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14:paraId="0F5CE235" w14:textId="77777777" w:rsidR="001975D3" w:rsidRPr="003A416A" w:rsidRDefault="001975D3" w:rsidP="001B635A">
      <w:pPr>
        <w:suppressAutoHyphens/>
        <w:autoSpaceDN w:val="0"/>
        <w:spacing w:after="0" w:line="276" w:lineRule="auto"/>
        <w:textAlignment w:val="baseline"/>
        <w:rPr>
          <w:rFonts w:eastAsia="SimSun" w:cs="Times New Roman"/>
          <w:bCs/>
          <w:color w:val="000000"/>
          <w:kern w:val="3"/>
          <w:lang w:eastAsia="pl-PL"/>
        </w:rPr>
      </w:pPr>
    </w:p>
    <w:p w14:paraId="7B7AFD65"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14:paraId="58F87A80" w14:textId="0759D408" w:rsidR="00136366" w:rsidRPr="003A416A" w:rsidRDefault="00790D3C" w:rsidP="001B635A">
      <w:pPr>
        <w:spacing w:after="0" w:line="276" w:lineRule="auto"/>
        <w:ind w:right="20"/>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795ECE89" w14:textId="77777777" w:rsidR="001975D3" w:rsidRPr="003A416A" w:rsidRDefault="001975D3" w:rsidP="001B635A">
      <w:pPr>
        <w:tabs>
          <w:tab w:val="left" w:pos="0"/>
          <w:tab w:val="left" w:pos="709"/>
        </w:tabs>
        <w:suppressAutoHyphens/>
        <w:autoSpaceDN w:val="0"/>
        <w:spacing w:after="0" w:line="276" w:lineRule="auto"/>
        <w:textAlignment w:val="baseline"/>
        <w:rPr>
          <w:rFonts w:eastAsia="SimSun" w:cs="Tahoma"/>
          <w:kern w:val="3"/>
          <w:lang w:eastAsia="pl-PL"/>
        </w:rPr>
      </w:pPr>
    </w:p>
    <w:p w14:paraId="4F8067FA"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445FE49" w14:textId="77777777" w:rsidR="00136366" w:rsidRPr="003A416A" w:rsidRDefault="00136366" w:rsidP="001B635A">
      <w:pPr>
        <w:spacing w:after="0" w:line="276" w:lineRule="auto"/>
        <w:ind w:right="20"/>
        <w:rPr>
          <w:rFonts w:eastAsia="Calibri" w:cs="Calibri"/>
        </w:rPr>
      </w:pPr>
    </w:p>
    <w:p w14:paraId="0C38FC35" w14:textId="77777777" w:rsidR="00136366" w:rsidRPr="003A416A" w:rsidRDefault="00136366" w:rsidP="001B635A">
      <w:pPr>
        <w:spacing w:after="0" w:line="276" w:lineRule="auto"/>
        <w:ind w:right="20"/>
        <w:rPr>
          <w:rFonts w:eastAsia="Calibri" w:cs="Calibri"/>
          <w:b/>
        </w:rPr>
      </w:pPr>
      <w:r w:rsidRPr="003A416A">
        <w:rPr>
          <w:rFonts w:eastAsia="Calibri" w:cs="Calibri"/>
          <w:b/>
        </w:rPr>
        <w:t>Uwaga!</w:t>
      </w:r>
    </w:p>
    <w:p w14:paraId="6C96A3B3" w14:textId="77777777" w:rsidR="001975D3" w:rsidRPr="003A416A" w:rsidRDefault="001975D3" w:rsidP="001B635A">
      <w:pPr>
        <w:spacing w:after="0" w:line="276" w:lineRule="auto"/>
        <w:ind w:right="20"/>
        <w:rPr>
          <w:rFonts w:eastAsia="Calibri" w:cs="Calibri"/>
          <w:b/>
        </w:rPr>
      </w:pPr>
      <w:r w:rsidRPr="003A416A">
        <w:rPr>
          <w:rFonts w:eastAsia="Calibri" w:cs="Calibri"/>
          <w:b/>
        </w:rPr>
        <w:lastRenderedPageBreak/>
        <w:t>W celu usprawnienia przebiegu oceny wniosku zaleca się Wnioskodawcom możliwie jak najczęstsze sprawdzanie korespondencji elektronicznej otrzymywanej na adres e-mail podany w systemie SNOW.</w:t>
      </w:r>
    </w:p>
    <w:p w14:paraId="7CB626DA" w14:textId="77777777" w:rsidR="00136366" w:rsidRPr="003A416A" w:rsidRDefault="00136366" w:rsidP="001B635A">
      <w:pPr>
        <w:autoSpaceDE w:val="0"/>
        <w:autoSpaceDN w:val="0"/>
        <w:adjustRightInd w:val="0"/>
        <w:spacing w:after="0" w:line="276" w:lineRule="auto"/>
        <w:rPr>
          <w:rFonts w:cs="Times New Roman"/>
          <w:b/>
        </w:rPr>
      </w:pPr>
    </w:p>
    <w:p w14:paraId="72FD6B0C" w14:textId="77777777" w:rsidR="00136366" w:rsidRPr="003A416A" w:rsidRDefault="00136366" w:rsidP="001B635A">
      <w:pPr>
        <w:autoSpaceDE w:val="0"/>
        <w:autoSpaceDN w:val="0"/>
        <w:adjustRightInd w:val="0"/>
        <w:spacing w:after="0" w:line="276" w:lineRule="auto"/>
        <w:rPr>
          <w:rFonts w:cs="Times New Roman"/>
          <w:b/>
        </w:rPr>
      </w:pPr>
      <w:r w:rsidRPr="003A416A">
        <w:rPr>
          <w:rFonts w:cs="Times New Roman"/>
          <w:b/>
        </w:rPr>
        <w:t>Wycofanie wniosku</w:t>
      </w:r>
    </w:p>
    <w:p w14:paraId="7F009887" w14:textId="77777777" w:rsidR="00136366" w:rsidRPr="003A416A" w:rsidRDefault="00136366" w:rsidP="001B635A">
      <w:pPr>
        <w:widowControl w:val="0"/>
        <w:spacing w:after="0" w:line="276" w:lineRule="auto"/>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3A416A" w:rsidRDefault="00B46E71" w:rsidP="001B635A">
      <w:pPr>
        <w:pStyle w:val="Nagwek1"/>
        <w:tabs>
          <w:tab w:val="left" w:pos="426"/>
        </w:tabs>
        <w:spacing w:before="480" w:after="240" w:line="240" w:lineRule="auto"/>
        <w:ind w:left="425" w:hanging="425"/>
      </w:pPr>
      <w:bookmarkStart w:id="53" w:name="_Toc499633779"/>
      <w:bookmarkStart w:id="54" w:name="_Toc20832234"/>
      <w:bookmarkEnd w:id="53"/>
      <w:r w:rsidRPr="003A416A">
        <w:t>1</w:t>
      </w:r>
      <w:r w:rsidR="00F14D36" w:rsidRPr="003A416A">
        <w:t>2</w:t>
      </w:r>
      <w:r w:rsidRPr="003A416A">
        <w:t xml:space="preserve">. </w:t>
      </w:r>
      <w:r w:rsidR="00136366" w:rsidRPr="003A416A">
        <w:t>Wzór wniosku o dofinansowanie projektu</w:t>
      </w:r>
      <w:bookmarkEnd w:id="54"/>
    </w:p>
    <w:p w14:paraId="729A60A7" w14:textId="13126BA5" w:rsidR="00136366" w:rsidRPr="003A416A" w:rsidRDefault="00136366" w:rsidP="001B635A">
      <w:pPr>
        <w:widowControl w:val="0"/>
        <w:spacing w:after="0" w:line="276" w:lineRule="auto"/>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14:paraId="277ACBAC" w14:textId="77777777" w:rsidR="00136366" w:rsidRPr="003A416A" w:rsidRDefault="00B46E71" w:rsidP="001B635A">
      <w:pPr>
        <w:pStyle w:val="Nagwek1"/>
        <w:tabs>
          <w:tab w:val="left" w:pos="426"/>
        </w:tabs>
        <w:spacing w:before="480" w:after="240" w:line="240" w:lineRule="auto"/>
        <w:ind w:left="425" w:hanging="425"/>
      </w:pPr>
      <w:bookmarkStart w:id="55" w:name="_Toc499633781"/>
      <w:bookmarkStart w:id="56" w:name="_Toc20832235"/>
      <w:bookmarkEnd w:id="55"/>
      <w:r w:rsidRPr="003A416A">
        <w:t>1</w:t>
      </w:r>
      <w:r w:rsidR="00F14D36" w:rsidRPr="003A416A">
        <w:t>3</w:t>
      </w:r>
      <w:r w:rsidRPr="003A416A">
        <w:t xml:space="preserve">. </w:t>
      </w:r>
      <w:r w:rsidR="00136366" w:rsidRPr="003A416A">
        <w:t>Wzór umowy o dofinansowanie projektu</w:t>
      </w:r>
      <w:bookmarkEnd w:id="56"/>
    </w:p>
    <w:p w14:paraId="2CE459A1" w14:textId="4EE4C610" w:rsidR="00136366" w:rsidRPr="003A416A" w:rsidRDefault="00136366" w:rsidP="001B635A">
      <w:pPr>
        <w:autoSpaceDE w:val="0"/>
        <w:autoSpaceDN w:val="0"/>
        <w:adjustRightInd w:val="0"/>
        <w:spacing w:after="0" w:line="276" w:lineRule="auto"/>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3A416A" w:rsidRDefault="00136366" w:rsidP="001B635A">
      <w:pPr>
        <w:autoSpaceDE w:val="0"/>
        <w:autoSpaceDN w:val="0"/>
        <w:adjustRightInd w:val="0"/>
        <w:spacing w:after="0" w:line="276" w:lineRule="auto"/>
        <w:rPr>
          <w:rFonts w:ascii="Calibri" w:hAnsi="Calibri"/>
        </w:rPr>
      </w:pPr>
    </w:p>
    <w:p w14:paraId="30893C5A" w14:textId="77777777" w:rsidR="00136366" w:rsidRPr="003A416A" w:rsidRDefault="00136366" w:rsidP="001B635A">
      <w:pPr>
        <w:autoSpaceDE w:val="0"/>
        <w:autoSpaceDN w:val="0"/>
        <w:adjustRightInd w:val="0"/>
        <w:spacing w:after="0" w:line="276" w:lineRule="auto"/>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3A416A" w:rsidRDefault="00212E92" w:rsidP="001B635A">
      <w:pPr>
        <w:autoSpaceDE w:val="0"/>
        <w:autoSpaceDN w:val="0"/>
        <w:adjustRightInd w:val="0"/>
        <w:spacing w:after="0" w:line="276" w:lineRule="auto"/>
        <w:rPr>
          <w:bCs/>
        </w:rPr>
      </w:pPr>
    </w:p>
    <w:p w14:paraId="0D40966B" w14:textId="77777777" w:rsidR="00212E92" w:rsidRPr="003A416A" w:rsidRDefault="00212E92" w:rsidP="001B635A">
      <w:pPr>
        <w:pStyle w:val="Nagwek1"/>
      </w:pPr>
      <w:bookmarkStart w:id="57" w:name="_Toc20832236"/>
      <w:r w:rsidRPr="003A416A">
        <w:t>1</w:t>
      </w:r>
      <w:r w:rsidR="00F14D36" w:rsidRPr="003A416A">
        <w:t>4</w:t>
      </w:r>
      <w:r w:rsidRPr="003A416A">
        <w:t>. Kryteria wyboru projektów wraz z podaniem ich znaczenia</w:t>
      </w:r>
      <w:bookmarkEnd w:id="57"/>
    </w:p>
    <w:p w14:paraId="01D74BF6" w14:textId="77777777" w:rsidR="00212E92" w:rsidRPr="003A416A" w:rsidRDefault="00212E92" w:rsidP="001B635A"/>
    <w:p w14:paraId="412ABDB2" w14:textId="53C6B409" w:rsidR="0092641C" w:rsidRPr="00361317" w:rsidRDefault="00D834D6" w:rsidP="001B635A">
      <w:pPr>
        <w:pStyle w:val="Tekstpodstawowy2"/>
        <w:spacing w:after="0" w:line="276" w:lineRule="auto"/>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5" w:history="1">
        <w:r w:rsidR="00212E92" w:rsidRPr="003A416A">
          <w:rPr>
            <w:rStyle w:val="Hipercze"/>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14:paraId="50C22BCE" w14:textId="77777777" w:rsidR="00361317" w:rsidRDefault="00361317" w:rsidP="001B635A">
      <w:pPr>
        <w:pStyle w:val="Tekstpodstawowy2"/>
        <w:spacing w:after="0" w:line="276" w:lineRule="auto"/>
        <w:rPr>
          <w:rFonts w:asciiTheme="minorHAnsi" w:hAnsiTheme="minorHAnsi"/>
          <w:sz w:val="22"/>
          <w:szCs w:val="22"/>
        </w:rPr>
      </w:pPr>
    </w:p>
    <w:p w14:paraId="4F5F9DFE" w14:textId="770CEFEF" w:rsidR="00212E92" w:rsidRPr="003A416A" w:rsidRDefault="00212E92" w:rsidP="001B635A">
      <w:pPr>
        <w:pStyle w:val="Tekstpodstawowy2"/>
        <w:spacing w:after="0" w:line="276" w:lineRule="auto"/>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14:paraId="465D968A" w14:textId="2297376A" w:rsidR="0092641C" w:rsidRPr="003A416A" w:rsidRDefault="0092641C"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t>Spełni wszystkie kryteria obligatoryjne,</w:t>
      </w:r>
    </w:p>
    <w:p w14:paraId="29AFEF80" w14:textId="77777777" w:rsidR="0092641C" w:rsidRPr="003A416A" w:rsidRDefault="00B417F9"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lastRenderedPageBreak/>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Odwoanieprzypisudolnego"/>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14:paraId="657FE8A5" w14:textId="636F5718" w:rsidR="0092641C" w:rsidRPr="003A416A" w:rsidRDefault="00B417F9" w:rsidP="001B635A">
      <w:pPr>
        <w:pStyle w:val="Tekstpodstawowy2"/>
        <w:spacing w:line="276" w:lineRule="auto"/>
        <w:rPr>
          <w:rFonts w:asciiTheme="minorHAnsi" w:hAnsiTheme="minorHAnsi"/>
          <w:sz w:val="22"/>
          <w:szCs w:val="22"/>
        </w:rPr>
      </w:pPr>
      <w:r w:rsidRPr="003A416A">
        <w:rPr>
          <w:rFonts w:asciiTheme="minorHAnsi" w:hAnsiTheme="minorHAnsi"/>
          <w:sz w:val="22"/>
          <w:szCs w:val="22"/>
        </w:rPr>
        <w:t>otrzyma pozytywną ocenę merytoryczną.</w:t>
      </w:r>
    </w:p>
    <w:p w14:paraId="64E0DBBD" w14:textId="77777777" w:rsidR="001975D3" w:rsidRPr="003A416A" w:rsidRDefault="001975D3" w:rsidP="001B635A">
      <w:pPr>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14:paraId="356D9808" w14:textId="77777777" w:rsidR="001975D3" w:rsidRPr="003A416A" w:rsidRDefault="001975D3" w:rsidP="001B635A">
      <w:pPr>
        <w:ind w:left="284" w:hanging="284"/>
        <w:rPr>
          <w:rFonts w:ascii="Calibri" w:eastAsia="Times New Roman" w:hAnsi="Calibri" w:cs="Times New Roman"/>
          <w:color w:val="000000" w:themeColor="text1"/>
          <w:lang w:eastAsia="pl-PL"/>
        </w:rPr>
      </w:pPr>
      <w:r w:rsidRPr="003A416A">
        <w:rPr>
          <w:b/>
        </w:rPr>
        <w:t>UWAGA</w:t>
      </w:r>
    </w:p>
    <w:p w14:paraId="486E3ADB" w14:textId="77777777" w:rsidR="001975D3" w:rsidRPr="003A416A" w:rsidRDefault="001975D3" w:rsidP="001B635A">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2F979095" w14:textId="33EBC8C6" w:rsidR="000A6AFE" w:rsidRPr="003A416A" w:rsidRDefault="000A6AFE" w:rsidP="001B635A">
      <w:pPr>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14:paraId="47D4B621" w14:textId="77D43F1E" w:rsidR="001975D3" w:rsidRDefault="000A6AFE" w:rsidP="001B635A">
      <w:pPr>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73383B6B" w14:textId="6C175D18" w:rsidR="001E6ABF" w:rsidRPr="003A416A" w:rsidRDefault="00FC12A4" w:rsidP="001B635A">
      <w:pPr>
        <w:rPr>
          <w:iCs/>
        </w:rPr>
      </w:pPr>
      <w:r>
        <w:rPr>
          <w:iCs/>
        </w:rPr>
        <w:t>Dodatkowo każdy z partnerów projektu dołącza sporządzoną przez siebie na wzorze DIP analizę finansową. Nie dokonuje się zbiorczej analizy finansowej dla całości projektu.</w:t>
      </w:r>
    </w:p>
    <w:p w14:paraId="2639C8F1" w14:textId="77777777" w:rsidR="00212E92" w:rsidRPr="003A416A" w:rsidRDefault="00212E92" w:rsidP="001B635A">
      <w:pPr>
        <w:pStyle w:val="Nagwek1"/>
      </w:pPr>
      <w:bookmarkStart w:id="58" w:name="_Toc499633785"/>
      <w:bookmarkStart w:id="59" w:name="_Toc20832237"/>
      <w:bookmarkEnd w:id="58"/>
      <w:r w:rsidRPr="003A416A">
        <w:t>1</w:t>
      </w:r>
      <w:r w:rsidR="00F14D36" w:rsidRPr="003A416A">
        <w:t>5</w:t>
      </w:r>
      <w:r w:rsidRPr="003A416A">
        <w:t>. Zasady finansowania projektu</w:t>
      </w:r>
      <w:bookmarkEnd w:id="59"/>
    </w:p>
    <w:p w14:paraId="49EE0B83" w14:textId="77777777" w:rsidR="00D834D6" w:rsidRPr="003A416A" w:rsidRDefault="00D834D6" w:rsidP="001B635A">
      <w:pPr>
        <w:pStyle w:val="Default"/>
        <w:rPr>
          <w:rFonts w:asciiTheme="minorHAnsi" w:hAnsiTheme="minorHAnsi"/>
          <w:color w:val="auto"/>
          <w:sz w:val="22"/>
          <w:szCs w:val="22"/>
        </w:rPr>
      </w:pPr>
    </w:p>
    <w:p w14:paraId="22090E5C" w14:textId="0BEDBDC2" w:rsidR="00212E92" w:rsidRPr="003A416A" w:rsidRDefault="00B0124C" w:rsidP="001B635A">
      <w:pPr>
        <w:pStyle w:val="Default"/>
        <w:spacing w:line="276" w:lineRule="auto"/>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14:paraId="5078A135" w14:textId="77777777" w:rsidR="00212E92" w:rsidRDefault="00212E92" w:rsidP="001B635A">
      <w:pPr>
        <w:pStyle w:val="Default"/>
        <w:rPr>
          <w:rFonts w:asciiTheme="minorHAnsi" w:hAnsiTheme="minorHAnsi"/>
          <w:color w:val="auto"/>
          <w:sz w:val="22"/>
          <w:szCs w:val="22"/>
        </w:rPr>
      </w:pPr>
    </w:p>
    <w:p w14:paraId="778219C3" w14:textId="77777777" w:rsidR="00551D44" w:rsidRPr="003A416A" w:rsidRDefault="00551D44" w:rsidP="001B635A">
      <w:pPr>
        <w:pStyle w:val="Default"/>
        <w:rPr>
          <w:rFonts w:asciiTheme="minorHAnsi" w:hAnsiTheme="minorHAnsi"/>
          <w:color w:val="auto"/>
          <w:sz w:val="22"/>
          <w:szCs w:val="22"/>
        </w:rPr>
      </w:pPr>
    </w:p>
    <w:p w14:paraId="3ECD5A87" w14:textId="31EF21FA" w:rsidR="00B0124C" w:rsidRPr="00FC227E" w:rsidRDefault="00B0124C" w:rsidP="001B635A">
      <w:pPr>
        <w:pStyle w:val="Default"/>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14:paraId="6716B293" w14:textId="70A08498" w:rsidR="00212E92" w:rsidRPr="00FC227E" w:rsidRDefault="00C37BB7" w:rsidP="001B635A">
      <w:pPr>
        <w:pStyle w:val="Default"/>
        <w:rPr>
          <w:rFonts w:asciiTheme="minorHAnsi" w:hAnsiTheme="minorHAnsi"/>
          <w:color w:val="auto"/>
        </w:rPr>
      </w:pPr>
      <w:r w:rsidRPr="00FC227E">
        <w:rPr>
          <w:rFonts w:asciiTheme="minorHAnsi" w:eastAsia="Calibri" w:hAnsiTheme="minorHAnsi" w:cstheme="minorBidi"/>
          <w:b/>
          <w:color w:val="auto"/>
          <w:lang w:eastAsia="en-US"/>
        </w:rPr>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14:paraId="6CCDA0D1" w14:textId="171C50A3" w:rsidR="00212E92" w:rsidRPr="003A416A" w:rsidRDefault="00212E92" w:rsidP="001B635A">
      <w:pPr>
        <w:pStyle w:val="Default"/>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14:paraId="279F75F4" w14:textId="77777777" w:rsidR="00B0124C" w:rsidRPr="003A416A" w:rsidRDefault="00B0124C" w:rsidP="001B635A">
      <w:pPr>
        <w:pStyle w:val="Default"/>
        <w:rPr>
          <w:rFonts w:ascii="Calibri" w:hAnsi="Calibri"/>
          <w:color w:val="auto"/>
          <w:sz w:val="18"/>
          <w:szCs w:val="18"/>
        </w:rPr>
      </w:pPr>
    </w:p>
    <w:p w14:paraId="029242FB" w14:textId="77777777" w:rsidR="00006FAC" w:rsidRPr="003A416A" w:rsidRDefault="00006FAC" w:rsidP="001B635A">
      <w:pPr>
        <w:pStyle w:val="Default"/>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14:paraId="5AE1E5A9" w14:textId="2F398576" w:rsidR="00006FAC" w:rsidRPr="003A416A" w:rsidRDefault="00006FAC" w:rsidP="001B635A">
      <w:pPr>
        <w:pStyle w:val="Default"/>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14:paraId="2B7CC737" w14:textId="77777777" w:rsidR="00B0124C" w:rsidRPr="003A416A" w:rsidRDefault="00B0124C" w:rsidP="001B635A">
      <w:pPr>
        <w:pStyle w:val="Default"/>
        <w:rPr>
          <w:rFonts w:ascii="Calibri" w:hAnsi="Calibri"/>
          <w:color w:val="auto"/>
          <w:sz w:val="18"/>
          <w:szCs w:val="18"/>
        </w:rPr>
      </w:pPr>
    </w:p>
    <w:p w14:paraId="3E1845D9" w14:textId="77777777" w:rsidR="002741A1" w:rsidRPr="003A416A" w:rsidRDefault="002741A1" w:rsidP="001B635A">
      <w:pPr>
        <w:pStyle w:val="Default"/>
        <w:rPr>
          <w:rFonts w:ascii="Calibri" w:hAnsi="Calibri"/>
          <w:color w:val="auto"/>
          <w:sz w:val="18"/>
          <w:szCs w:val="18"/>
        </w:rPr>
      </w:pPr>
    </w:p>
    <w:p w14:paraId="0412B885"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t>Kwota alokacji do czasu rozstrzygnięcia naborów może ulec zmniejszeniu ze względu na pozytywnie rozpatrywane protesty w ramach działania.</w:t>
      </w:r>
    </w:p>
    <w:p w14:paraId="18318C8B" w14:textId="77777777" w:rsidR="00CD0351" w:rsidRPr="003A416A" w:rsidRDefault="00CD0351" w:rsidP="001B635A">
      <w:pPr>
        <w:pStyle w:val="Default"/>
        <w:spacing w:line="276" w:lineRule="auto"/>
        <w:rPr>
          <w:rFonts w:ascii="Calibri" w:hAnsi="Calibri"/>
          <w:color w:val="auto"/>
          <w:sz w:val="22"/>
          <w:szCs w:val="22"/>
        </w:rPr>
      </w:pPr>
    </w:p>
    <w:p w14:paraId="3EE4BD30" w14:textId="442FC60A" w:rsidR="00CD0351" w:rsidRPr="003A416A" w:rsidRDefault="00CD0351" w:rsidP="001B635A">
      <w:pPr>
        <w:tabs>
          <w:tab w:val="left" w:pos="3290"/>
        </w:tabs>
        <w:spacing w:after="0" w:line="276" w:lineRule="auto"/>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269073D" w14:textId="77777777" w:rsidR="00212E92" w:rsidRPr="003A416A" w:rsidRDefault="00212E92" w:rsidP="001B635A">
      <w:pPr>
        <w:tabs>
          <w:tab w:val="left" w:pos="3290"/>
        </w:tabs>
        <w:spacing w:after="0" w:line="240" w:lineRule="auto"/>
        <w:rPr>
          <w:rFonts w:eastAsia="Times New Roman" w:cs="Arial"/>
          <w:bCs/>
          <w:lang w:eastAsia="pl-PL"/>
        </w:rPr>
      </w:pPr>
    </w:p>
    <w:p w14:paraId="344E3B2F" w14:textId="77777777" w:rsidR="000B34CD" w:rsidRDefault="000B34CD" w:rsidP="001B635A">
      <w:pPr>
        <w:spacing w:before="120" w:after="120" w:line="240" w:lineRule="auto"/>
        <w:contextualSpacing/>
        <w:rPr>
          <w:b/>
          <w:bCs/>
        </w:rPr>
      </w:pPr>
    </w:p>
    <w:p w14:paraId="3841415F" w14:textId="77777777" w:rsidR="000B34CD" w:rsidRDefault="000B34CD" w:rsidP="001B635A">
      <w:pPr>
        <w:spacing w:before="120" w:after="120" w:line="240" w:lineRule="auto"/>
        <w:contextualSpacing/>
        <w:rPr>
          <w:b/>
          <w:bCs/>
        </w:rPr>
      </w:pPr>
    </w:p>
    <w:p w14:paraId="1C496323" w14:textId="50B35C6E" w:rsidR="00FF7722" w:rsidRPr="003A416A" w:rsidRDefault="004639AA" w:rsidP="001B635A">
      <w:pPr>
        <w:spacing w:before="120" w:after="120" w:line="240" w:lineRule="auto"/>
        <w:contextualSpacing/>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14:paraId="12A7F692" w14:textId="77777777" w:rsidR="00D50A19" w:rsidRPr="003A416A" w:rsidRDefault="00D50A19" w:rsidP="001B635A">
      <w:pPr>
        <w:tabs>
          <w:tab w:val="left" w:pos="3290"/>
        </w:tabs>
        <w:spacing w:after="0" w:line="240" w:lineRule="auto"/>
        <w:rPr>
          <w:rFonts w:eastAsia="Times New Roman" w:cs="Arial"/>
          <w:b/>
          <w:bCs/>
          <w:lang w:eastAsia="pl-PL"/>
        </w:rPr>
      </w:pPr>
    </w:p>
    <w:p w14:paraId="38306BC4" w14:textId="20022FB5" w:rsidR="00D840D4" w:rsidRPr="003A416A" w:rsidRDefault="00FF7722" w:rsidP="001B635A">
      <w:pPr>
        <w:tabs>
          <w:tab w:val="left" w:pos="3290"/>
        </w:tabs>
        <w:spacing w:after="0" w:line="240" w:lineRule="auto"/>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14:paraId="0EA327A8" w14:textId="77777777" w:rsidR="00D50A19" w:rsidRPr="003A416A" w:rsidRDefault="00D50A19" w:rsidP="001B635A">
      <w:pPr>
        <w:tabs>
          <w:tab w:val="left" w:pos="3290"/>
        </w:tabs>
        <w:spacing w:after="0" w:line="240" w:lineRule="auto"/>
        <w:rPr>
          <w:rFonts w:eastAsia="Times New Roman" w:cs="Arial"/>
          <w:b/>
          <w:bCs/>
          <w:lang w:eastAsia="pl-PL"/>
        </w:rPr>
      </w:pPr>
    </w:p>
    <w:p w14:paraId="6977D6F2" w14:textId="77777777" w:rsidR="00FF7722" w:rsidRPr="003A416A" w:rsidRDefault="00FF7722" w:rsidP="001B635A">
      <w:pPr>
        <w:tabs>
          <w:tab w:val="left" w:pos="3290"/>
        </w:tabs>
        <w:spacing w:after="0" w:line="240" w:lineRule="auto"/>
        <w:rPr>
          <w:rFonts w:eastAsia="Times New Roman" w:cs="Arial"/>
          <w:b/>
          <w:bCs/>
          <w:lang w:eastAsia="pl-PL"/>
        </w:rPr>
      </w:pPr>
    </w:p>
    <w:p w14:paraId="34A2FD4B" w14:textId="0EECE4BC" w:rsidR="00212E92" w:rsidRPr="003A416A" w:rsidRDefault="00212E92" w:rsidP="001B635A">
      <w:pPr>
        <w:rPr>
          <w:rFonts w:ascii="Calibri" w:hAnsi="Calibri"/>
          <w:u w:val="single"/>
        </w:rPr>
      </w:pPr>
      <w:r w:rsidRPr="003A416A">
        <w:rPr>
          <w:rFonts w:ascii="Calibri" w:hAnsi="Calibri"/>
          <w:u w:val="single"/>
        </w:rPr>
        <w:t xml:space="preserve">IOK rekomenduje przyjąć termin zakończenia realizacji projektu do </w:t>
      </w:r>
      <w:r w:rsidR="0081548D">
        <w:rPr>
          <w:rFonts w:ascii="Calibri" w:hAnsi="Calibri"/>
          <w:u w:val="single"/>
        </w:rPr>
        <w:t xml:space="preserve">31 maja </w:t>
      </w:r>
      <w:r w:rsidR="00FF7722" w:rsidRPr="003A416A">
        <w:rPr>
          <w:rFonts w:ascii="Calibri" w:hAnsi="Calibri"/>
          <w:u w:val="single"/>
        </w:rPr>
        <w:t xml:space="preserve"> </w:t>
      </w:r>
      <w:r w:rsidRPr="003A416A">
        <w:rPr>
          <w:rFonts w:ascii="Calibri" w:hAnsi="Calibri"/>
          <w:u w:val="single"/>
        </w:rPr>
        <w:t>202</w:t>
      </w:r>
      <w:r w:rsidR="001105B1" w:rsidRPr="003A416A">
        <w:rPr>
          <w:rFonts w:ascii="Calibri" w:hAnsi="Calibri"/>
          <w:u w:val="single"/>
        </w:rPr>
        <w:t>3</w:t>
      </w:r>
      <w:r w:rsidRPr="003A416A">
        <w:rPr>
          <w:rFonts w:ascii="Calibri" w:hAnsi="Calibri"/>
          <w:u w:val="single"/>
        </w:rPr>
        <w:t xml:space="preserve"> r. </w:t>
      </w:r>
    </w:p>
    <w:p w14:paraId="71A5E18B" w14:textId="6FABA62D" w:rsidR="00212E92" w:rsidRPr="003A416A" w:rsidRDefault="00212E92" w:rsidP="001B635A">
      <w:pPr>
        <w:autoSpaceDE w:val="0"/>
        <w:autoSpaceDN w:val="0"/>
        <w:spacing w:line="252" w:lineRule="auto"/>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14:paraId="2713079B" w14:textId="77777777" w:rsidR="008647E2" w:rsidRPr="003A416A" w:rsidRDefault="008647E2" w:rsidP="001B635A">
      <w:pPr>
        <w:autoSpaceDE w:val="0"/>
        <w:autoSpaceDN w:val="0"/>
        <w:spacing w:line="252" w:lineRule="auto"/>
      </w:pPr>
    </w:p>
    <w:p w14:paraId="03CA736E" w14:textId="77777777" w:rsidR="00212E92" w:rsidRPr="003A416A" w:rsidRDefault="00212E92" w:rsidP="001B635A">
      <w:pPr>
        <w:tabs>
          <w:tab w:val="left" w:pos="3290"/>
        </w:tabs>
        <w:spacing w:after="0" w:line="276" w:lineRule="auto"/>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14:paraId="49923673" w14:textId="77777777" w:rsidR="00AE7894" w:rsidRPr="003A416A" w:rsidRDefault="00AE7894" w:rsidP="001B635A">
      <w:pPr>
        <w:widowControl w:val="0"/>
        <w:spacing w:after="0" w:line="360" w:lineRule="auto"/>
      </w:pPr>
    </w:p>
    <w:p w14:paraId="09E2DD77" w14:textId="77777777" w:rsidR="00967C30" w:rsidRPr="003A416A" w:rsidRDefault="00967C30" w:rsidP="001B635A">
      <w:pPr>
        <w:pStyle w:val="Nagwek1"/>
      </w:pPr>
      <w:bookmarkStart w:id="60" w:name="_Toc499633788"/>
      <w:bookmarkStart w:id="61" w:name="_Toc20832238"/>
      <w:r w:rsidRPr="003A416A">
        <w:t>1</w:t>
      </w:r>
      <w:r w:rsidR="00F14D36" w:rsidRPr="003A416A">
        <w:t>6</w:t>
      </w:r>
      <w:r w:rsidRPr="003A416A">
        <w:t xml:space="preserve">. </w:t>
      </w:r>
      <w:bookmarkEnd w:id="60"/>
      <w:r w:rsidRPr="003A416A">
        <w:t>Maksymalny dopuszczalny poziom dofinansowania projektu lub maksymalna intensywność pomocy</w:t>
      </w:r>
      <w:bookmarkEnd w:id="61"/>
    </w:p>
    <w:p w14:paraId="5F56C411" w14:textId="77777777" w:rsidR="00967C30" w:rsidRPr="003A416A" w:rsidRDefault="00967C30" w:rsidP="001B635A">
      <w:pPr>
        <w:widowControl w:val="0"/>
        <w:spacing w:after="0" w:line="360" w:lineRule="auto"/>
      </w:pPr>
    </w:p>
    <w:p w14:paraId="26786DF4" w14:textId="3066595C" w:rsidR="00D65E30" w:rsidRPr="003A416A" w:rsidRDefault="00D65E30" w:rsidP="001B635A">
      <w:pPr>
        <w:snapToGrid w:val="0"/>
        <w:spacing w:line="276" w:lineRule="auto"/>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14:paraId="29DF31BB" w14:textId="5CC80DE0" w:rsidR="00D50A19" w:rsidRPr="003A416A" w:rsidRDefault="00D50A19" w:rsidP="001B635A">
      <w:pPr>
        <w:widowControl w:val="0"/>
        <w:suppressAutoHyphens/>
        <w:autoSpaceDE w:val="0"/>
        <w:autoSpaceDN w:val="0"/>
        <w:adjustRightInd w:val="0"/>
        <w:spacing w:before="120"/>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w zakresie zagadnień związanych z przygotowaniem projektów inwestycyjnych, w tym projektów generujących dochód i projektów hybrydowych na lata 2014-2020</w:t>
      </w:r>
      <w:r w:rsidRPr="003A416A">
        <w:rPr>
          <w:bCs/>
        </w:rPr>
        <w:t>.</w:t>
      </w:r>
    </w:p>
    <w:p w14:paraId="283306A6" w14:textId="168418D4" w:rsidR="00F75954" w:rsidRPr="003A416A" w:rsidRDefault="004055D9" w:rsidP="001B635A">
      <w:pPr>
        <w:snapToGrid w:val="0"/>
        <w:spacing w:line="276" w:lineRule="auto"/>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14:paraId="5672B15A" w14:textId="28B04B71" w:rsidR="00F75954" w:rsidRPr="003A416A" w:rsidRDefault="00F75954" w:rsidP="001B635A">
      <w:pPr>
        <w:pStyle w:val="Akapitzlist"/>
        <w:numPr>
          <w:ilvl w:val="0"/>
          <w:numId w:val="30"/>
        </w:numPr>
        <w:jc w:val="left"/>
      </w:pPr>
      <w:r w:rsidRPr="003A416A">
        <w:t xml:space="preserve">dla kosztów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14:paraId="61A23557" w14:textId="40EA6D1E" w:rsidR="008647E2" w:rsidRPr="003A416A" w:rsidRDefault="008647E2" w:rsidP="001B635A">
      <w:pPr>
        <w:ind w:left="720"/>
      </w:pPr>
      <w:r w:rsidRPr="003A416A">
        <w:t>oraz</w:t>
      </w:r>
    </w:p>
    <w:p w14:paraId="78644E1C" w14:textId="6ED4FFCF" w:rsidR="00F75954" w:rsidRPr="003A416A" w:rsidRDefault="00F75954" w:rsidP="001B635A">
      <w:pPr>
        <w:pStyle w:val="Akapitzlist"/>
        <w:numPr>
          <w:ilvl w:val="0"/>
          <w:numId w:val="30"/>
        </w:numPr>
        <w:jc w:val="left"/>
      </w:pPr>
      <w:r w:rsidRPr="003A416A">
        <w:lastRenderedPageBreak/>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14:paraId="441C13AB" w14:textId="77777777" w:rsidR="008647E2" w:rsidRPr="003A416A" w:rsidRDefault="008647E2" w:rsidP="001B635A">
      <w:pPr>
        <w:ind w:left="360"/>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C0B2971" w14:textId="77777777" w:rsidTr="001901F0">
        <w:trPr>
          <w:trHeight w:val="616"/>
        </w:trPr>
        <w:tc>
          <w:tcPr>
            <w:tcW w:w="1960" w:type="dxa"/>
            <w:vAlign w:val="center"/>
          </w:tcPr>
          <w:p w14:paraId="4941AD16" w14:textId="77777777" w:rsidR="00F75954" w:rsidRPr="003A416A" w:rsidRDefault="00F75954" w:rsidP="001B635A">
            <w:pPr>
              <w:rPr>
                <w:b/>
              </w:rPr>
            </w:pPr>
            <w:r w:rsidRPr="003A416A">
              <w:rPr>
                <w:b/>
              </w:rPr>
              <w:t>Przedsiębiorca</w:t>
            </w:r>
          </w:p>
        </w:tc>
        <w:tc>
          <w:tcPr>
            <w:tcW w:w="3110" w:type="dxa"/>
            <w:vAlign w:val="center"/>
          </w:tcPr>
          <w:p w14:paraId="779A0DAA" w14:textId="77777777" w:rsidR="00F75954" w:rsidRPr="003A416A" w:rsidRDefault="00F75954" w:rsidP="001B635A">
            <w:pPr>
              <w:rPr>
                <w:b/>
              </w:rPr>
            </w:pPr>
            <w:r w:rsidRPr="003A416A">
              <w:rPr>
                <w:b/>
              </w:rPr>
              <w:t>Maksymalne dofinansowanie</w:t>
            </w:r>
          </w:p>
        </w:tc>
      </w:tr>
      <w:tr w:rsidR="00F75954" w:rsidRPr="003A416A" w14:paraId="181E8087" w14:textId="77777777" w:rsidTr="001901F0">
        <w:trPr>
          <w:trHeight w:val="157"/>
        </w:trPr>
        <w:tc>
          <w:tcPr>
            <w:tcW w:w="1960" w:type="dxa"/>
            <w:vAlign w:val="center"/>
          </w:tcPr>
          <w:p w14:paraId="0341C978" w14:textId="77777777" w:rsidR="00F75954" w:rsidRPr="003A416A" w:rsidRDefault="00F75954" w:rsidP="001B635A">
            <w:r w:rsidRPr="003A416A">
              <w:t>Mikro</w:t>
            </w:r>
          </w:p>
        </w:tc>
        <w:tc>
          <w:tcPr>
            <w:tcW w:w="3110" w:type="dxa"/>
            <w:vAlign w:val="center"/>
          </w:tcPr>
          <w:p w14:paraId="0DDAA5FD" w14:textId="77777777" w:rsidR="00F75954" w:rsidRPr="003A416A" w:rsidRDefault="00F75954" w:rsidP="001B635A">
            <w:pPr>
              <w:tabs>
                <w:tab w:val="left" w:pos="315"/>
                <w:tab w:val="center" w:pos="733"/>
              </w:tabs>
            </w:pPr>
            <w:r w:rsidRPr="003A416A">
              <w:t>80%</w:t>
            </w:r>
          </w:p>
        </w:tc>
      </w:tr>
      <w:tr w:rsidR="00F75954" w:rsidRPr="003A416A" w14:paraId="09E76276" w14:textId="77777777" w:rsidTr="001901F0">
        <w:trPr>
          <w:trHeight w:val="209"/>
        </w:trPr>
        <w:tc>
          <w:tcPr>
            <w:tcW w:w="1960" w:type="dxa"/>
            <w:vAlign w:val="center"/>
          </w:tcPr>
          <w:p w14:paraId="65358C90" w14:textId="77777777" w:rsidR="00F75954" w:rsidRPr="003A416A" w:rsidRDefault="00F75954" w:rsidP="001B635A">
            <w:r w:rsidRPr="003A416A">
              <w:t>Mały</w:t>
            </w:r>
          </w:p>
        </w:tc>
        <w:tc>
          <w:tcPr>
            <w:tcW w:w="3110" w:type="dxa"/>
            <w:vAlign w:val="center"/>
          </w:tcPr>
          <w:p w14:paraId="525E6221" w14:textId="77777777" w:rsidR="00F75954" w:rsidRPr="003A416A" w:rsidRDefault="00F75954" w:rsidP="001B635A">
            <w:r w:rsidRPr="003A416A">
              <w:t>80%</w:t>
            </w:r>
          </w:p>
        </w:tc>
      </w:tr>
      <w:tr w:rsidR="00F75954" w:rsidRPr="003A416A" w14:paraId="1891BF9E" w14:textId="77777777" w:rsidTr="001901F0">
        <w:trPr>
          <w:trHeight w:val="262"/>
        </w:trPr>
        <w:tc>
          <w:tcPr>
            <w:tcW w:w="1960" w:type="dxa"/>
            <w:vAlign w:val="center"/>
          </w:tcPr>
          <w:p w14:paraId="0CB8ED83" w14:textId="77777777" w:rsidR="00F75954" w:rsidRPr="003A416A" w:rsidRDefault="00F75954" w:rsidP="001B635A">
            <w:r w:rsidRPr="003A416A">
              <w:t>Średni</w:t>
            </w:r>
          </w:p>
        </w:tc>
        <w:tc>
          <w:tcPr>
            <w:tcW w:w="3110" w:type="dxa"/>
            <w:vAlign w:val="center"/>
          </w:tcPr>
          <w:p w14:paraId="2D7C6740" w14:textId="77777777" w:rsidR="00F75954" w:rsidRPr="003A416A" w:rsidRDefault="00F75954" w:rsidP="001B635A">
            <w:r w:rsidRPr="003A416A">
              <w:t>70%</w:t>
            </w:r>
          </w:p>
        </w:tc>
      </w:tr>
      <w:tr w:rsidR="00F75954" w:rsidRPr="003A416A" w14:paraId="5AA672FF" w14:textId="77777777" w:rsidTr="001901F0">
        <w:trPr>
          <w:trHeight w:val="190"/>
        </w:trPr>
        <w:tc>
          <w:tcPr>
            <w:tcW w:w="1960" w:type="dxa"/>
            <w:vAlign w:val="center"/>
          </w:tcPr>
          <w:p w14:paraId="2A70E12C" w14:textId="77777777" w:rsidR="00F75954" w:rsidRPr="003A416A" w:rsidRDefault="00F75954" w:rsidP="001B635A">
            <w:r w:rsidRPr="003A416A">
              <w:t>Duży</w:t>
            </w:r>
          </w:p>
        </w:tc>
        <w:tc>
          <w:tcPr>
            <w:tcW w:w="3110" w:type="dxa"/>
            <w:vAlign w:val="center"/>
          </w:tcPr>
          <w:p w14:paraId="477B277B" w14:textId="77777777" w:rsidR="00F75954" w:rsidRPr="003A416A" w:rsidRDefault="00F75954" w:rsidP="001B635A">
            <w:r w:rsidRPr="003A416A">
              <w:t>60%</w:t>
            </w:r>
          </w:p>
        </w:tc>
      </w:tr>
    </w:tbl>
    <w:p w14:paraId="4598F3DB" w14:textId="77777777" w:rsidR="00F75954" w:rsidRPr="003A416A" w:rsidRDefault="00F75954" w:rsidP="001B635A">
      <w:pPr>
        <w:snapToGrid w:val="0"/>
        <w:spacing w:line="276" w:lineRule="auto"/>
        <w:rPr>
          <w:rFonts w:eastAsia="Times New Roman" w:cs="Arial"/>
          <w:b/>
          <w:kern w:val="2"/>
        </w:rPr>
      </w:pPr>
    </w:p>
    <w:p w14:paraId="17CFFB64" w14:textId="77777777" w:rsidR="00F75954" w:rsidRPr="003A416A" w:rsidRDefault="00F75954" w:rsidP="001B635A">
      <w:pPr>
        <w:snapToGrid w:val="0"/>
        <w:spacing w:line="276" w:lineRule="auto"/>
        <w:rPr>
          <w:rFonts w:eastAsia="Times New Roman" w:cs="Arial"/>
          <w:b/>
          <w:kern w:val="2"/>
        </w:rPr>
      </w:pPr>
    </w:p>
    <w:p w14:paraId="3FAE17B5" w14:textId="77777777" w:rsidR="00D65E30" w:rsidRPr="003A416A" w:rsidRDefault="00D65E30" w:rsidP="001B635A">
      <w:pPr>
        <w:spacing w:line="276" w:lineRule="auto"/>
        <w:rPr>
          <w:rFonts w:ascii="Calibri" w:eastAsia="Times New Roman" w:hAnsi="Calibri"/>
          <w:b/>
          <w:kern w:val="1"/>
        </w:rPr>
      </w:pPr>
    </w:p>
    <w:p w14:paraId="174CFCC4" w14:textId="77777777" w:rsidR="00D65E30" w:rsidRPr="003A416A" w:rsidRDefault="00D65E30" w:rsidP="001B635A">
      <w:pPr>
        <w:spacing w:line="276" w:lineRule="auto"/>
        <w:rPr>
          <w:rFonts w:ascii="Calibri" w:eastAsia="Times New Roman" w:hAnsi="Calibri"/>
          <w:b/>
          <w:kern w:val="1"/>
        </w:rPr>
      </w:pPr>
    </w:p>
    <w:p w14:paraId="30DC49DA" w14:textId="5D7AD188" w:rsidR="00F75954" w:rsidRPr="003A416A" w:rsidRDefault="00F75954" w:rsidP="001B635A">
      <w:pPr>
        <w:ind w:left="567"/>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14:paraId="7F899A1B" w14:textId="77777777" w:rsidR="00D65E30" w:rsidRPr="003A416A" w:rsidRDefault="00D65E30" w:rsidP="001B635A">
      <w:pPr>
        <w:spacing w:line="276" w:lineRule="auto"/>
        <w:rPr>
          <w:rFonts w:ascii="Calibri" w:eastAsia="Times New Roman" w:hAnsi="Calibri"/>
          <w:b/>
          <w:kern w:val="1"/>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45F4F8C" w14:textId="77777777" w:rsidTr="001901F0">
        <w:trPr>
          <w:trHeight w:val="616"/>
        </w:trPr>
        <w:tc>
          <w:tcPr>
            <w:tcW w:w="1960" w:type="dxa"/>
            <w:vAlign w:val="center"/>
          </w:tcPr>
          <w:p w14:paraId="02E797E6" w14:textId="77777777" w:rsidR="00F75954" w:rsidRPr="003A416A" w:rsidRDefault="00F75954" w:rsidP="001B635A">
            <w:pPr>
              <w:rPr>
                <w:b/>
              </w:rPr>
            </w:pPr>
            <w:r w:rsidRPr="003A416A">
              <w:rPr>
                <w:b/>
              </w:rPr>
              <w:t>Przedsiębiorca</w:t>
            </w:r>
          </w:p>
        </w:tc>
        <w:tc>
          <w:tcPr>
            <w:tcW w:w="3110" w:type="dxa"/>
            <w:vAlign w:val="center"/>
          </w:tcPr>
          <w:p w14:paraId="09BAF540" w14:textId="77777777" w:rsidR="00F75954" w:rsidRPr="003A416A" w:rsidRDefault="00F75954" w:rsidP="001B635A">
            <w:pPr>
              <w:rPr>
                <w:b/>
              </w:rPr>
            </w:pPr>
            <w:r w:rsidRPr="003A416A">
              <w:rPr>
                <w:b/>
              </w:rPr>
              <w:t>Maksymalne dofinansowanie</w:t>
            </w:r>
          </w:p>
        </w:tc>
      </w:tr>
      <w:tr w:rsidR="00F75954" w:rsidRPr="003A416A" w14:paraId="3A5C1BD2" w14:textId="77777777" w:rsidTr="001901F0">
        <w:trPr>
          <w:trHeight w:val="157"/>
        </w:trPr>
        <w:tc>
          <w:tcPr>
            <w:tcW w:w="1960" w:type="dxa"/>
            <w:vAlign w:val="center"/>
          </w:tcPr>
          <w:p w14:paraId="377BA0A4" w14:textId="77777777" w:rsidR="00F75954" w:rsidRPr="003A416A" w:rsidRDefault="00F75954" w:rsidP="001B635A">
            <w:r w:rsidRPr="003A416A">
              <w:t>Mikro</w:t>
            </w:r>
          </w:p>
        </w:tc>
        <w:tc>
          <w:tcPr>
            <w:tcW w:w="3110" w:type="dxa"/>
            <w:vAlign w:val="center"/>
          </w:tcPr>
          <w:p w14:paraId="1CCE88A0" w14:textId="77777777" w:rsidR="00F75954" w:rsidRPr="003A416A" w:rsidRDefault="00F75954" w:rsidP="001B635A">
            <w:pPr>
              <w:tabs>
                <w:tab w:val="left" w:pos="315"/>
                <w:tab w:val="center" w:pos="733"/>
              </w:tabs>
            </w:pPr>
            <w:r w:rsidRPr="003A416A">
              <w:t>65%</w:t>
            </w:r>
          </w:p>
        </w:tc>
      </w:tr>
      <w:tr w:rsidR="00F75954" w:rsidRPr="003A416A" w14:paraId="0285F871" w14:textId="77777777" w:rsidTr="001901F0">
        <w:trPr>
          <w:trHeight w:val="209"/>
        </w:trPr>
        <w:tc>
          <w:tcPr>
            <w:tcW w:w="1960" w:type="dxa"/>
            <w:vAlign w:val="center"/>
          </w:tcPr>
          <w:p w14:paraId="7AA41BE1" w14:textId="77777777" w:rsidR="00F75954" w:rsidRPr="003A416A" w:rsidRDefault="00F75954" w:rsidP="001B635A">
            <w:r w:rsidRPr="003A416A">
              <w:t>Mały</w:t>
            </w:r>
          </w:p>
        </w:tc>
        <w:tc>
          <w:tcPr>
            <w:tcW w:w="3110" w:type="dxa"/>
            <w:vAlign w:val="center"/>
          </w:tcPr>
          <w:p w14:paraId="04CE89B8" w14:textId="77777777" w:rsidR="00F75954" w:rsidRPr="003A416A" w:rsidRDefault="00F75954" w:rsidP="001B635A">
            <w:r w:rsidRPr="003A416A">
              <w:t>65%</w:t>
            </w:r>
          </w:p>
        </w:tc>
      </w:tr>
      <w:tr w:rsidR="00F75954" w:rsidRPr="003A416A" w14:paraId="091AA81C" w14:textId="77777777" w:rsidTr="001901F0">
        <w:trPr>
          <w:trHeight w:val="262"/>
        </w:trPr>
        <w:tc>
          <w:tcPr>
            <w:tcW w:w="1960" w:type="dxa"/>
            <w:vAlign w:val="center"/>
          </w:tcPr>
          <w:p w14:paraId="6898BB0D" w14:textId="77777777" w:rsidR="00F75954" w:rsidRPr="003A416A" w:rsidRDefault="00F75954" w:rsidP="001B635A">
            <w:r w:rsidRPr="003A416A">
              <w:t>Średni</w:t>
            </w:r>
          </w:p>
        </w:tc>
        <w:tc>
          <w:tcPr>
            <w:tcW w:w="3110" w:type="dxa"/>
            <w:vAlign w:val="center"/>
          </w:tcPr>
          <w:p w14:paraId="464CBDD0" w14:textId="77777777" w:rsidR="00F75954" w:rsidRPr="003A416A" w:rsidRDefault="00F75954" w:rsidP="001B635A">
            <w:r w:rsidRPr="003A416A">
              <w:t>55%</w:t>
            </w:r>
          </w:p>
        </w:tc>
      </w:tr>
      <w:tr w:rsidR="00F75954" w:rsidRPr="003A416A" w14:paraId="59CDCA94" w14:textId="77777777" w:rsidTr="001901F0">
        <w:trPr>
          <w:trHeight w:val="190"/>
        </w:trPr>
        <w:tc>
          <w:tcPr>
            <w:tcW w:w="1960" w:type="dxa"/>
            <w:vAlign w:val="center"/>
          </w:tcPr>
          <w:p w14:paraId="5EB001F4" w14:textId="77777777" w:rsidR="00F75954" w:rsidRPr="003A416A" w:rsidRDefault="00F75954" w:rsidP="001B635A">
            <w:r w:rsidRPr="003A416A">
              <w:t>Duży</w:t>
            </w:r>
          </w:p>
        </w:tc>
        <w:tc>
          <w:tcPr>
            <w:tcW w:w="3110" w:type="dxa"/>
            <w:vAlign w:val="center"/>
          </w:tcPr>
          <w:p w14:paraId="2147C7EE" w14:textId="77777777" w:rsidR="00F75954" w:rsidRPr="003A416A" w:rsidRDefault="00F75954" w:rsidP="001B635A">
            <w:r w:rsidRPr="003A416A">
              <w:t>45%</w:t>
            </w:r>
          </w:p>
        </w:tc>
      </w:tr>
    </w:tbl>
    <w:p w14:paraId="236C0AD0" w14:textId="77777777" w:rsidR="00F75954" w:rsidRPr="003A416A" w:rsidRDefault="00F75954" w:rsidP="001B635A">
      <w:pPr>
        <w:spacing w:line="276" w:lineRule="auto"/>
        <w:rPr>
          <w:rFonts w:ascii="Calibri" w:eastAsia="Times New Roman" w:hAnsi="Calibri"/>
          <w:b/>
          <w:kern w:val="1"/>
        </w:rPr>
      </w:pPr>
    </w:p>
    <w:p w14:paraId="5CE9F2C5" w14:textId="77777777" w:rsidR="00D65E30" w:rsidRPr="003A416A" w:rsidRDefault="00D65E30" w:rsidP="001B635A">
      <w:pPr>
        <w:spacing w:line="276" w:lineRule="auto"/>
        <w:rPr>
          <w:rFonts w:ascii="Calibri" w:eastAsia="Times New Roman" w:hAnsi="Calibri"/>
          <w:b/>
          <w:kern w:val="1"/>
        </w:rPr>
      </w:pPr>
    </w:p>
    <w:p w14:paraId="16135E3D" w14:textId="77777777" w:rsidR="00D65E30" w:rsidRPr="003A416A" w:rsidRDefault="00D65E30" w:rsidP="001B635A">
      <w:pPr>
        <w:spacing w:line="276" w:lineRule="auto"/>
        <w:rPr>
          <w:rFonts w:ascii="Calibri" w:eastAsia="Times New Roman" w:hAnsi="Calibri"/>
          <w:b/>
          <w:kern w:val="1"/>
        </w:rPr>
      </w:pPr>
    </w:p>
    <w:p w14:paraId="4F0BC712" w14:textId="77777777" w:rsidR="00BB2FF3" w:rsidRPr="003A416A" w:rsidRDefault="00BB2FF3" w:rsidP="001B635A">
      <w:pPr>
        <w:spacing w:line="276" w:lineRule="auto"/>
      </w:pPr>
    </w:p>
    <w:p w14:paraId="7ADE6875" w14:textId="3FC8CDA8" w:rsidR="00BB2FF3" w:rsidRPr="003A416A" w:rsidRDefault="00BB2FF3" w:rsidP="001B635A">
      <w:pPr>
        <w:spacing w:after="0" w:line="276" w:lineRule="auto"/>
        <w:rPr>
          <w:b/>
        </w:rPr>
      </w:pPr>
      <w:r w:rsidRPr="003A416A">
        <w:rPr>
          <w:b/>
        </w:rPr>
        <w:t>UWAGA:</w:t>
      </w:r>
    </w:p>
    <w:p w14:paraId="664D8750" w14:textId="23D4DF93" w:rsidR="00F75954" w:rsidRPr="003A416A" w:rsidRDefault="00F75954" w:rsidP="001B635A">
      <w:pPr>
        <w:spacing w:after="0" w:line="276" w:lineRule="auto"/>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14:paraId="7C924660" w14:textId="77777777" w:rsidR="0092641C" w:rsidRPr="003A416A" w:rsidRDefault="0092641C" w:rsidP="001B635A">
      <w:pPr>
        <w:snapToGrid w:val="0"/>
        <w:spacing w:line="276" w:lineRule="auto"/>
        <w:rPr>
          <w:rFonts w:ascii="Calibri" w:eastAsia="Times New Roman" w:hAnsi="Calibri"/>
          <w:b/>
          <w:kern w:val="1"/>
        </w:rPr>
      </w:pPr>
    </w:p>
    <w:p w14:paraId="7CFF988D" w14:textId="68EA260D" w:rsidR="00BB2FF3" w:rsidRPr="003A416A" w:rsidRDefault="00BB2FF3" w:rsidP="001B635A">
      <w:pPr>
        <w:snapToGrid w:val="0"/>
        <w:spacing w:line="276" w:lineRule="auto"/>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14:paraId="57828CF2" w14:textId="77777777" w:rsidR="0081548D" w:rsidRPr="00DB74A0" w:rsidRDefault="0081548D" w:rsidP="001B635A">
      <w:pPr>
        <w:autoSpaceDE w:val="0"/>
        <w:autoSpaceDN w:val="0"/>
        <w:adjustRightInd w:val="0"/>
        <w:spacing w:after="0" w:line="276" w:lineRule="auto"/>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14:paraId="46660345" w14:textId="77777777" w:rsidR="0081548D" w:rsidRPr="00DB74A0" w:rsidRDefault="0081548D" w:rsidP="001B635A">
      <w:pPr>
        <w:autoSpaceDE w:val="0"/>
        <w:autoSpaceDN w:val="0"/>
        <w:adjustRightInd w:val="0"/>
        <w:spacing w:after="0" w:line="276" w:lineRule="auto"/>
        <w:rPr>
          <w:rFonts w:cs="Arial"/>
        </w:rPr>
      </w:pPr>
      <w:r w:rsidRPr="00DB74A0">
        <w:rPr>
          <w:rFonts w:cs="Arial"/>
        </w:rPr>
        <w:t xml:space="preserve">Zysk operacyjny odlicza się od kosztów kwalifikowalnych ex ante. </w:t>
      </w:r>
    </w:p>
    <w:p w14:paraId="5298425C" w14:textId="77777777" w:rsidR="0081548D" w:rsidRPr="00DB74A0" w:rsidRDefault="0081548D" w:rsidP="001B635A">
      <w:pPr>
        <w:autoSpaceDE w:val="0"/>
        <w:autoSpaceDN w:val="0"/>
        <w:adjustRightInd w:val="0"/>
        <w:spacing w:after="0" w:line="276" w:lineRule="auto"/>
        <w:rPr>
          <w:rFonts w:cs="Arial"/>
        </w:rPr>
      </w:pPr>
    </w:p>
    <w:p w14:paraId="3636AA86" w14:textId="77777777" w:rsidR="0081548D" w:rsidRPr="00DB74A0" w:rsidRDefault="0081548D" w:rsidP="001B635A">
      <w:pPr>
        <w:autoSpaceDE w:val="0"/>
        <w:autoSpaceDN w:val="0"/>
        <w:adjustRightInd w:val="0"/>
        <w:spacing w:after="0" w:line="276" w:lineRule="auto"/>
        <w:rPr>
          <w:rFonts w:cs="Arial"/>
        </w:rPr>
      </w:pPr>
      <w:r w:rsidRPr="00DB74A0">
        <w:rPr>
          <w:rFonts w:cs="Arial"/>
        </w:rPr>
        <w:lastRenderedPageBreak/>
        <w:t>„Zysk operacyjny” oznacza różnicę między zdyskontowanymi dochodami a zdyskontowanymi kosztami operacyjnymi w ekonomicznym cyklu życia inwestycji</w:t>
      </w:r>
      <w:r w:rsidRPr="00DB74A0">
        <w:rPr>
          <w:rStyle w:val="Odwoanieprzypisudolnego"/>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Odwoanieprzypisudolnego"/>
          <w:rFonts w:cs="Arial"/>
        </w:rPr>
        <w:footnoteReference w:id="4"/>
      </w:r>
      <w:r w:rsidRPr="00DB74A0">
        <w:rPr>
          <w:rFonts w:cs="Arial"/>
        </w:rPr>
        <w:t xml:space="preserve"> .</w:t>
      </w:r>
    </w:p>
    <w:p w14:paraId="6A38AE1E" w14:textId="77777777" w:rsidR="0081548D" w:rsidRPr="00DB74A0" w:rsidRDefault="0081548D" w:rsidP="001B635A">
      <w:pPr>
        <w:autoSpaceDE w:val="0"/>
        <w:autoSpaceDN w:val="0"/>
        <w:adjustRightInd w:val="0"/>
        <w:spacing w:after="0" w:line="276" w:lineRule="auto"/>
        <w:rPr>
          <w:rFonts w:cs="Arial"/>
        </w:rPr>
      </w:pPr>
      <w:r w:rsidRPr="00DB74A0">
        <w:rPr>
          <w:rFonts w:cs="Arial"/>
        </w:rPr>
        <w:t>Wszystkie kwoty uwzględniane przy obliczaniu powinny być kwotami przed potrąceniem podatku lub innych opłat.</w:t>
      </w:r>
    </w:p>
    <w:p w14:paraId="1B7CB421" w14:textId="77777777" w:rsidR="0081548D" w:rsidRPr="00DB74A0" w:rsidRDefault="0081548D" w:rsidP="001B635A">
      <w:pPr>
        <w:autoSpaceDE w:val="0"/>
        <w:autoSpaceDN w:val="0"/>
        <w:adjustRightInd w:val="0"/>
        <w:spacing w:after="0" w:line="276" w:lineRule="auto"/>
        <w:rPr>
          <w:rFonts w:cs="Arial"/>
        </w:rPr>
      </w:pPr>
    </w:p>
    <w:p w14:paraId="19E5E475" w14:textId="5DDBEC36" w:rsidR="0081548D" w:rsidRDefault="0081548D" w:rsidP="001B635A">
      <w:pPr>
        <w:autoSpaceDE w:val="0"/>
        <w:autoSpaceDN w:val="0"/>
        <w:adjustRightInd w:val="0"/>
        <w:spacing w:after="0" w:line="276" w:lineRule="auto"/>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Odwoanieprzypisudolnego"/>
          <w:rFonts w:cs="Arial"/>
        </w:rPr>
        <w:footnoteReference w:id="5"/>
      </w:r>
      <w:r w:rsidRPr="00DB74A0">
        <w:rPr>
          <w:rFonts w:cs="Arial"/>
        </w:rPr>
        <w:t xml:space="preserve"> .</w:t>
      </w:r>
    </w:p>
    <w:p w14:paraId="5901C6DB" w14:textId="77777777" w:rsidR="004F214A" w:rsidRPr="004F214A" w:rsidRDefault="004F214A" w:rsidP="001B635A">
      <w:pPr>
        <w:autoSpaceDE w:val="0"/>
        <w:autoSpaceDN w:val="0"/>
        <w:adjustRightInd w:val="0"/>
        <w:spacing w:after="0" w:line="276" w:lineRule="auto"/>
        <w:rPr>
          <w:rFonts w:cs="Arial"/>
        </w:rPr>
      </w:pPr>
    </w:p>
    <w:p w14:paraId="603E1C20" w14:textId="347F0455" w:rsidR="00D65E30" w:rsidRPr="003A416A" w:rsidRDefault="00D65E30" w:rsidP="001B635A">
      <w:pPr>
        <w:snapToGrid w:val="0"/>
        <w:spacing w:line="276" w:lineRule="auto"/>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14:paraId="375C3950" w14:textId="164FDAB9" w:rsidR="00967C30" w:rsidRPr="003A416A" w:rsidRDefault="004055D9" w:rsidP="001B635A">
      <w:pPr>
        <w:snapToGrid w:val="0"/>
        <w:spacing w:after="0" w:line="276" w:lineRule="auto"/>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1086AC2C" w14:textId="77777777" w:rsidR="00D93598" w:rsidRPr="003A416A" w:rsidRDefault="00D93598" w:rsidP="001B635A">
      <w:pPr>
        <w:snapToGrid w:val="0"/>
        <w:spacing w:after="0" w:line="276" w:lineRule="auto"/>
        <w:rPr>
          <w:rFonts w:cs="Arial"/>
        </w:rPr>
      </w:pPr>
    </w:p>
    <w:p w14:paraId="680F7499" w14:textId="77777777" w:rsidR="00967C30" w:rsidRPr="003A416A" w:rsidRDefault="00967C30" w:rsidP="001B635A">
      <w:pPr>
        <w:spacing w:after="0" w:line="276" w:lineRule="auto"/>
      </w:pPr>
      <w:r w:rsidRPr="003A416A">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3A416A" w:rsidRDefault="00967C30" w:rsidP="001B635A">
      <w:pPr>
        <w:spacing w:after="0" w:line="276" w:lineRule="auto"/>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14:paraId="7493C48B" w14:textId="77777777" w:rsidR="00967C30" w:rsidRPr="003A416A" w:rsidRDefault="00967C30" w:rsidP="001B635A">
      <w:pPr>
        <w:spacing w:after="0" w:line="276" w:lineRule="auto"/>
      </w:pPr>
      <w:r w:rsidRPr="003A416A">
        <w:t>- jedna jednostka gospodarcza posiada w drugiej jednostce gospodarczej większość praw głosu akcjonariuszy, wspólników lub członków;</w:t>
      </w:r>
    </w:p>
    <w:p w14:paraId="63E7FC7C" w14:textId="77777777" w:rsidR="00967C30" w:rsidRPr="003A416A" w:rsidRDefault="00967C30" w:rsidP="001B635A">
      <w:pPr>
        <w:spacing w:after="0" w:line="276" w:lineRule="auto"/>
      </w:pPr>
      <w:r w:rsidRPr="003A416A">
        <w:t xml:space="preserve">- jedna jednostka gospodarcza ma prawo wyznaczyć lub odwołać większość członków organu administracyjnego zarządzającego lub nadzorczego innej jednostki gospodarczej; </w:t>
      </w:r>
    </w:p>
    <w:p w14:paraId="55CE01C7" w14:textId="77777777" w:rsidR="00967C30" w:rsidRPr="003A416A" w:rsidRDefault="00967C30" w:rsidP="001B635A">
      <w:pPr>
        <w:spacing w:after="0" w:line="276" w:lineRule="auto"/>
      </w:pPr>
      <w:r w:rsidRPr="003A416A">
        <w:lastRenderedPageBreak/>
        <w:t xml:space="preserve">- jedna jednostka gospodarcza ma prawo wywierać dominujący wpływ na inną jednostkę gospodarczą zgodnie z umową zawartą z tą jednostką lub postanowieniami w jej akcie założycielskim lub umowie spółki; </w:t>
      </w:r>
    </w:p>
    <w:p w14:paraId="5B271C3D" w14:textId="77777777" w:rsidR="00967C30" w:rsidRPr="003A416A" w:rsidRDefault="00967C30" w:rsidP="001B635A">
      <w:pPr>
        <w:spacing w:after="0" w:line="276" w:lineRule="auto"/>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73ADC6" w14:textId="77777777" w:rsidR="00E4305B" w:rsidRPr="003A416A" w:rsidRDefault="00E4305B" w:rsidP="001B635A">
      <w:pPr>
        <w:autoSpaceDN w:val="0"/>
        <w:rPr>
          <w:rFonts w:cs="Arial"/>
          <w:b/>
          <w:kern w:val="2"/>
        </w:rPr>
      </w:pPr>
    </w:p>
    <w:p w14:paraId="3B8C5B85" w14:textId="2E646ED9" w:rsidR="00D65E30" w:rsidRPr="003A416A" w:rsidRDefault="00D65E30" w:rsidP="001B635A">
      <w:pPr>
        <w:autoSpaceDN w:val="0"/>
        <w:rPr>
          <w:rFonts w:cs="Arial"/>
          <w:kern w:val="2"/>
        </w:rPr>
      </w:pPr>
      <w:r w:rsidRPr="003A416A">
        <w:rPr>
          <w:rFonts w:cs="Arial"/>
          <w:b/>
          <w:kern w:val="2"/>
        </w:rPr>
        <w:t>Maksymalny poziom dofinansowania wydatków kwalifikowalnych całego projektu nie może przekroczyć 85% wydatków kwalifikowalnych.</w:t>
      </w:r>
    </w:p>
    <w:p w14:paraId="78D1023B" w14:textId="4ADCC923" w:rsidR="00A47F2B" w:rsidRPr="003A416A" w:rsidRDefault="00A47F2B" w:rsidP="001B635A">
      <w:pPr>
        <w:spacing w:after="0" w:line="276" w:lineRule="auto"/>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14:paraId="054F9084" w14:textId="77777777" w:rsidR="00A47F2B" w:rsidRPr="003A416A" w:rsidRDefault="00A47F2B" w:rsidP="001B635A">
      <w:pPr>
        <w:pStyle w:val="Akapitzlist"/>
        <w:numPr>
          <w:ilvl w:val="0"/>
          <w:numId w:val="22"/>
        </w:numPr>
        <w:jc w:val="left"/>
      </w:pPr>
      <w:r w:rsidRPr="003A416A">
        <w:t xml:space="preserve">podmiot nie prowadzi działalności gospodarczej i nie udostępnia powierzchni innym podmiotom w celu prowadzenia działalności gospodarczej, </w:t>
      </w:r>
    </w:p>
    <w:p w14:paraId="5867CDD3" w14:textId="77777777" w:rsidR="00A47F2B" w:rsidRPr="003A416A" w:rsidRDefault="00A47F2B" w:rsidP="001B635A">
      <w:pPr>
        <w:pStyle w:val="Akapitzlist"/>
        <w:numPr>
          <w:ilvl w:val="0"/>
          <w:numId w:val="22"/>
        </w:numPr>
        <w:jc w:val="left"/>
      </w:pPr>
      <w:r w:rsidRPr="003A416A">
        <w:t>wytworzona energia jest zużywana na potrzeby własne,</w:t>
      </w:r>
    </w:p>
    <w:p w14:paraId="0AEECE97" w14:textId="4E4516D7" w:rsidR="00C076FD" w:rsidRPr="003A416A" w:rsidRDefault="0092641C" w:rsidP="001B635A">
      <w:pPr>
        <w:pStyle w:val="Akapitzlist"/>
        <w:numPr>
          <w:ilvl w:val="0"/>
          <w:numId w:val="22"/>
        </w:numPr>
        <w:jc w:val="left"/>
      </w:pPr>
      <w:r w:rsidRPr="003A416A">
        <w:t>rozmiar (zdolność wytwórcza) mikroinstalacji nie może przekraczać realnego zapotrzebowania prosumenta na energię.</w:t>
      </w:r>
    </w:p>
    <w:p w14:paraId="64562B3C" w14:textId="77777777" w:rsidR="00A47F2B" w:rsidRPr="003A416A" w:rsidRDefault="00A47F2B" w:rsidP="001B635A">
      <w:pPr>
        <w:spacing w:after="0" w:line="276" w:lineRule="auto"/>
      </w:pPr>
      <w:r w:rsidRPr="003A416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14:paraId="49E31D39" w14:textId="2FBE57AC" w:rsidR="00C076FD" w:rsidRDefault="0081548D" w:rsidP="001B635A">
      <w:pPr>
        <w:spacing w:line="276" w:lineRule="auto"/>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14:paraId="7C283587" w14:textId="77777777" w:rsidR="00AE7894" w:rsidRPr="00F03ED5" w:rsidRDefault="00AE7894" w:rsidP="001B635A">
      <w:pPr>
        <w:snapToGrid w:val="0"/>
        <w:spacing w:after="0" w:line="276" w:lineRule="auto"/>
        <w:rPr>
          <w:rFonts w:cs="Arial"/>
          <w:b/>
        </w:rPr>
      </w:pPr>
      <w:r w:rsidRPr="00F03ED5">
        <w:rPr>
          <w:rFonts w:cs="Arial"/>
          <w:b/>
        </w:rPr>
        <w:t xml:space="preserve">UWAGA: </w:t>
      </w:r>
    </w:p>
    <w:p w14:paraId="06AA8B86" w14:textId="77777777" w:rsidR="00792759" w:rsidRPr="003A7EBB" w:rsidRDefault="00792759" w:rsidP="001B635A">
      <w:pPr>
        <w:widowControl w:val="0"/>
        <w:spacing w:after="0" w:line="276" w:lineRule="auto"/>
      </w:pPr>
      <w:r w:rsidRPr="003A7EBB">
        <w:t>UWAGA: W ramach przedmiotowego konkursu przewiduje się możliwość udzielania zaliczek do 40% przyznanej kwoty dofinansowania w przypadku wszystkich Beneficjentów.</w:t>
      </w:r>
    </w:p>
    <w:p w14:paraId="7E88BCCE" w14:textId="77777777" w:rsidR="002A1688" w:rsidRPr="003A416A" w:rsidRDefault="002A1688" w:rsidP="001B635A">
      <w:pPr>
        <w:spacing w:line="240" w:lineRule="auto"/>
      </w:pPr>
    </w:p>
    <w:p w14:paraId="3F55F88D" w14:textId="77777777" w:rsidR="005B3F14" w:rsidRPr="003A416A" w:rsidRDefault="005B3F14" w:rsidP="001B635A">
      <w:pPr>
        <w:pStyle w:val="Nagwek1"/>
      </w:pPr>
      <w:bookmarkStart w:id="62" w:name="_Toc20832239"/>
      <w:r w:rsidRPr="003A416A">
        <w:t>1</w:t>
      </w:r>
      <w:r w:rsidR="00F14D36" w:rsidRPr="003A416A">
        <w:t>7</w:t>
      </w:r>
      <w:r w:rsidRPr="003A416A">
        <w:t>. Warunki uwzględnienia dochodu w projekcie</w:t>
      </w:r>
      <w:bookmarkEnd w:id="62"/>
    </w:p>
    <w:p w14:paraId="121C1D3C" w14:textId="77777777" w:rsidR="00934A0F" w:rsidRPr="003A416A" w:rsidRDefault="00934A0F" w:rsidP="001B635A">
      <w:pPr>
        <w:spacing w:after="0" w:line="276" w:lineRule="auto"/>
      </w:pPr>
    </w:p>
    <w:p w14:paraId="740A9555" w14:textId="77777777" w:rsidR="00E4305B" w:rsidRPr="003A416A" w:rsidRDefault="00E4305B" w:rsidP="001B635A">
      <w:pPr>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14:paraId="7E6C6F5D" w14:textId="08DC7FF0" w:rsidR="00934A0F" w:rsidRPr="004F214A" w:rsidRDefault="0081548D" w:rsidP="001B635A">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5D92F5E6" w14:textId="5B9A3BD8" w:rsidR="00934A0F" w:rsidRDefault="00934A0F" w:rsidP="001B635A">
      <w:pPr>
        <w:spacing w:after="120"/>
      </w:pPr>
      <w:r w:rsidRPr="003A416A">
        <w:t xml:space="preserve">Do dokonywania przeliczeń wartości z PLN na EUR, niezbędnych do wyliczenia dochodu należy stosować  kurs wymiany EUR/PLN, stanowiący średnią arytmetyczną kursów średnich miesięcznych </w:t>
      </w:r>
      <w:r w:rsidRPr="003A416A">
        <w:lastRenderedPageBreak/>
        <w:t>Narodowego Banku Polskiego, z ostatnich sześciu miesięcy poprzedzających miesiąc złożenia wniosku o dofinansowanie.</w:t>
      </w:r>
    </w:p>
    <w:p w14:paraId="5EC0341A" w14:textId="5998E340" w:rsidR="002A1688" w:rsidRPr="003A416A" w:rsidRDefault="002A1688" w:rsidP="001B635A">
      <w:pPr>
        <w:spacing w:after="120"/>
      </w:pPr>
      <w:r>
        <w:t>Okres odniesienie dla sektora „Energetyka” wynosi 25 lat.</w:t>
      </w:r>
    </w:p>
    <w:p w14:paraId="51C45C92" w14:textId="2F75DC6F" w:rsidR="00E4305B" w:rsidRPr="003A416A" w:rsidRDefault="001B4511" w:rsidP="001B635A">
      <w:r w:rsidRPr="003A416A">
        <w:t xml:space="preserve">Zgodnie z art. 61 ust. 8 rozporządzenia ogólnego przepisów dotyczących operacji generujących dochód po ukończeniu nie stosuje się do projektów objętych pomocą państwa. </w:t>
      </w:r>
    </w:p>
    <w:p w14:paraId="56AB89FF" w14:textId="77777777" w:rsidR="00704CB0" w:rsidRPr="003A416A" w:rsidRDefault="00704CB0" w:rsidP="001B635A">
      <w:pPr>
        <w:pStyle w:val="Nagwek1"/>
        <w:tabs>
          <w:tab w:val="left" w:pos="426"/>
        </w:tabs>
        <w:spacing w:before="480" w:after="240" w:line="240" w:lineRule="auto"/>
        <w:ind w:left="425" w:hanging="425"/>
        <w:rPr>
          <w:szCs w:val="24"/>
        </w:rPr>
      </w:pPr>
      <w:bookmarkStart w:id="63" w:name="_Toc20832240"/>
      <w:r w:rsidRPr="003A416A">
        <w:t>1</w:t>
      </w:r>
      <w:r w:rsidR="00F14D36" w:rsidRPr="003A416A">
        <w:t>8</w:t>
      </w:r>
      <w:r w:rsidRPr="003A416A">
        <w:t>. Środki odwoławcze przysługujące wnioskodawcy</w:t>
      </w:r>
      <w:bookmarkEnd w:id="63"/>
    </w:p>
    <w:p w14:paraId="0DD9DAE0" w14:textId="72B7DEE8" w:rsidR="00704CB0" w:rsidRPr="003A416A" w:rsidRDefault="00704CB0" w:rsidP="001B635A">
      <w:pPr>
        <w:pStyle w:val="xl33"/>
        <w:spacing w:after="0"/>
        <w:jc w:val="left"/>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14:paraId="79AE71AD" w14:textId="77777777" w:rsidR="00704CB0" w:rsidRPr="003A416A" w:rsidRDefault="00704CB0" w:rsidP="001B635A">
      <w:pPr>
        <w:tabs>
          <w:tab w:val="left" w:pos="709"/>
        </w:tabs>
        <w:spacing w:after="0" w:line="240" w:lineRule="auto"/>
      </w:pPr>
    </w:p>
    <w:p w14:paraId="03F1FE86" w14:textId="77777777" w:rsidR="00E4305B" w:rsidRPr="003A416A" w:rsidRDefault="00E4305B" w:rsidP="001B635A">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14:paraId="1F33C135" w14:textId="77777777" w:rsidR="00E4305B" w:rsidRPr="003A416A" w:rsidRDefault="00E4305B" w:rsidP="001B635A">
      <w:pPr>
        <w:spacing w:after="0" w:line="276" w:lineRule="auto"/>
        <w:rPr>
          <w:rFonts w:cs="Arial"/>
          <w:b/>
        </w:rPr>
      </w:pPr>
      <w:r w:rsidRPr="003A416A">
        <w:rPr>
          <w:rFonts w:cs="Arial"/>
          <w:b/>
        </w:rPr>
        <w:t>Dolnośląska Instytucja Pośrednicząca</w:t>
      </w:r>
    </w:p>
    <w:p w14:paraId="1F87C2DB" w14:textId="77777777" w:rsidR="00E4305B" w:rsidRPr="003A416A" w:rsidRDefault="00E4305B" w:rsidP="001B635A">
      <w:pPr>
        <w:spacing w:after="0" w:line="276" w:lineRule="auto"/>
        <w:rPr>
          <w:rFonts w:cs="Arial"/>
          <w:b/>
        </w:rPr>
      </w:pPr>
      <w:r w:rsidRPr="003A416A">
        <w:rPr>
          <w:rFonts w:cs="Arial"/>
          <w:b/>
        </w:rPr>
        <w:t>ul. Strzegomska 2-4</w:t>
      </w:r>
    </w:p>
    <w:p w14:paraId="45105C7C" w14:textId="364B12AB" w:rsidR="00704CB0" w:rsidRPr="003A416A" w:rsidRDefault="00E4305B" w:rsidP="001B635A">
      <w:pPr>
        <w:spacing w:after="0" w:line="240" w:lineRule="auto"/>
        <w:rPr>
          <w:rFonts w:cs="Arial"/>
          <w:b/>
        </w:rPr>
      </w:pPr>
      <w:r w:rsidRPr="003A416A">
        <w:rPr>
          <w:rFonts w:cs="Arial"/>
          <w:b/>
        </w:rPr>
        <w:t>53-611 Wrocław</w:t>
      </w:r>
    </w:p>
    <w:p w14:paraId="1FB8D040" w14:textId="77777777" w:rsidR="00704CB0" w:rsidRPr="003A416A" w:rsidRDefault="00704CB0" w:rsidP="001B635A">
      <w:pPr>
        <w:spacing w:after="0" w:line="240" w:lineRule="auto"/>
        <w:rPr>
          <w:rFonts w:cs="Arial"/>
          <w:b/>
        </w:rPr>
      </w:pPr>
    </w:p>
    <w:p w14:paraId="1019DA81" w14:textId="75BE1678" w:rsidR="00704CB0" w:rsidRPr="003A416A" w:rsidRDefault="00704CB0" w:rsidP="001B635A">
      <w:pPr>
        <w:spacing w:after="120" w:line="276" w:lineRule="auto"/>
      </w:pPr>
      <w:r w:rsidRPr="003A416A">
        <w:t>Informacja na temat procedury odwoławczej obowiązującej dla konkursu została opisana szczegółowo w:</w:t>
      </w:r>
      <w:r w:rsidR="00E4305B" w:rsidRPr="003A416A">
        <w:t xml:space="preserve"> </w:t>
      </w:r>
    </w:p>
    <w:p w14:paraId="4AE043A1" w14:textId="77777777" w:rsidR="00704CB0" w:rsidRPr="003A416A" w:rsidRDefault="00704CB0" w:rsidP="001B635A">
      <w:pPr>
        <w:spacing w:after="120" w:line="276" w:lineRule="auto"/>
      </w:pPr>
      <w:r w:rsidRPr="003A416A">
        <w:rPr>
          <w:i/>
          <w:iCs/>
        </w:rPr>
        <w:t>- SZOOP RPO WD w punkcie ”Procedura odwoławcza w ramach RPO WD 2014-2020 (w zakresie EFRR)” w podpunkcie „Tryb konkursowy w IP RPO WD”</w:t>
      </w:r>
    </w:p>
    <w:p w14:paraId="188F5D3E" w14:textId="77777777" w:rsidR="00704CB0" w:rsidRPr="003A416A" w:rsidRDefault="00704CB0" w:rsidP="001B635A">
      <w:pPr>
        <w:widowControl w:val="0"/>
        <w:spacing w:after="0" w:line="276" w:lineRule="auto"/>
        <w:rPr>
          <w:color w:val="000000" w:themeColor="text1"/>
          <w:szCs w:val="24"/>
        </w:rPr>
      </w:pPr>
      <w:r w:rsidRPr="003A416A">
        <w:t>- w  ustawie  wdrożeniowej.</w:t>
      </w:r>
    </w:p>
    <w:p w14:paraId="4EF8E0A0" w14:textId="77777777" w:rsidR="00704CB0" w:rsidRPr="003A416A" w:rsidRDefault="00704CB0" w:rsidP="001B635A">
      <w:pPr>
        <w:pStyle w:val="Nagwek1"/>
        <w:tabs>
          <w:tab w:val="left" w:pos="426"/>
        </w:tabs>
        <w:spacing w:before="480" w:after="240" w:line="240" w:lineRule="auto"/>
        <w:ind w:left="425" w:hanging="425"/>
        <w:rPr>
          <w:szCs w:val="24"/>
        </w:rPr>
      </w:pPr>
      <w:bookmarkStart w:id="64" w:name="_Toc499633793"/>
      <w:bookmarkStart w:id="65" w:name="_Toc20832241"/>
      <w:bookmarkEnd w:id="64"/>
      <w:r w:rsidRPr="003A416A">
        <w:t>1</w:t>
      </w:r>
      <w:r w:rsidR="00F14D36" w:rsidRPr="003A416A">
        <w:t>9</w:t>
      </w:r>
      <w:r w:rsidRPr="003A416A">
        <w:t>. Sposób podania do publicznej wiadomości wyników konkursu</w:t>
      </w:r>
      <w:bookmarkEnd w:id="65"/>
    </w:p>
    <w:p w14:paraId="69F3E24F" w14:textId="77777777" w:rsidR="0000654E" w:rsidRPr="003A416A" w:rsidRDefault="0000654E" w:rsidP="001B635A">
      <w:pPr>
        <w:widowControl w:val="0"/>
        <w:spacing w:after="0" w:line="276" w:lineRule="auto"/>
      </w:pPr>
      <w:r w:rsidRPr="003A416A">
        <w:t xml:space="preserve">Wyniki rozstrzygnięcia konkursu DIP zamieszcza na swojej stronie internetowej (www.dip.dolnyslask.pl) oraz na portalu Funduszy Europejskich </w:t>
      </w:r>
      <w:hyperlink r:id="rId16"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14:paraId="14AA7269" w14:textId="77777777" w:rsidR="0000654E" w:rsidRPr="003A416A" w:rsidRDefault="0000654E" w:rsidP="001B635A">
      <w:pPr>
        <w:widowControl w:val="0"/>
        <w:spacing w:after="0" w:line="276" w:lineRule="auto"/>
      </w:pPr>
    </w:p>
    <w:p w14:paraId="4D25427B" w14:textId="77777777" w:rsidR="00884DDD" w:rsidRPr="003A416A" w:rsidRDefault="00884DDD" w:rsidP="001B635A">
      <w:pPr>
        <w:widowControl w:val="0"/>
        <w:spacing w:after="0" w:line="276" w:lineRule="auto"/>
        <w:rPr>
          <w:b/>
          <w:color w:val="000000" w:themeColor="text1"/>
          <w:sz w:val="28"/>
          <w:szCs w:val="24"/>
        </w:rPr>
      </w:pPr>
      <w:r w:rsidRPr="003A416A">
        <w:t>Każdy Wnioskodawca zostaje powiadomiony pisemnie o zakończeniu oceny jego projektu.</w:t>
      </w:r>
    </w:p>
    <w:p w14:paraId="297443F3" w14:textId="77777777" w:rsidR="00704CB0" w:rsidRPr="003A416A" w:rsidRDefault="00F14D36" w:rsidP="001B635A">
      <w:pPr>
        <w:pStyle w:val="Nagwek1"/>
        <w:tabs>
          <w:tab w:val="left" w:pos="426"/>
        </w:tabs>
        <w:spacing w:before="480" w:after="240" w:line="240" w:lineRule="auto"/>
        <w:ind w:left="425" w:hanging="425"/>
      </w:pPr>
      <w:bookmarkStart w:id="66" w:name="_Toc499633795"/>
      <w:bookmarkStart w:id="67" w:name="_Toc20832242"/>
      <w:bookmarkEnd w:id="66"/>
      <w:r w:rsidRPr="003A416A">
        <w:t>20</w:t>
      </w:r>
      <w:r w:rsidR="00704CB0" w:rsidRPr="003A416A">
        <w:t>. Warunki zawarcia umowy o dofinansowanie projektu</w:t>
      </w:r>
      <w:bookmarkEnd w:id="67"/>
    </w:p>
    <w:p w14:paraId="6C5F7DE4" w14:textId="77777777" w:rsidR="00704CB0" w:rsidRPr="003A416A" w:rsidRDefault="00704CB0" w:rsidP="001B635A">
      <w:pPr>
        <w:widowControl w:val="0"/>
        <w:spacing w:after="0" w:line="276" w:lineRule="auto"/>
        <w:rPr>
          <w:color w:val="000000" w:themeColor="text1"/>
          <w:szCs w:val="24"/>
        </w:rPr>
      </w:pPr>
    </w:p>
    <w:p w14:paraId="4363E9F8" w14:textId="77777777" w:rsidR="0000654E" w:rsidRPr="003A416A" w:rsidRDefault="0000654E" w:rsidP="001B635A">
      <w:pPr>
        <w:spacing w:after="0" w:line="276" w:lineRule="auto"/>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A416A">
        <w:rPr>
          <w:color w:val="000000"/>
        </w:rPr>
        <w:t xml:space="preserve">Termin na złożenie kompletnych, poprawnych i prawomocnych, (jeśli wymagane) załączników do umowy </w:t>
      </w:r>
      <w:r w:rsidRPr="003A416A">
        <w:rPr>
          <w:color w:val="000000"/>
        </w:rPr>
        <w:lastRenderedPageBreak/>
        <w:t xml:space="preserve">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14:paraId="54872C12" w14:textId="77777777" w:rsidR="00704CB0" w:rsidRPr="003A416A" w:rsidRDefault="00704CB0" w:rsidP="001B635A">
      <w:pPr>
        <w:spacing w:after="0" w:line="276" w:lineRule="auto"/>
        <w:rPr>
          <w:rFonts w:cs="Arial"/>
        </w:rPr>
      </w:pPr>
    </w:p>
    <w:p w14:paraId="60B2841B" w14:textId="23873F32" w:rsidR="00704CB0" w:rsidRPr="003A416A" w:rsidRDefault="00704CB0" w:rsidP="001B635A">
      <w:pPr>
        <w:spacing w:after="0" w:line="276" w:lineRule="auto"/>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14:paraId="3B82EA48" w14:textId="77777777" w:rsidR="00704CB0" w:rsidRPr="003A416A" w:rsidRDefault="00704CB0" w:rsidP="001B635A">
      <w:pPr>
        <w:spacing w:after="0" w:line="276" w:lineRule="auto"/>
        <w:rPr>
          <w:rFonts w:cs="Arial"/>
        </w:rPr>
      </w:pPr>
    </w:p>
    <w:p w14:paraId="2862AA45" w14:textId="1690208E" w:rsidR="00704CB0" w:rsidRPr="003A416A" w:rsidRDefault="00704CB0" w:rsidP="001B635A">
      <w:pPr>
        <w:spacing w:after="0" w:line="276" w:lineRule="auto"/>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14:paraId="323DB4B0" w14:textId="77777777" w:rsidR="002741A1" w:rsidRPr="003A416A" w:rsidRDefault="002741A1" w:rsidP="001B635A">
      <w:pPr>
        <w:spacing w:after="0" w:line="276" w:lineRule="auto"/>
        <w:rPr>
          <w:rFonts w:cs="Arial"/>
        </w:rPr>
      </w:pPr>
    </w:p>
    <w:p w14:paraId="6C2AD1EF" w14:textId="77777777" w:rsidR="00704CB0" w:rsidRPr="003A416A" w:rsidRDefault="00704CB0" w:rsidP="001B635A">
      <w:pPr>
        <w:spacing w:after="0" w:line="276" w:lineRule="auto"/>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3A416A" w:rsidRDefault="00704CB0" w:rsidP="001B635A">
      <w:pPr>
        <w:autoSpaceDE w:val="0"/>
        <w:autoSpaceDN w:val="0"/>
        <w:adjustRightInd w:val="0"/>
        <w:spacing w:after="0" w:line="276" w:lineRule="auto"/>
        <w:rPr>
          <w:rFonts w:cs="Arial"/>
        </w:rPr>
      </w:pPr>
    </w:p>
    <w:p w14:paraId="32F48D4A" w14:textId="77777777" w:rsidR="00704CB0" w:rsidRPr="003A416A" w:rsidRDefault="00704CB0" w:rsidP="001B635A">
      <w:pPr>
        <w:autoSpaceDE w:val="0"/>
        <w:autoSpaceDN w:val="0"/>
        <w:adjustRightInd w:val="0"/>
        <w:spacing w:after="0" w:line="276" w:lineRule="auto"/>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Pr="003A416A" w:rsidRDefault="001B4511" w:rsidP="001B635A">
      <w:pPr>
        <w:autoSpaceDE w:val="0"/>
        <w:autoSpaceDN w:val="0"/>
        <w:adjustRightInd w:val="0"/>
        <w:spacing w:after="0" w:line="276" w:lineRule="auto"/>
        <w:rPr>
          <w:rFonts w:cs="Arial"/>
        </w:rPr>
      </w:pPr>
    </w:p>
    <w:p w14:paraId="082F6349" w14:textId="4FDE7DE6" w:rsidR="001B4511" w:rsidRPr="003A416A" w:rsidRDefault="001E477A" w:rsidP="001B635A">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3A416A" w:rsidRDefault="00704CB0" w:rsidP="001B635A">
      <w:pPr>
        <w:spacing w:after="0" w:line="276" w:lineRule="auto"/>
        <w:rPr>
          <w:rFonts w:cs="Arial"/>
        </w:rPr>
      </w:pPr>
    </w:p>
    <w:p w14:paraId="403A9F87" w14:textId="77777777" w:rsidR="00704CB0" w:rsidRPr="003A416A" w:rsidRDefault="00704CB0" w:rsidP="001B635A">
      <w:pPr>
        <w:spacing w:after="0" w:line="276" w:lineRule="auto"/>
      </w:pPr>
      <w:r w:rsidRPr="003A416A">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14:paraId="2406D76F" w14:textId="77777777" w:rsidR="00704CB0" w:rsidRPr="003A416A" w:rsidRDefault="00704CB0" w:rsidP="001B635A">
      <w:pPr>
        <w:spacing w:after="0" w:line="276" w:lineRule="auto"/>
        <w:rPr>
          <w:rFonts w:cs="Arial"/>
        </w:rPr>
      </w:pPr>
    </w:p>
    <w:p w14:paraId="57966DC8" w14:textId="37C443F8" w:rsidR="00920B36" w:rsidRDefault="00704CB0" w:rsidP="001B635A">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14:paraId="567421CC" w14:textId="5EDCE1A1" w:rsidR="00704CB0" w:rsidRPr="003A416A" w:rsidRDefault="00F14D36" w:rsidP="001B635A">
      <w:pPr>
        <w:pStyle w:val="Nagwek1"/>
        <w:tabs>
          <w:tab w:val="left" w:pos="426"/>
        </w:tabs>
        <w:spacing w:before="480" w:after="240" w:line="240" w:lineRule="auto"/>
        <w:ind w:left="425" w:hanging="425"/>
        <w:rPr>
          <w:szCs w:val="24"/>
        </w:rPr>
      </w:pPr>
      <w:bookmarkStart w:id="68" w:name="_Toc499633797"/>
      <w:bookmarkStart w:id="69" w:name="_Toc499633798"/>
      <w:bookmarkStart w:id="70" w:name="_Toc499633799"/>
      <w:bookmarkStart w:id="71" w:name="_Toc20832243"/>
      <w:bookmarkEnd w:id="68"/>
      <w:bookmarkEnd w:id="69"/>
      <w:bookmarkEnd w:id="70"/>
      <w:r w:rsidRPr="003A416A">
        <w:t>21</w:t>
      </w:r>
      <w:r w:rsidR="00704CB0" w:rsidRPr="003A416A">
        <w:t>. Forma i sposób udzielania wnioskodawcy wyjaśnień w kwestiach dotyczących konkursu</w:t>
      </w:r>
      <w:bookmarkEnd w:id="71"/>
    </w:p>
    <w:p w14:paraId="40416FFE" w14:textId="77777777" w:rsidR="00704CB0" w:rsidRPr="003A416A" w:rsidRDefault="00704CB0" w:rsidP="001B635A">
      <w:pPr>
        <w:widowControl w:val="0"/>
        <w:spacing w:after="0" w:line="276" w:lineRule="auto"/>
        <w:rPr>
          <w:color w:val="000000" w:themeColor="text1"/>
          <w:szCs w:val="24"/>
        </w:rPr>
      </w:pPr>
    </w:p>
    <w:p w14:paraId="297237CB" w14:textId="0546E968" w:rsidR="00884DDD" w:rsidRPr="003A416A" w:rsidRDefault="00884DDD" w:rsidP="001B635A">
      <w:pPr>
        <w:autoSpaceDE w:val="0"/>
        <w:autoSpaceDN w:val="0"/>
        <w:adjustRightInd w:val="0"/>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14:paraId="1DD33C64" w14:textId="77777777" w:rsidR="00884DDD" w:rsidRPr="003A416A" w:rsidRDefault="00884DDD" w:rsidP="001B635A">
      <w:pPr>
        <w:autoSpaceDE w:val="0"/>
        <w:autoSpaceDN w:val="0"/>
        <w:adjustRightInd w:val="0"/>
      </w:pPr>
      <w:r w:rsidRPr="003A416A">
        <w:t>Zapytania do DIP można składać za pomocą:</w:t>
      </w:r>
    </w:p>
    <w:p w14:paraId="4BC09368"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rPr>
          <w:lang w:val="en-US"/>
        </w:rPr>
      </w:pPr>
      <w:r w:rsidRPr="003A416A">
        <w:rPr>
          <w:lang w:val="en-US"/>
        </w:rPr>
        <w:t xml:space="preserve">E – maila: </w:t>
      </w:r>
      <w:hyperlink r:id="rId17" w:history="1">
        <w:r w:rsidRPr="003A416A">
          <w:rPr>
            <w:rStyle w:val="Hipercze"/>
            <w:color w:val="auto"/>
            <w:lang w:val="en-US"/>
          </w:rPr>
          <w:t>info.dip@umwd.pl</w:t>
        </w:r>
      </w:hyperlink>
    </w:p>
    <w:p w14:paraId="35E3D6C5"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t>Telefonu: 71 776 58 13</w:t>
      </w:r>
    </w:p>
    <w:p w14:paraId="00B3232E"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14:paraId="7359467E" w14:textId="77777777" w:rsidR="00884DDD" w:rsidRPr="003A416A" w:rsidRDefault="00884DDD" w:rsidP="001B635A">
      <w:pPr>
        <w:autoSpaceDE w:val="0"/>
        <w:autoSpaceDN w:val="0"/>
        <w:adjustRightInd w:val="0"/>
        <w:spacing w:after="0" w:line="240" w:lineRule="auto"/>
        <w:ind w:left="249"/>
      </w:pPr>
    </w:p>
    <w:p w14:paraId="42F2451D" w14:textId="77777777" w:rsidR="00884DDD" w:rsidRPr="003A416A" w:rsidRDefault="00884DDD" w:rsidP="001B635A">
      <w:pPr>
        <w:spacing w:after="0" w:line="240" w:lineRule="auto"/>
        <w:rPr>
          <w:rFonts w:cs="Arial"/>
          <w:b/>
        </w:rPr>
      </w:pPr>
      <w:r w:rsidRPr="003A416A">
        <w:rPr>
          <w:rFonts w:cs="Arial"/>
          <w:b/>
        </w:rPr>
        <w:t>Dolnośląska Instytucja Pośrednicząca</w:t>
      </w:r>
    </w:p>
    <w:p w14:paraId="635239C8" w14:textId="77777777" w:rsidR="00884DDD" w:rsidRPr="003A416A" w:rsidRDefault="00884DDD" w:rsidP="001B635A">
      <w:pPr>
        <w:spacing w:after="0" w:line="240" w:lineRule="auto"/>
      </w:pPr>
      <w:r w:rsidRPr="003A416A">
        <w:t>ul. Strzegomska 2-4</w:t>
      </w:r>
    </w:p>
    <w:p w14:paraId="647F9C19" w14:textId="77777777" w:rsidR="00884DDD" w:rsidRPr="003A416A" w:rsidRDefault="00884DDD" w:rsidP="001B635A">
      <w:pPr>
        <w:spacing w:after="0" w:line="240" w:lineRule="auto"/>
      </w:pPr>
      <w:r w:rsidRPr="003A416A">
        <w:t>53-611 Wrocław</w:t>
      </w:r>
    </w:p>
    <w:p w14:paraId="6496B116" w14:textId="77777777" w:rsidR="00704CB0" w:rsidRPr="003A416A" w:rsidRDefault="00704CB0" w:rsidP="001B635A">
      <w:pPr>
        <w:spacing w:after="0" w:line="240" w:lineRule="auto"/>
        <w:rPr>
          <w:rFonts w:cs="Arial"/>
          <w:b/>
        </w:rPr>
      </w:pPr>
    </w:p>
    <w:p w14:paraId="04148F28" w14:textId="77777777" w:rsidR="00704CB0" w:rsidRPr="003A416A" w:rsidRDefault="00704CB0" w:rsidP="001B635A">
      <w:pPr>
        <w:widowControl w:val="0"/>
        <w:spacing w:after="0" w:line="276" w:lineRule="auto"/>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odpowiedzi w pierwszej kolejności będzie stanowić materiał pomocniczy dla Wnioskodawcy.</w:t>
      </w:r>
    </w:p>
    <w:p w14:paraId="23C4B62B" w14:textId="77777777" w:rsidR="00704CB0" w:rsidRPr="003A416A" w:rsidRDefault="00F14D36" w:rsidP="001B635A">
      <w:pPr>
        <w:pStyle w:val="Nagwek1"/>
        <w:tabs>
          <w:tab w:val="left" w:pos="426"/>
        </w:tabs>
        <w:spacing w:before="480" w:after="240" w:line="240" w:lineRule="auto"/>
        <w:ind w:left="425" w:hanging="425"/>
        <w:rPr>
          <w:szCs w:val="24"/>
        </w:rPr>
      </w:pPr>
      <w:bookmarkStart w:id="72" w:name="_Toc499633801"/>
      <w:bookmarkStart w:id="73" w:name="_Toc20832244"/>
      <w:bookmarkEnd w:id="72"/>
      <w:r w:rsidRPr="003A416A">
        <w:t>22</w:t>
      </w:r>
      <w:r w:rsidR="00704CB0" w:rsidRPr="003A416A">
        <w:t>. Orientacyjny termin rozstrzygnięcia konkursu</w:t>
      </w:r>
      <w:bookmarkEnd w:id="73"/>
    </w:p>
    <w:p w14:paraId="4C8D51C8" w14:textId="77777777" w:rsidR="00704CB0" w:rsidRPr="003A416A" w:rsidRDefault="00704CB0" w:rsidP="001B635A">
      <w:pPr>
        <w:widowControl w:val="0"/>
        <w:spacing w:after="0" w:line="276" w:lineRule="auto"/>
        <w:rPr>
          <w:color w:val="000000" w:themeColor="text1"/>
          <w:szCs w:val="24"/>
        </w:rPr>
      </w:pPr>
    </w:p>
    <w:p w14:paraId="64874E67" w14:textId="7F705BE7" w:rsidR="00704CB0" w:rsidRPr="003A416A" w:rsidRDefault="00704CB0" w:rsidP="001B635A">
      <w:pPr>
        <w:autoSpaceDE w:val="0"/>
        <w:autoSpaceDN w:val="0"/>
        <w:adjustRightInd w:val="0"/>
      </w:pPr>
      <w:r w:rsidRPr="003A416A">
        <w:t>Orientacyjny termin rozstrzygnięcia konkursu:</w:t>
      </w:r>
      <w:r w:rsidRPr="003A416A">
        <w:rPr>
          <w:b/>
        </w:rPr>
        <w:t xml:space="preserve">  </w:t>
      </w:r>
      <w:r w:rsidR="0081548D">
        <w:rPr>
          <w:b/>
        </w:rPr>
        <w:t>grudzień</w:t>
      </w:r>
      <w:r w:rsidR="0081548D" w:rsidRPr="003A416A">
        <w:rPr>
          <w:b/>
        </w:rPr>
        <w:t xml:space="preserve"> </w:t>
      </w:r>
      <w:r w:rsidR="001E472B" w:rsidRPr="003A416A">
        <w:rPr>
          <w:b/>
        </w:rPr>
        <w:t>2020</w:t>
      </w:r>
      <w:r w:rsidRPr="003A416A">
        <w:rPr>
          <w:b/>
        </w:rPr>
        <w:t xml:space="preserve"> r.</w:t>
      </w:r>
    </w:p>
    <w:p w14:paraId="35D7C313" w14:textId="77777777" w:rsidR="00704CB0" w:rsidRPr="003A416A" w:rsidRDefault="00704CB0" w:rsidP="001B635A">
      <w:pPr>
        <w:widowControl w:val="0"/>
        <w:spacing w:after="0" w:line="276" w:lineRule="auto"/>
      </w:pPr>
      <w:r w:rsidRPr="003A416A">
        <w:t>IOK zastrzega sobie zmianę terminu rozstrzygnięcia konkursu.</w:t>
      </w:r>
    </w:p>
    <w:p w14:paraId="31637AD5" w14:textId="77777777" w:rsidR="00704CB0" w:rsidRPr="003A416A" w:rsidRDefault="00704CB0" w:rsidP="001B635A">
      <w:pPr>
        <w:pStyle w:val="Nagwek1"/>
        <w:tabs>
          <w:tab w:val="left" w:pos="426"/>
        </w:tabs>
        <w:spacing w:before="480" w:after="240" w:line="240" w:lineRule="auto"/>
        <w:ind w:left="425" w:hanging="425"/>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14:paraId="5BB2A8CF" w14:textId="77777777" w:rsidR="00704CB0" w:rsidRPr="003A416A" w:rsidRDefault="00704CB0" w:rsidP="001B635A">
      <w:pPr>
        <w:spacing w:before="120" w:after="120" w:line="276" w:lineRule="auto"/>
      </w:pPr>
      <w:r w:rsidRPr="003A416A">
        <w:t>DIP zastrzega sobie prawo do anulowania konkursu w następujących przypadkach do momentu zatwierdzenia listy rankingowej:</w:t>
      </w:r>
    </w:p>
    <w:p w14:paraId="700303F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14:paraId="290A7D11"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3A416A" w:rsidRDefault="00704CB0" w:rsidP="001B635A">
      <w:pPr>
        <w:spacing w:before="120" w:after="120" w:line="276" w:lineRule="auto"/>
        <w:rPr>
          <w:rFonts w:cs="Arial"/>
        </w:rPr>
      </w:pPr>
    </w:p>
    <w:p w14:paraId="6EB41325" w14:textId="77777777" w:rsidR="00704CB0" w:rsidRPr="003A416A" w:rsidRDefault="00704CB0" w:rsidP="001B635A">
      <w:pPr>
        <w:spacing w:before="120" w:after="120" w:line="276" w:lineRule="auto"/>
        <w:rPr>
          <w:rFonts w:cs="Calibri"/>
        </w:rPr>
      </w:pPr>
      <w:r w:rsidRPr="003A416A">
        <w:rPr>
          <w:rFonts w:cs="Arial"/>
        </w:rPr>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3A416A" w:rsidRDefault="00704CB0" w:rsidP="001B635A">
      <w:pPr>
        <w:spacing w:before="120" w:after="120" w:line="276" w:lineRule="auto"/>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551DC464" w:rsidR="00704CB0" w:rsidRPr="003A416A" w:rsidRDefault="0000654E" w:rsidP="001B635A">
      <w:pPr>
        <w:tabs>
          <w:tab w:val="num" w:pos="1149"/>
        </w:tabs>
        <w:autoSpaceDE w:val="0"/>
        <w:autoSpaceDN w:val="0"/>
        <w:adjustRightInd w:val="0"/>
        <w:spacing w:before="120" w:after="120" w:line="276" w:lineRule="auto"/>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8" w:history="1">
        <w:r w:rsidR="00704CB0" w:rsidRPr="003A416A">
          <w:rPr>
            <w:rStyle w:val="Hipercze"/>
            <w:rFonts w:cs="Calibri"/>
            <w:color w:val="auto"/>
          </w:rPr>
          <w:t>www.rpo.dolnyslask.pl</w:t>
        </w:r>
      </w:hyperlink>
      <w:r w:rsidR="00B53FBB" w:rsidRPr="003A416A">
        <w:rPr>
          <w:rStyle w:val="Hipercze"/>
          <w:rFonts w:cs="Calibri"/>
          <w:color w:val="auto"/>
        </w:rPr>
        <w:t xml:space="preserve">, </w:t>
      </w:r>
      <w:hyperlink r:id="rId19" w:history="1">
        <w:r w:rsidR="0057172B" w:rsidRPr="003A416A">
          <w:rPr>
            <w:rStyle w:val="Hipercze"/>
            <w:rFonts w:cs="Calibri"/>
          </w:rPr>
          <w:t>www.dip.dolnfvyslask.pl</w:t>
        </w:r>
      </w:hyperlink>
      <w:r w:rsidRPr="003A416A">
        <w:rPr>
          <w:rStyle w:val="Hipercze"/>
          <w:rFonts w:cs="Calibri"/>
          <w:color w:val="auto"/>
          <w:u w:val="none"/>
        </w:rPr>
        <w:t>.</w:t>
      </w:r>
    </w:p>
    <w:p w14:paraId="175DDF8C" w14:textId="77777777" w:rsidR="00704CB0" w:rsidRPr="003A416A" w:rsidRDefault="00D64A7E" w:rsidP="001B635A">
      <w:pPr>
        <w:pStyle w:val="Nagwek1"/>
        <w:tabs>
          <w:tab w:val="left" w:pos="426"/>
        </w:tabs>
        <w:spacing w:before="480" w:after="240" w:line="240" w:lineRule="auto"/>
        <w:ind w:left="425" w:hanging="425"/>
      </w:pPr>
      <w:bookmarkStart w:id="76" w:name="_Toc499633805"/>
      <w:bookmarkStart w:id="77" w:name="_Toc499633806"/>
      <w:bookmarkStart w:id="78" w:name="_Toc20832246"/>
      <w:bookmarkEnd w:id="76"/>
      <w:bookmarkEnd w:id="77"/>
      <w:r w:rsidRPr="003A416A">
        <w:lastRenderedPageBreak/>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14:paraId="0755CDF6" w14:textId="77777777" w:rsidR="00704CB0" w:rsidRPr="003A416A" w:rsidRDefault="00704CB0" w:rsidP="001B635A">
      <w:pPr>
        <w:widowControl w:val="0"/>
        <w:spacing w:after="0" w:line="276" w:lineRule="auto"/>
      </w:pPr>
    </w:p>
    <w:p w14:paraId="664549A1" w14:textId="147973FC" w:rsidR="00704CB0" w:rsidRPr="003A416A" w:rsidRDefault="00704CB0" w:rsidP="001B635A">
      <w:pPr>
        <w:spacing w:after="0"/>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14:paraId="0B268FBE" w14:textId="77777777" w:rsidR="00D64A7E" w:rsidRPr="003A416A" w:rsidRDefault="00D64A7E" w:rsidP="001B635A">
      <w:pPr>
        <w:pStyle w:val="Nagwek1"/>
        <w:tabs>
          <w:tab w:val="left" w:pos="426"/>
        </w:tabs>
        <w:spacing w:before="480" w:after="240" w:line="240" w:lineRule="auto"/>
        <w:ind w:left="425" w:hanging="425"/>
      </w:pPr>
      <w:bookmarkStart w:id="79" w:name="_Toc20832247"/>
      <w:r w:rsidRPr="003A416A">
        <w:t>2</w:t>
      </w:r>
      <w:r w:rsidR="00F14D36" w:rsidRPr="003A416A">
        <w:t>5</w:t>
      </w:r>
      <w:r w:rsidRPr="003A416A">
        <w:t>. Wskaźniki produktu i rezultatu</w:t>
      </w:r>
      <w:bookmarkEnd w:id="79"/>
    </w:p>
    <w:p w14:paraId="616525DE" w14:textId="77777777" w:rsidR="00D64A7E" w:rsidRPr="003A416A" w:rsidRDefault="00D64A7E" w:rsidP="001B635A">
      <w:pPr>
        <w:widowControl w:val="0"/>
        <w:spacing w:after="0" w:line="276" w:lineRule="auto"/>
        <w:rPr>
          <w:rFonts w:cs="Arial"/>
          <w:sz w:val="20"/>
        </w:rPr>
      </w:pPr>
    </w:p>
    <w:p w14:paraId="006A982F" w14:textId="77777777" w:rsidR="00297951" w:rsidRPr="003A416A" w:rsidRDefault="00297951" w:rsidP="001B635A">
      <w:pPr>
        <w:spacing w:after="120" w:line="276" w:lineRule="auto"/>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14:paraId="4C997A56" w14:textId="0568F12E" w:rsidR="00297951" w:rsidRPr="003A416A" w:rsidRDefault="00297951" w:rsidP="001B635A">
      <w:pPr>
        <w:spacing w:after="120" w:line="276" w:lineRule="auto"/>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14:paraId="36F71411" w14:textId="77777777" w:rsidR="00297951" w:rsidRPr="003A416A" w:rsidRDefault="00297951" w:rsidP="001B635A">
      <w:pPr>
        <w:autoSpaceDE w:val="0"/>
        <w:autoSpaceDN w:val="0"/>
        <w:adjustRightInd w:val="0"/>
        <w:spacing w:after="0" w:line="276" w:lineRule="auto"/>
        <w:rPr>
          <w:rFonts w:cs="Calibri"/>
        </w:rPr>
      </w:pPr>
      <w:r w:rsidRPr="003A416A">
        <w:rPr>
          <w:rFonts w:cs="Calibri"/>
        </w:rPr>
        <w:t>Obligatoryjne:</w:t>
      </w:r>
    </w:p>
    <w:p w14:paraId="3FC991AA" w14:textId="77777777" w:rsidR="00297951" w:rsidRPr="003A416A" w:rsidRDefault="00297951" w:rsidP="001B635A">
      <w:pPr>
        <w:numPr>
          <w:ilvl w:val="0"/>
          <w:numId w:val="3"/>
        </w:numPr>
        <w:autoSpaceDE w:val="0"/>
        <w:autoSpaceDN w:val="0"/>
        <w:adjustRightInd w:val="0"/>
        <w:spacing w:after="0" w:line="276" w:lineRule="auto"/>
        <w:rPr>
          <w:rFonts w:cs="Calibri"/>
        </w:rPr>
      </w:pPr>
      <w:r w:rsidRPr="003A416A">
        <w:rPr>
          <w:rFonts w:cs="Calibri"/>
        </w:rPr>
        <w:t>wskaźniki ujęte w RPO WD, SZOOP RPO WD.</w:t>
      </w:r>
    </w:p>
    <w:p w14:paraId="32E5F728" w14:textId="77777777" w:rsidR="00297951" w:rsidRPr="003A416A" w:rsidRDefault="00297951" w:rsidP="001B635A">
      <w:pPr>
        <w:autoSpaceDE w:val="0"/>
        <w:autoSpaceDN w:val="0"/>
        <w:adjustRightInd w:val="0"/>
        <w:spacing w:after="0" w:line="276" w:lineRule="auto"/>
        <w:rPr>
          <w:rFonts w:cs="Calibri"/>
        </w:rPr>
      </w:pPr>
      <w:r w:rsidRPr="003A416A">
        <w:rPr>
          <w:rFonts w:cs="Calibri"/>
        </w:rPr>
        <w:t>Fakultatywne:</w:t>
      </w:r>
    </w:p>
    <w:p w14:paraId="3B478F8D" w14:textId="77777777" w:rsidR="00297951" w:rsidRPr="003A416A" w:rsidRDefault="00297951" w:rsidP="001B635A">
      <w:pPr>
        <w:numPr>
          <w:ilvl w:val="0"/>
          <w:numId w:val="3"/>
        </w:numPr>
        <w:autoSpaceDE w:val="0"/>
        <w:autoSpaceDN w:val="0"/>
        <w:adjustRightInd w:val="0"/>
        <w:spacing w:after="0" w:line="240" w:lineRule="auto"/>
        <w:ind w:left="357" w:hanging="357"/>
        <w:rPr>
          <w:rFonts w:cs="Calibri"/>
        </w:rPr>
      </w:pPr>
      <w:r w:rsidRPr="003A416A">
        <w:rPr>
          <w:rFonts w:cs="Calibri"/>
        </w:rPr>
        <w:t xml:space="preserve">horyzontalne </w:t>
      </w:r>
    </w:p>
    <w:p w14:paraId="0FAE4D0B" w14:textId="77777777" w:rsidR="00297951" w:rsidRPr="003A416A" w:rsidRDefault="00297951" w:rsidP="001B635A">
      <w:pPr>
        <w:spacing w:after="120" w:line="276" w:lineRule="auto"/>
        <w:rPr>
          <w:rFonts w:cs="Calibri"/>
        </w:rPr>
      </w:pPr>
    </w:p>
    <w:p w14:paraId="1D66BA7F" w14:textId="4C0CD327" w:rsidR="00B2311E" w:rsidRPr="003A416A" w:rsidRDefault="00297951" w:rsidP="001B635A">
      <w:pPr>
        <w:spacing w:after="120" w:line="276" w:lineRule="auto"/>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14:paraId="0363F071" w14:textId="77777777" w:rsidR="00297951" w:rsidRPr="003A416A" w:rsidRDefault="00297951" w:rsidP="001B635A">
      <w:pPr>
        <w:spacing w:after="120" w:line="276" w:lineRule="auto"/>
      </w:pPr>
      <w:r w:rsidRPr="003A416A">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997"/>
        <w:gridCol w:w="1559"/>
        <w:gridCol w:w="851"/>
        <w:gridCol w:w="2551"/>
      </w:tblGrid>
      <w:tr w:rsidR="00297951" w:rsidRPr="003A416A" w14:paraId="397A29D9" w14:textId="77777777" w:rsidTr="00D3392B">
        <w:trPr>
          <w:trHeight w:val="593"/>
        </w:trPr>
        <w:tc>
          <w:tcPr>
            <w:tcW w:w="1119" w:type="dxa"/>
            <w:shd w:val="clear" w:color="auto" w:fill="FFFFFF"/>
            <w:vAlign w:val="center"/>
            <w:hideMark/>
          </w:tcPr>
          <w:p w14:paraId="2C0BD3B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14:paraId="5CC654A5"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3FAA221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7CEBD37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7E1CF5D0"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380F2E90"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1237D4C1" w14:textId="77777777" w:rsidTr="00D3392B">
        <w:trPr>
          <w:trHeight w:val="593"/>
        </w:trPr>
        <w:tc>
          <w:tcPr>
            <w:tcW w:w="1119" w:type="dxa"/>
            <w:shd w:val="clear" w:color="auto" w:fill="D0CECE" w:themeFill="background2" w:themeFillShade="E6"/>
            <w:vAlign w:val="center"/>
          </w:tcPr>
          <w:p w14:paraId="5416E88D" w14:textId="48A518CD"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DE44FA7" w14:textId="00B55687"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14:paraId="0AD078C3" w14:textId="27166A66"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6059B1F" w14:textId="77777777" w:rsidR="00A83F51" w:rsidRPr="003A416A" w:rsidRDefault="00A83F51" w:rsidP="001B635A">
            <w:pPr>
              <w:rPr>
                <w:rFonts w:eastAsia="Times New Roman" w:cs="Arial"/>
                <w:sz w:val="20"/>
                <w:szCs w:val="20"/>
                <w:lang w:eastAsia="pl-PL"/>
              </w:rPr>
            </w:pPr>
          </w:p>
          <w:p w14:paraId="7AB58211" w14:textId="401CB227"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204BACFB" w14:textId="0B2C3675"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C673610" w14:textId="77777777" w:rsidTr="00D3392B">
        <w:trPr>
          <w:trHeight w:val="593"/>
        </w:trPr>
        <w:tc>
          <w:tcPr>
            <w:tcW w:w="1119" w:type="dxa"/>
            <w:shd w:val="clear" w:color="auto" w:fill="D0CECE" w:themeFill="background2" w:themeFillShade="E6"/>
            <w:vAlign w:val="center"/>
          </w:tcPr>
          <w:p w14:paraId="3C4A9242" w14:textId="3F84DFD9"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3D9C7F8" w14:textId="1B07D845"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14:paraId="24D92E57" w14:textId="21FC9277"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7EB5D5C" w14:textId="77777777" w:rsidR="00A83F51" w:rsidRPr="003A416A" w:rsidRDefault="00A83F51" w:rsidP="001B635A">
            <w:pPr>
              <w:rPr>
                <w:rFonts w:eastAsia="Times New Roman" w:cs="Arial"/>
                <w:sz w:val="20"/>
                <w:szCs w:val="20"/>
                <w:lang w:eastAsia="pl-PL"/>
              </w:rPr>
            </w:pPr>
          </w:p>
          <w:p w14:paraId="3AD390C1" w14:textId="0B694813"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1650B16" w14:textId="5FB58EB1"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387C5F81" w14:textId="77777777" w:rsidTr="00D3392B">
        <w:trPr>
          <w:trHeight w:val="593"/>
        </w:trPr>
        <w:tc>
          <w:tcPr>
            <w:tcW w:w="1119" w:type="dxa"/>
            <w:shd w:val="clear" w:color="auto" w:fill="D0CECE" w:themeFill="background2" w:themeFillShade="E6"/>
            <w:vAlign w:val="center"/>
          </w:tcPr>
          <w:p w14:paraId="51A97086" w14:textId="3BAC1085"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6C4EB034" w14:textId="17009B7F"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14:paraId="21CA9E79" w14:textId="5A5CF50D"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60FEB679" w14:textId="77777777" w:rsidR="00A83F51" w:rsidRPr="003A416A" w:rsidRDefault="00A83F51" w:rsidP="001B635A">
            <w:pPr>
              <w:rPr>
                <w:rFonts w:eastAsia="Times New Roman" w:cs="Arial"/>
                <w:sz w:val="20"/>
                <w:szCs w:val="20"/>
                <w:lang w:eastAsia="pl-PL"/>
              </w:rPr>
            </w:pPr>
          </w:p>
          <w:p w14:paraId="752E4ADD" w14:textId="26AB3B4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BFB085C" w14:textId="61599CCE"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4C44FB7E" w14:textId="77777777" w:rsidTr="00D3392B">
        <w:trPr>
          <w:trHeight w:val="593"/>
        </w:trPr>
        <w:tc>
          <w:tcPr>
            <w:tcW w:w="1119" w:type="dxa"/>
            <w:shd w:val="clear" w:color="auto" w:fill="D0CECE" w:themeFill="background2" w:themeFillShade="E6"/>
            <w:vAlign w:val="center"/>
          </w:tcPr>
          <w:p w14:paraId="579BB796" w14:textId="530294DC"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lastRenderedPageBreak/>
              <w:t>Produktu</w:t>
            </w:r>
          </w:p>
        </w:tc>
        <w:tc>
          <w:tcPr>
            <w:tcW w:w="2997" w:type="dxa"/>
            <w:shd w:val="clear" w:color="auto" w:fill="D0CECE" w:themeFill="background2" w:themeFillShade="E6"/>
            <w:vAlign w:val="center"/>
          </w:tcPr>
          <w:p w14:paraId="0BDECBD0" w14:textId="0D5A151B"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14:paraId="7D3DA7A0" w14:textId="3B31EB89"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120E5EFA" w14:textId="77777777" w:rsidR="00A83F51" w:rsidRPr="003A416A" w:rsidRDefault="00A83F51" w:rsidP="001B635A">
            <w:pPr>
              <w:rPr>
                <w:rFonts w:eastAsia="Times New Roman" w:cs="Arial"/>
                <w:sz w:val="20"/>
                <w:szCs w:val="20"/>
                <w:lang w:eastAsia="pl-PL"/>
              </w:rPr>
            </w:pPr>
          </w:p>
          <w:p w14:paraId="4154A6C0" w14:textId="4C5E4F2C"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78DF6E1" w14:textId="45BD5DD0" w:rsidR="00A83F51"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4CA0B9F8" w14:textId="77777777" w:rsidTr="00D3392B">
        <w:trPr>
          <w:trHeight w:val="593"/>
        </w:trPr>
        <w:tc>
          <w:tcPr>
            <w:tcW w:w="1119" w:type="dxa"/>
            <w:shd w:val="clear" w:color="auto" w:fill="D0CECE" w:themeFill="background2" w:themeFillShade="E6"/>
            <w:vAlign w:val="center"/>
          </w:tcPr>
          <w:p w14:paraId="5A796523" w14:textId="2407F4FF"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29DB88" w14:textId="42021F75" w:rsidR="005D468D" w:rsidRPr="003A416A" w:rsidRDefault="005D468D" w:rsidP="001B635A">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14:paraId="26D7FF39" w14:textId="604E9B00"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2044F790" w14:textId="77777777" w:rsidR="005D468D" w:rsidRPr="003A416A" w:rsidRDefault="005D468D" w:rsidP="001B635A">
            <w:pPr>
              <w:rPr>
                <w:rFonts w:eastAsia="Times New Roman" w:cs="Arial"/>
                <w:sz w:val="20"/>
                <w:szCs w:val="20"/>
                <w:lang w:eastAsia="pl-PL"/>
              </w:rPr>
            </w:pPr>
          </w:p>
          <w:p w14:paraId="4766E946" w14:textId="4BE98D0B"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0DA01E4" w14:textId="77777777" w:rsidR="005D468D" w:rsidRPr="003A416A" w:rsidRDefault="005D468D" w:rsidP="001B635A">
            <w:pPr>
              <w:rPr>
                <w:rFonts w:eastAsia="Times New Roman" w:cs="Arial"/>
                <w:sz w:val="20"/>
                <w:szCs w:val="20"/>
                <w:lang w:eastAsia="pl-PL"/>
              </w:rPr>
            </w:pPr>
          </w:p>
          <w:p w14:paraId="52100BC7" w14:textId="74070468"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51B75A16" w14:textId="77777777" w:rsidTr="005D468D">
        <w:trPr>
          <w:trHeight w:val="983"/>
        </w:trPr>
        <w:tc>
          <w:tcPr>
            <w:tcW w:w="1119" w:type="dxa"/>
            <w:shd w:val="clear" w:color="auto" w:fill="D0CECE" w:themeFill="background2" w:themeFillShade="E6"/>
            <w:vAlign w:val="center"/>
          </w:tcPr>
          <w:p w14:paraId="6545FD25" w14:textId="195A6C45"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490D73F8" w14:textId="1987571D" w:rsidR="005D468D" w:rsidRPr="003A416A" w:rsidRDefault="005D468D" w:rsidP="001B635A">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14:paraId="2426D0C7" w14:textId="62B2AC02"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6BA0F980" w14:textId="77777777" w:rsidR="005D468D" w:rsidRPr="003A416A" w:rsidRDefault="005D468D" w:rsidP="001B635A">
            <w:pPr>
              <w:rPr>
                <w:rFonts w:eastAsia="Times New Roman" w:cs="Arial"/>
                <w:sz w:val="20"/>
                <w:szCs w:val="20"/>
                <w:lang w:eastAsia="pl-PL"/>
              </w:rPr>
            </w:pPr>
          </w:p>
          <w:p w14:paraId="00243A6A" w14:textId="1B140F70"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8E19900" w14:textId="4C410C02"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00582B49" w14:textId="77777777" w:rsidTr="00D3392B">
        <w:trPr>
          <w:trHeight w:val="593"/>
        </w:trPr>
        <w:tc>
          <w:tcPr>
            <w:tcW w:w="1119" w:type="dxa"/>
            <w:shd w:val="clear" w:color="auto" w:fill="D0CECE" w:themeFill="background2" w:themeFillShade="E6"/>
            <w:vAlign w:val="center"/>
          </w:tcPr>
          <w:p w14:paraId="7AFE0641" w14:textId="0D8C9005" w:rsidR="00A83F51" w:rsidRPr="00FC227E" w:rsidRDefault="003328ED" w:rsidP="001B635A">
            <w:pPr>
              <w:spacing w:after="0" w:line="240" w:lineRule="auto"/>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14:paraId="7E42E751" w14:textId="6537EB49" w:rsidR="00A83F51" w:rsidRPr="00FC227E" w:rsidRDefault="003328ED" w:rsidP="001B635A">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14:paraId="67B10A6E" w14:textId="1CF867C3" w:rsidR="00A83F51" w:rsidRPr="00FC227E" w:rsidRDefault="003328ED" w:rsidP="001B635A">
            <w:pPr>
              <w:spacing w:before="60" w:after="60" w:line="240" w:lineRule="auto"/>
              <w:rPr>
                <w:sz w:val="20"/>
                <w:szCs w:val="20"/>
              </w:rPr>
            </w:pPr>
            <w:r w:rsidRPr="00FC227E">
              <w:rPr>
                <w:sz w:val="20"/>
                <w:szCs w:val="20"/>
              </w:rPr>
              <w:t>przedsiębiorstwa</w:t>
            </w:r>
          </w:p>
        </w:tc>
        <w:tc>
          <w:tcPr>
            <w:tcW w:w="851" w:type="dxa"/>
            <w:shd w:val="clear" w:color="auto" w:fill="D0CECE" w:themeFill="background2" w:themeFillShade="E6"/>
          </w:tcPr>
          <w:p w14:paraId="43E37606" w14:textId="77777777" w:rsidR="0048692D" w:rsidRPr="00FC227E" w:rsidRDefault="0048692D" w:rsidP="001B635A">
            <w:pPr>
              <w:rPr>
                <w:rFonts w:eastAsia="Times New Roman" w:cs="Arial"/>
                <w:sz w:val="20"/>
                <w:szCs w:val="20"/>
                <w:lang w:eastAsia="pl-PL"/>
              </w:rPr>
            </w:pPr>
          </w:p>
          <w:p w14:paraId="0DEA0F7B" w14:textId="47B27E9C" w:rsidR="00A83F51" w:rsidRPr="00FC227E" w:rsidRDefault="003328ED" w:rsidP="001B635A">
            <w:pP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14:paraId="67609C47" w14:textId="322E5B14" w:rsidR="00A83F51" w:rsidRPr="003A416A" w:rsidRDefault="003328ED" w:rsidP="001B635A">
            <w:pP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14:paraId="6330DF5B" w14:textId="77777777" w:rsidTr="00D3392B">
        <w:trPr>
          <w:trHeight w:val="593"/>
        </w:trPr>
        <w:tc>
          <w:tcPr>
            <w:tcW w:w="1119" w:type="dxa"/>
            <w:shd w:val="clear" w:color="auto" w:fill="D0CECE" w:themeFill="background2" w:themeFillShade="E6"/>
          </w:tcPr>
          <w:p w14:paraId="4B30595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8DFD9BD" w14:textId="77777777" w:rsidR="00297951" w:rsidRPr="003A416A" w:rsidRDefault="00297951" w:rsidP="001B635A">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5EB0E28D"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2F03295"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3D16588"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5A5A0FB3" w14:textId="77777777" w:rsidTr="00D3392B">
        <w:trPr>
          <w:trHeight w:val="593"/>
        </w:trPr>
        <w:tc>
          <w:tcPr>
            <w:tcW w:w="1119" w:type="dxa"/>
            <w:shd w:val="clear" w:color="auto" w:fill="D0CECE" w:themeFill="background2" w:themeFillShade="E6"/>
          </w:tcPr>
          <w:p w14:paraId="64F594C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3C5A6825" w14:textId="77777777" w:rsidR="00297951" w:rsidRPr="003A416A" w:rsidRDefault="00297951" w:rsidP="001B635A">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14:paraId="735A2DF4" w14:textId="77777777" w:rsidR="00297951" w:rsidRPr="003A416A" w:rsidRDefault="00001515" w:rsidP="001B635A">
            <w:pPr>
              <w:spacing w:before="60" w:after="60" w:line="240" w:lineRule="auto"/>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14:paraId="65A1D3A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C41FB80"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3457CB" w14:textId="77777777" w:rsidTr="00D3392B">
        <w:trPr>
          <w:trHeight w:val="593"/>
        </w:trPr>
        <w:tc>
          <w:tcPr>
            <w:tcW w:w="1119" w:type="dxa"/>
            <w:shd w:val="clear" w:color="auto" w:fill="D0CECE" w:themeFill="background2" w:themeFillShade="E6"/>
          </w:tcPr>
          <w:p w14:paraId="4C193AB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ED6B05" w14:textId="77777777" w:rsidR="00297951" w:rsidRPr="003A416A" w:rsidRDefault="00297951" w:rsidP="001B635A">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752F8D08"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3C42739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5C59B2F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2EBEAA1C" w14:textId="77777777" w:rsidTr="00D3392B">
        <w:trPr>
          <w:trHeight w:val="593"/>
        </w:trPr>
        <w:tc>
          <w:tcPr>
            <w:tcW w:w="1119" w:type="dxa"/>
            <w:shd w:val="clear" w:color="auto" w:fill="D0CECE" w:themeFill="background2" w:themeFillShade="E6"/>
          </w:tcPr>
          <w:p w14:paraId="0B18F65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57AE46BC" w14:textId="2D6514BC" w:rsidR="00297951" w:rsidRPr="003A416A" w:rsidRDefault="00297951" w:rsidP="001B635A">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14:paraId="53DC74CF"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B7A1339"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14:paraId="25404C5F"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horyzontalny</w:t>
            </w:r>
          </w:p>
        </w:tc>
      </w:tr>
    </w:tbl>
    <w:p w14:paraId="677B0894" w14:textId="77777777" w:rsidR="001B4511" w:rsidRPr="003A416A" w:rsidRDefault="001B4511" w:rsidP="001B635A">
      <w:pPr>
        <w:autoSpaceDE w:val="0"/>
        <w:autoSpaceDN w:val="0"/>
        <w:adjustRightInd w:val="0"/>
        <w:spacing w:after="120" w:line="276" w:lineRule="auto"/>
        <w:rPr>
          <w:rFonts w:ascii="Calibri" w:hAnsi="Calibri" w:cs="Arial"/>
        </w:rPr>
      </w:pPr>
    </w:p>
    <w:p w14:paraId="08A0910F" w14:textId="77777777" w:rsidR="00297951" w:rsidRPr="003A416A" w:rsidRDefault="00297951" w:rsidP="001B635A">
      <w:pPr>
        <w:spacing w:after="120" w:line="276" w:lineRule="auto"/>
      </w:pPr>
      <w:r w:rsidRPr="003A416A">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955"/>
        <w:gridCol w:w="1559"/>
        <w:gridCol w:w="851"/>
        <w:gridCol w:w="2551"/>
      </w:tblGrid>
      <w:tr w:rsidR="00297951" w:rsidRPr="003A416A" w14:paraId="6F85A113" w14:textId="77777777" w:rsidTr="00514093">
        <w:trPr>
          <w:trHeight w:val="516"/>
        </w:trPr>
        <w:tc>
          <w:tcPr>
            <w:tcW w:w="1161" w:type="dxa"/>
            <w:shd w:val="clear" w:color="auto" w:fill="FFFFFF"/>
            <w:vAlign w:val="center"/>
            <w:hideMark/>
          </w:tcPr>
          <w:p w14:paraId="12E99597"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14:paraId="261C6A9E"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2B33020C"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5EE2473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29D42144"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4A0CFE53"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5D2B7D50" w14:textId="77777777" w:rsidTr="00514093">
        <w:trPr>
          <w:trHeight w:val="230"/>
        </w:trPr>
        <w:tc>
          <w:tcPr>
            <w:tcW w:w="1161" w:type="dxa"/>
            <w:shd w:val="clear" w:color="auto" w:fill="D9D9D9" w:themeFill="background1" w:themeFillShade="D9"/>
          </w:tcPr>
          <w:p w14:paraId="538B5D5A" w14:textId="45DAFE61"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248915F2" w14:textId="58E20739" w:rsidR="00A83F51" w:rsidRPr="003A416A" w:rsidRDefault="00A83F51" w:rsidP="001B635A">
            <w:pPr>
              <w:spacing w:before="60" w:after="60" w:line="240" w:lineRule="auto"/>
              <w:rPr>
                <w:rFonts w:cs="Arial"/>
                <w:sz w:val="20"/>
                <w:szCs w:val="20"/>
              </w:rPr>
            </w:pPr>
            <w:r w:rsidRPr="003A416A">
              <w:rPr>
                <w:rFonts w:cs="Arial"/>
              </w:rPr>
              <w:t>Dodatkowa zdolność wytwarzania energii elektrycznej ze źródeł odnawialnych</w:t>
            </w:r>
          </w:p>
        </w:tc>
        <w:tc>
          <w:tcPr>
            <w:tcW w:w="1559" w:type="dxa"/>
            <w:shd w:val="clear" w:color="auto" w:fill="D9D9D9" w:themeFill="background1" w:themeFillShade="D9"/>
            <w:vAlign w:val="center"/>
          </w:tcPr>
          <w:p w14:paraId="3A1BACFF" w14:textId="189FB48C" w:rsidR="00A83F51" w:rsidRPr="003A416A" w:rsidRDefault="00A83F51" w:rsidP="001B635A">
            <w:pPr>
              <w:spacing w:before="60" w:after="60" w:line="240" w:lineRule="auto"/>
              <w:rPr>
                <w:sz w:val="20"/>
                <w:szCs w:val="20"/>
              </w:rPr>
            </w:pPr>
            <w:r w:rsidRPr="003A416A">
              <w:rPr>
                <w:rFonts w:cs="Arial"/>
              </w:rPr>
              <w:t>MWe</w:t>
            </w:r>
          </w:p>
        </w:tc>
        <w:tc>
          <w:tcPr>
            <w:tcW w:w="851" w:type="dxa"/>
            <w:shd w:val="clear" w:color="auto" w:fill="D9D9D9" w:themeFill="background1" w:themeFillShade="D9"/>
          </w:tcPr>
          <w:p w14:paraId="26B82B70" w14:textId="77777777" w:rsidR="00A83F51" w:rsidRPr="003A416A" w:rsidRDefault="00A83F51" w:rsidP="001B635A">
            <w:pPr>
              <w:rPr>
                <w:rFonts w:eastAsia="Times New Roman" w:cs="Arial"/>
                <w:sz w:val="20"/>
                <w:szCs w:val="20"/>
                <w:lang w:eastAsia="pl-PL"/>
              </w:rPr>
            </w:pPr>
          </w:p>
          <w:p w14:paraId="52C8826F" w14:textId="77B498BB"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140C752" w14:textId="3A7DB90E" w:rsidR="00A83F51" w:rsidRPr="003A416A" w:rsidRDefault="003328ED" w:rsidP="001B635A">
            <w:pPr>
              <w:rPr>
                <w:rFonts w:eastAsia="Times New Roman" w:cs="Arial"/>
                <w:sz w:val="20"/>
                <w:szCs w:val="20"/>
                <w:lang w:eastAsia="pl-PL"/>
              </w:rPr>
            </w:pPr>
            <w:r w:rsidRPr="003A416A">
              <w:t>RPO WD 2014-2020</w:t>
            </w:r>
          </w:p>
        </w:tc>
      </w:tr>
      <w:tr w:rsidR="00A83F51" w:rsidRPr="003A416A" w14:paraId="69CCFE54" w14:textId="77777777" w:rsidTr="00514093">
        <w:trPr>
          <w:trHeight w:val="230"/>
        </w:trPr>
        <w:tc>
          <w:tcPr>
            <w:tcW w:w="1161" w:type="dxa"/>
            <w:shd w:val="clear" w:color="auto" w:fill="D9D9D9" w:themeFill="background1" w:themeFillShade="D9"/>
          </w:tcPr>
          <w:p w14:paraId="7176C15F" w14:textId="5175807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3E54328" w14:textId="0882705E" w:rsidR="00A83F51" w:rsidRPr="003A416A" w:rsidRDefault="00A83F51" w:rsidP="001B635A">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14:paraId="3D4E5A3B" w14:textId="0CFD3FF3" w:rsidR="00A83F51" w:rsidRPr="003A416A" w:rsidRDefault="00A83F51" w:rsidP="001B635A">
            <w:pPr>
              <w:spacing w:before="60" w:after="60" w:line="240" w:lineRule="auto"/>
              <w:rPr>
                <w:rFonts w:cs="Arial"/>
              </w:rPr>
            </w:pPr>
            <w:r w:rsidRPr="003A416A">
              <w:rPr>
                <w:rFonts w:cs="Arial"/>
              </w:rPr>
              <w:t>MWt</w:t>
            </w:r>
          </w:p>
        </w:tc>
        <w:tc>
          <w:tcPr>
            <w:tcW w:w="851" w:type="dxa"/>
            <w:shd w:val="clear" w:color="auto" w:fill="D9D9D9" w:themeFill="background1" w:themeFillShade="D9"/>
          </w:tcPr>
          <w:p w14:paraId="70F94AD1" w14:textId="77777777" w:rsidR="00A83F51" w:rsidRPr="003A416A" w:rsidRDefault="00A83F51" w:rsidP="001B635A">
            <w:pPr>
              <w:rPr>
                <w:rFonts w:eastAsia="Times New Roman" w:cs="Arial"/>
                <w:sz w:val="20"/>
                <w:szCs w:val="20"/>
                <w:lang w:eastAsia="pl-PL"/>
              </w:rPr>
            </w:pPr>
          </w:p>
          <w:p w14:paraId="01E8574A" w14:textId="6D1C47BF"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49695ACB" w14:textId="21D8B693" w:rsidR="00A83F51" w:rsidRPr="003A416A" w:rsidRDefault="003328ED" w:rsidP="001B635A">
            <w:pPr>
              <w:rPr>
                <w:rFonts w:eastAsia="Times New Roman" w:cs="Arial"/>
                <w:sz w:val="20"/>
                <w:szCs w:val="20"/>
                <w:lang w:eastAsia="pl-PL"/>
              </w:rPr>
            </w:pPr>
            <w:r w:rsidRPr="003A416A">
              <w:t>RPO WD 2014-2020</w:t>
            </w:r>
          </w:p>
        </w:tc>
      </w:tr>
      <w:tr w:rsidR="00A83F51" w:rsidRPr="003A416A" w14:paraId="6E0D6AA2" w14:textId="77777777" w:rsidTr="00514093">
        <w:trPr>
          <w:trHeight w:val="230"/>
        </w:trPr>
        <w:tc>
          <w:tcPr>
            <w:tcW w:w="1161" w:type="dxa"/>
            <w:shd w:val="clear" w:color="auto" w:fill="D9D9D9" w:themeFill="background1" w:themeFillShade="D9"/>
          </w:tcPr>
          <w:p w14:paraId="097E880B" w14:textId="0209042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5635B316" w14:textId="13C0BFFE" w:rsidR="00A83F51" w:rsidRPr="003A416A" w:rsidRDefault="00A83F51" w:rsidP="001B635A">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14:paraId="65242975" w14:textId="3D45D4BD" w:rsidR="00A83F51" w:rsidRPr="003A416A" w:rsidRDefault="00A83F51" w:rsidP="001B635A">
            <w:pPr>
              <w:spacing w:before="60" w:after="60" w:line="240" w:lineRule="auto"/>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14:paraId="091524D6" w14:textId="77777777" w:rsidR="00A83F51" w:rsidRPr="003A416A" w:rsidRDefault="00A83F51" w:rsidP="001B635A">
            <w:pPr>
              <w:rPr>
                <w:rFonts w:eastAsia="Times New Roman" w:cs="Arial"/>
                <w:sz w:val="20"/>
                <w:szCs w:val="20"/>
                <w:lang w:eastAsia="pl-PL"/>
              </w:rPr>
            </w:pPr>
          </w:p>
          <w:p w14:paraId="37575EDF" w14:textId="0B32D939"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DDF6409" w14:textId="4D84C191"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4332344" w14:textId="77777777" w:rsidTr="00514093">
        <w:trPr>
          <w:trHeight w:val="230"/>
        </w:trPr>
        <w:tc>
          <w:tcPr>
            <w:tcW w:w="1161" w:type="dxa"/>
            <w:shd w:val="clear" w:color="auto" w:fill="D9D9D9" w:themeFill="background1" w:themeFillShade="D9"/>
          </w:tcPr>
          <w:p w14:paraId="0E629E97" w14:textId="2D84D4E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86AB109" w14:textId="32F6AB27" w:rsidR="00A83F51" w:rsidRPr="003A416A" w:rsidRDefault="009E663D" w:rsidP="001B635A">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14:paraId="3016B097" w14:textId="452EFE02" w:rsidR="00A83F51" w:rsidRPr="003A416A" w:rsidRDefault="00A83F51" w:rsidP="001B635A">
            <w:pPr>
              <w:spacing w:before="60" w:after="60" w:line="240" w:lineRule="auto"/>
              <w:rPr>
                <w:rFonts w:cs="Arial"/>
              </w:rPr>
            </w:pPr>
            <w:r w:rsidRPr="003A416A">
              <w:rPr>
                <w:rFonts w:cs="Arial"/>
              </w:rPr>
              <w:t>MWhe/rok</w:t>
            </w:r>
          </w:p>
        </w:tc>
        <w:tc>
          <w:tcPr>
            <w:tcW w:w="851" w:type="dxa"/>
            <w:shd w:val="clear" w:color="auto" w:fill="D9D9D9" w:themeFill="background1" w:themeFillShade="D9"/>
          </w:tcPr>
          <w:p w14:paraId="251E54D4" w14:textId="77777777" w:rsidR="00A83F51" w:rsidRPr="003A416A" w:rsidRDefault="00A83F51" w:rsidP="001B635A">
            <w:pPr>
              <w:rPr>
                <w:rFonts w:eastAsia="Times New Roman" w:cs="Arial"/>
                <w:sz w:val="20"/>
                <w:szCs w:val="20"/>
                <w:lang w:eastAsia="pl-PL"/>
              </w:rPr>
            </w:pPr>
          </w:p>
          <w:p w14:paraId="71815051" w14:textId="17A913B9"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08F32DDD" w14:textId="1A92D97F"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05F36E06" w14:textId="77777777" w:rsidTr="00514093">
        <w:trPr>
          <w:trHeight w:val="230"/>
        </w:trPr>
        <w:tc>
          <w:tcPr>
            <w:tcW w:w="1161" w:type="dxa"/>
            <w:shd w:val="clear" w:color="auto" w:fill="D9D9D9" w:themeFill="background1" w:themeFillShade="D9"/>
          </w:tcPr>
          <w:p w14:paraId="13585757" w14:textId="0BE22C98"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lastRenderedPageBreak/>
              <w:t>Rezultatu</w:t>
            </w:r>
          </w:p>
        </w:tc>
        <w:tc>
          <w:tcPr>
            <w:tcW w:w="2955" w:type="dxa"/>
            <w:shd w:val="clear" w:color="auto" w:fill="D9D9D9" w:themeFill="background1" w:themeFillShade="D9"/>
            <w:vAlign w:val="center"/>
          </w:tcPr>
          <w:p w14:paraId="3F1B5A8E" w14:textId="108CD3BB" w:rsidR="009E663D" w:rsidRPr="003A416A" w:rsidRDefault="009E663D" w:rsidP="001B635A">
            <w:pPr>
              <w:spacing w:before="60" w:after="60" w:line="240" w:lineRule="auto"/>
            </w:pPr>
            <w:r w:rsidRPr="003A416A">
              <w:t>Produkcja energii elektrycznej z nowych mocy wytwórczych instalacji wykorzystujących OZE</w:t>
            </w:r>
          </w:p>
        </w:tc>
        <w:tc>
          <w:tcPr>
            <w:tcW w:w="1559" w:type="dxa"/>
            <w:shd w:val="clear" w:color="auto" w:fill="D9D9D9" w:themeFill="background1" w:themeFillShade="D9"/>
            <w:vAlign w:val="center"/>
          </w:tcPr>
          <w:p w14:paraId="176DCB09" w14:textId="2D27AE2E" w:rsidR="009E663D" w:rsidRPr="003A416A" w:rsidRDefault="009E663D" w:rsidP="001B635A">
            <w:pPr>
              <w:spacing w:before="60" w:after="60" w:line="240" w:lineRule="auto"/>
              <w:rPr>
                <w:rFonts w:cs="Arial"/>
              </w:rPr>
            </w:pPr>
            <w:r w:rsidRPr="003A416A">
              <w:t>MWhe/rok</w:t>
            </w:r>
          </w:p>
        </w:tc>
        <w:tc>
          <w:tcPr>
            <w:tcW w:w="851" w:type="dxa"/>
            <w:shd w:val="clear" w:color="auto" w:fill="D9D9D9" w:themeFill="background1" w:themeFillShade="D9"/>
          </w:tcPr>
          <w:p w14:paraId="4C66575B" w14:textId="77777777" w:rsidR="009E663D" w:rsidRPr="003A416A" w:rsidRDefault="009E663D" w:rsidP="001B635A">
            <w:pPr>
              <w:rPr>
                <w:rFonts w:eastAsia="Times New Roman" w:cs="Arial"/>
                <w:sz w:val="20"/>
                <w:szCs w:val="20"/>
                <w:lang w:eastAsia="pl-PL"/>
              </w:rPr>
            </w:pPr>
          </w:p>
          <w:p w14:paraId="6A12DCC0" w14:textId="0D320BEA"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0ABB2B3" w14:textId="6A796B7B"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576E693" w14:textId="77777777" w:rsidTr="00514093">
        <w:trPr>
          <w:trHeight w:val="230"/>
        </w:trPr>
        <w:tc>
          <w:tcPr>
            <w:tcW w:w="1161" w:type="dxa"/>
            <w:shd w:val="clear" w:color="auto" w:fill="D9D9D9" w:themeFill="background1" w:themeFillShade="D9"/>
          </w:tcPr>
          <w:p w14:paraId="6EA824FE"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43A00994" w14:textId="115404CF" w:rsidR="009E663D" w:rsidRPr="003A416A" w:rsidRDefault="009E663D" w:rsidP="001B635A">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14:paraId="6D9C3C6B" w14:textId="4292D882"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DC6C3EB" w14:textId="237BDAAC"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6D56C956" w14:textId="1665A371"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17AEFD5" w14:textId="77777777" w:rsidTr="00514093">
        <w:trPr>
          <w:trHeight w:val="230"/>
        </w:trPr>
        <w:tc>
          <w:tcPr>
            <w:tcW w:w="1161" w:type="dxa"/>
            <w:shd w:val="clear" w:color="auto" w:fill="D9D9D9" w:themeFill="background1" w:themeFillShade="D9"/>
          </w:tcPr>
          <w:p w14:paraId="16928739"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0E5A5A32" w14:textId="6B05B128" w:rsidR="009E663D" w:rsidRPr="003A416A" w:rsidRDefault="009E663D" w:rsidP="001B635A">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14:paraId="3B42E464" w14:textId="4E579B1F"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0409AF6" w14:textId="77777777" w:rsidR="009E663D" w:rsidRPr="003A416A" w:rsidRDefault="009E663D" w:rsidP="001B635A">
            <w:pPr>
              <w:rPr>
                <w:rFonts w:eastAsia="Times New Roman" w:cs="Arial"/>
                <w:sz w:val="20"/>
                <w:szCs w:val="20"/>
                <w:lang w:eastAsia="pl-PL"/>
              </w:rPr>
            </w:pPr>
          </w:p>
        </w:tc>
        <w:tc>
          <w:tcPr>
            <w:tcW w:w="2551" w:type="dxa"/>
            <w:shd w:val="clear" w:color="auto" w:fill="D9D9D9" w:themeFill="background1" w:themeFillShade="D9"/>
          </w:tcPr>
          <w:p w14:paraId="19857F8C" w14:textId="77777777" w:rsidR="009E663D" w:rsidRPr="003A416A" w:rsidRDefault="009E663D" w:rsidP="001B635A">
            <w:pPr>
              <w:rPr>
                <w:rFonts w:eastAsia="Times New Roman" w:cs="Arial"/>
                <w:sz w:val="20"/>
                <w:szCs w:val="20"/>
                <w:lang w:eastAsia="pl-PL"/>
              </w:rPr>
            </w:pPr>
          </w:p>
        </w:tc>
      </w:tr>
      <w:tr w:rsidR="00297951" w:rsidRPr="003A416A" w14:paraId="517CA861" w14:textId="77777777" w:rsidTr="00514093">
        <w:trPr>
          <w:trHeight w:val="516"/>
        </w:trPr>
        <w:tc>
          <w:tcPr>
            <w:tcW w:w="1161" w:type="dxa"/>
            <w:shd w:val="clear" w:color="auto" w:fill="D9D9D9" w:themeFill="background1" w:themeFillShade="D9"/>
          </w:tcPr>
          <w:p w14:paraId="655C130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1853D788" w14:textId="45BEC534" w:rsidR="00297951" w:rsidRPr="003A416A" w:rsidRDefault="00297951" w:rsidP="001B635A">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14:paraId="63802EE8" w14:textId="311E6A16" w:rsidR="00297951" w:rsidRPr="003A416A" w:rsidRDefault="00106121" w:rsidP="001B635A">
            <w:pPr>
              <w:spacing w:before="60" w:after="60" w:line="240" w:lineRule="auto"/>
              <w:rPr>
                <w:sz w:val="20"/>
                <w:szCs w:val="20"/>
              </w:rPr>
            </w:pPr>
            <w:r w:rsidRPr="003A416A">
              <w:rPr>
                <w:sz w:val="20"/>
                <w:szCs w:val="20"/>
              </w:rPr>
              <w:t>EPC</w:t>
            </w:r>
          </w:p>
        </w:tc>
        <w:tc>
          <w:tcPr>
            <w:tcW w:w="851" w:type="dxa"/>
            <w:shd w:val="clear" w:color="auto" w:fill="D9D9D9" w:themeFill="background1" w:themeFillShade="D9"/>
          </w:tcPr>
          <w:p w14:paraId="4794647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2DE9EBE"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14:paraId="0177E3C4" w14:textId="77777777"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646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DB72" w14:textId="77777777" w:rsidR="00297951" w:rsidRPr="003A416A" w:rsidRDefault="00297951" w:rsidP="001B635A">
            <w:pPr>
              <w:spacing w:before="60" w:after="60" w:line="240" w:lineRule="auto"/>
              <w:rPr>
                <w:sz w:val="20"/>
                <w:szCs w:val="20"/>
              </w:rPr>
            </w:pPr>
            <w:r w:rsidRPr="003A416A">
              <w:rPr>
                <w:sz w:val="20"/>
                <w:szCs w:val="20"/>
              </w:rPr>
              <w:t>Wzrost zatrudnienia we wspieranych podmiotach (innych niż przedsiębiorstwa)</w:t>
            </w:r>
          </w:p>
          <w:p w14:paraId="429B934F" w14:textId="77777777" w:rsidR="00297951" w:rsidRPr="003A416A" w:rsidRDefault="00297951" w:rsidP="001B635A">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10F1" w14:textId="77777777" w:rsidR="00297951" w:rsidRPr="003A416A" w:rsidRDefault="00297951" w:rsidP="001B635A">
            <w:pPr>
              <w:spacing w:before="60" w:after="60" w:line="240" w:lineRule="auto"/>
              <w:rPr>
                <w:sz w:val="20"/>
                <w:szCs w:val="20"/>
              </w:rPr>
            </w:pPr>
            <w:r w:rsidRPr="003A416A">
              <w:rPr>
                <w:sz w:val="20"/>
                <w:szCs w:val="20"/>
              </w:rPr>
              <w:t>EPC</w:t>
            </w:r>
          </w:p>
          <w:p w14:paraId="70E9E62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83D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EEF87"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B858FF"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81E2"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8B756" w14:textId="01FA85FD" w:rsidR="00297951" w:rsidRPr="003A416A" w:rsidRDefault="00297951" w:rsidP="001B635A">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2368" w14:textId="77777777" w:rsidR="00297951" w:rsidRPr="003A416A" w:rsidRDefault="00297951" w:rsidP="001B635A">
            <w:pPr>
              <w:spacing w:before="60" w:after="60" w:line="240" w:lineRule="auto"/>
              <w:rPr>
                <w:sz w:val="20"/>
                <w:szCs w:val="20"/>
              </w:rPr>
            </w:pPr>
            <w:r w:rsidRPr="003A416A">
              <w:rPr>
                <w:sz w:val="20"/>
                <w:szCs w:val="20"/>
              </w:rPr>
              <w:t>EPC</w:t>
            </w:r>
          </w:p>
          <w:p w14:paraId="43F0F2F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EC8B"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440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493707A2"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2A4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7D1" w14:textId="340E08C0" w:rsidR="00297951" w:rsidRPr="003A416A" w:rsidRDefault="00297951" w:rsidP="001B635A">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89318" w14:textId="77777777" w:rsidR="00297951" w:rsidRPr="003A416A" w:rsidRDefault="00297951" w:rsidP="001B635A">
            <w:pPr>
              <w:spacing w:before="60" w:after="60" w:line="240" w:lineRule="auto"/>
              <w:rPr>
                <w:sz w:val="20"/>
                <w:szCs w:val="20"/>
              </w:rPr>
            </w:pPr>
            <w:r w:rsidRPr="003A416A">
              <w:rPr>
                <w:sz w:val="20"/>
                <w:szCs w:val="20"/>
              </w:rPr>
              <w:t>EPC</w:t>
            </w:r>
          </w:p>
          <w:p w14:paraId="757FD536"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35C1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1F37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bl>
    <w:p w14:paraId="4AE55CE2" w14:textId="77777777" w:rsidR="00FD43F1" w:rsidRPr="003A416A" w:rsidRDefault="00FD43F1" w:rsidP="001B635A">
      <w:pPr>
        <w:spacing w:after="0" w:line="276" w:lineRule="auto"/>
      </w:pPr>
    </w:p>
    <w:p w14:paraId="5C291687" w14:textId="77777777" w:rsidR="00C86690" w:rsidRPr="003A416A" w:rsidRDefault="00C86690" w:rsidP="001B635A">
      <w:pPr>
        <w:spacing w:after="120" w:line="276" w:lineRule="auto"/>
      </w:pPr>
      <w:r w:rsidRPr="003A416A">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14:paraId="2F521D60" w14:textId="77777777" w:rsidR="00FD43F1" w:rsidRPr="003A416A" w:rsidRDefault="00FD43F1" w:rsidP="001B635A">
      <w:pPr>
        <w:autoSpaceDE w:val="0"/>
        <w:autoSpaceDN w:val="0"/>
        <w:adjustRightInd w:val="0"/>
        <w:spacing w:before="120" w:after="120" w:line="276" w:lineRule="auto"/>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7C3DA7AA" w14:textId="77777777" w:rsidR="00FD43F1" w:rsidRPr="003A416A" w:rsidRDefault="00FD43F1" w:rsidP="001B635A">
      <w:pPr>
        <w:autoSpaceDE w:val="0"/>
        <w:autoSpaceDN w:val="0"/>
        <w:adjustRightInd w:val="0"/>
        <w:spacing w:after="0" w:line="276" w:lineRule="auto"/>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4562303"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578A067A"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14:paraId="65274EBC"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lastRenderedPageBreak/>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14:paraId="30046906"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b) w przypadku wskaźników rezultatu określonych na poziomie projektu: </w:t>
      </w:r>
    </w:p>
    <w:p w14:paraId="343DE625" w14:textId="77777777" w:rsidR="00FD43F1" w:rsidRPr="003A416A" w:rsidRDefault="00FD43F1" w:rsidP="001B635A">
      <w:pPr>
        <w:numPr>
          <w:ilvl w:val="0"/>
          <w:numId w:val="16"/>
        </w:numPr>
        <w:spacing w:before="200" w:after="200" w:line="276" w:lineRule="auto"/>
        <w:ind w:left="1080"/>
        <w:contextualSpacing/>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14:paraId="45B2E08C" w14:textId="77777777" w:rsidR="00FD43F1" w:rsidRPr="003A416A" w:rsidRDefault="00FD43F1" w:rsidP="001B635A">
      <w:pPr>
        <w:spacing w:before="200" w:after="0" w:line="276" w:lineRule="auto"/>
        <w:rPr>
          <w:rFonts w:ascii="Calibri" w:eastAsia="Times New Roman" w:hAnsi="Calibri" w:cs="Times New Roman"/>
          <w:lang w:eastAsia="pl-PL"/>
        </w:rPr>
      </w:pPr>
      <w:r w:rsidRPr="003A416A">
        <w:rPr>
          <w:rFonts w:ascii="Calibri" w:eastAsia="Times New Roman" w:hAnsi="Calibri" w:cs="Times New Roman"/>
          <w:lang w:eastAsia="pl-PL"/>
        </w:rPr>
        <w:t>lub</w:t>
      </w:r>
    </w:p>
    <w:p w14:paraId="299D6E61" w14:textId="6FD2B83A" w:rsidR="002741A1" w:rsidRPr="003A416A" w:rsidRDefault="00FD43F1" w:rsidP="001B635A">
      <w:pPr>
        <w:numPr>
          <w:ilvl w:val="0"/>
          <w:numId w:val="16"/>
        </w:numPr>
        <w:spacing w:before="200" w:after="0" w:line="276" w:lineRule="auto"/>
        <w:ind w:left="1134"/>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3A416A" w:rsidRDefault="00E559F4" w:rsidP="001B635A">
      <w:pPr>
        <w:pStyle w:val="Nagwek1"/>
        <w:tabs>
          <w:tab w:val="left" w:pos="426"/>
        </w:tabs>
        <w:spacing w:before="480" w:after="240" w:line="240" w:lineRule="auto"/>
        <w:ind w:left="425" w:hanging="425"/>
      </w:pPr>
      <w:r w:rsidRPr="003A416A">
        <w:t xml:space="preserve">26. </w:t>
      </w:r>
      <w:bookmarkStart w:id="80" w:name="_Toc20832248"/>
      <w:r w:rsidRPr="003A416A">
        <w:t>Pomoc publiczna</w:t>
      </w:r>
      <w:bookmarkEnd w:id="80"/>
    </w:p>
    <w:p w14:paraId="5B3F7219" w14:textId="77777777" w:rsidR="00FD43F1" w:rsidRPr="003A416A" w:rsidRDefault="00FD43F1" w:rsidP="001B635A">
      <w:pPr>
        <w:spacing w:line="276" w:lineRule="auto"/>
        <w:rPr>
          <w:rFonts w:ascii="Calibri" w:eastAsia="Times New Roman" w:hAnsi="Calibri"/>
          <w:kern w:val="2"/>
        </w:rPr>
      </w:pPr>
      <w:r w:rsidRPr="003A416A">
        <w:rPr>
          <w:rFonts w:ascii="Calibri" w:eastAsia="Times New Roman" w:hAnsi="Calibri"/>
          <w:kern w:val="2"/>
        </w:rPr>
        <w:t>Wsparcie w konkursie będzie udzielane jako:</w:t>
      </w:r>
    </w:p>
    <w:p w14:paraId="08339628" w14:textId="77777777" w:rsidR="0048692D" w:rsidRPr="00DB74A0" w:rsidRDefault="00FD43F1" w:rsidP="001B635A">
      <w:pPr>
        <w:pStyle w:val="Akapitzlist"/>
        <w:numPr>
          <w:ilvl w:val="0"/>
          <w:numId w:val="31"/>
        </w:numPr>
        <w:jc w:val="left"/>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14:paraId="39631D20" w14:textId="3CEB35FC" w:rsidR="00920B36" w:rsidRPr="00DB74A0" w:rsidRDefault="0048692D" w:rsidP="001B635A">
      <w:pPr>
        <w:pStyle w:val="Akapitzlist"/>
        <w:numPr>
          <w:ilvl w:val="0"/>
          <w:numId w:val="31"/>
        </w:numPr>
        <w:jc w:val="left"/>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udzielania pomocy inwestycyjnej na infrastrukturę energetyczną w ramach regionalnych programów operacyjnych na lata 2014–2020 </w:t>
      </w:r>
      <w:r w:rsidR="00920B36" w:rsidRPr="00DB74A0">
        <w:t>oraz</w:t>
      </w:r>
    </w:p>
    <w:p w14:paraId="7567F3DD" w14:textId="4A608E60" w:rsidR="00FD43F1" w:rsidRPr="003A416A" w:rsidRDefault="00FD43F1" w:rsidP="001B635A">
      <w:pPr>
        <w:pStyle w:val="Akapitzlist"/>
        <w:numPr>
          <w:ilvl w:val="0"/>
          <w:numId w:val="31"/>
        </w:numPr>
        <w:jc w:val="left"/>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14:paraId="5F7BD001" w14:textId="6B6578C7" w:rsidR="00B57DE0" w:rsidRPr="003A416A" w:rsidRDefault="00E559F4" w:rsidP="001B635A">
      <w:pPr>
        <w:pStyle w:val="Nagwek1"/>
        <w:tabs>
          <w:tab w:val="left" w:pos="426"/>
        </w:tabs>
        <w:spacing w:before="480" w:after="240" w:line="240" w:lineRule="auto"/>
        <w:ind w:left="425" w:hanging="425"/>
      </w:pPr>
      <w:bookmarkStart w:id="81" w:name="_Toc20832249"/>
      <w:r w:rsidRPr="003A416A">
        <w:t>27</w:t>
      </w:r>
      <w:r w:rsidR="00C56A87" w:rsidRPr="003A416A">
        <w:t xml:space="preserve">. </w:t>
      </w:r>
      <w:r w:rsidR="00B57DE0" w:rsidRPr="003A416A">
        <w:t>Kwalifikowalność wydatków</w:t>
      </w:r>
      <w:bookmarkEnd w:id="81"/>
    </w:p>
    <w:p w14:paraId="47223F5F" w14:textId="1D313CA5" w:rsidR="00AD268F" w:rsidRPr="003A416A" w:rsidRDefault="00AD268F" w:rsidP="001B635A">
      <w:pPr>
        <w:spacing w:after="120" w:line="276" w:lineRule="auto"/>
        <w:rPr>
          <w:rFonts w:ascii="Calibri" w:hAnsi="Calibri"/>
          <w:b/>
          <w:u w:val="single"/>
        </w:rPr>
      </w:pPr>
      <w:r w:rsidRPr="003A416A">
        <w:rPr>
          <w:b/>
          <w:u w:val="single"/>
        </w:rPr>
        <w:t>Nie przewiduje się stosowania uproszczonych form rozliczania wydatków.</w:t>
      </w:r>
    </w:p>
    <w:p w14:paraId="2BE796A6" w14:textId="77777777" w:rsidR="00B57DE0" w:rsidRPr="003A416A" w:rsidRDefault="00B57DE0" w:rsidP="001B635A">
      <w:pPr>
        <w:spacing w:after="120" w:line="276" w:lineRule="auto"/>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14:paraId="6A8EBC4C"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14:paraId="00DA9E22"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14:paraId="5DF12EC1"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t>rozporządzenie 651/2014;</w:t>
      </w:r>
    </w:p>
    <w:p w14:paraId="089B88FF"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lastRenderedPageBreak/>
        <w:t>rozporządzenie w sprawie pomocy inwestycyjnej na infrastrukturę lokalną;</w:t>
      </w:r>
    </w:p>
    <w:p w14:paraId="51E34646"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14:paraId="170BC8A5"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3A416A">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3A1D13EB"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3A416A" w:rsidRDefault="00B57DE0" w:rsidP="001B635A">
      <w:pPr>
        <w:numPr>
          <w:ilvl w:val="0"/>
          <w:numId w:val="6"/>
        </w:numPr>
        <w:autoSpaceDE w:val="0"/>
        <w:autoSpaceDN w:val="0"/>
        <w:adjustRightInd w:val="0"/>
        <w:spacing w:after="0" w:line="276" w:lineRule="auto"/>
        <w:ind w:left="357" w:hanging="357"/>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14:paraId="1849F9B2" w14:textId="77777777" w:rsidR="00F67573" w:rsidRPr="003A416A" w:rsidRDefault="00F67573" w:rsidP="001B635A">
      <w:pPr>
        <w:autoSpaceDE w:val="0"/>
        <w:autoSpaceDN w:val="0"/>
        <w:adjustRightInd w:val="0"/>
        <w:spacing w:after="0" w:line="276" w:lineRule="auto"/>
        <w:ind w:left="357"/>
        <w:rPr>
          <w:rFonts w:ascii="Calibri" w:eastAsia="Times New Roman" w:hAnsi="Calibri" w:cs="EUAlbertina"/>
          <w:lang w:eastAsia="pl-PL"/>
        </w:rPr>
      </w:pPr>
    </w:p>
    <w:p w14:paraId="63CF1712" w14:textId="77777777" w:rsidR="00B57DE0" w:rsidRPr="003A416A" w:rsidRDefault="00B57DE0" w:rsidP="001B635A">
      <w:pPr>
        <w:pStyle w:val="Akapitzlist"/>
        <w:numPr>
          <w:ilvl w:val="0"/>
          <w:numId w:val="6"/>
        </w:numPr>
        <w:jc w:val="left"/>
      </w:pPr>
      <w:r w:rsidRPr="003A416A">
        <w:t xml:space="preserve"> podręcznik wnioskodawcy i beneficjenta programów polityki spójności 2014 - 2020 w zakresie informacji i promocji (dostępny na stronie internetowej DIP). </w:t>
      </w:r>
    </w:p>
    <w:p w14:paraId="37534D6A" w14:textId="77777777" w:rsidR="0015335D" w:rsidRPr="003A416A" w:rsidRDefault="0015335D" w:rsidP="001B635A">
      <w:pPr>
        <w:autoSpaceDE w:val="0"/>
        <w:autoSpaceDN w:val="0"/>
        <w:adjustRightInd w:val="0"/>
        <w:spacing w:after="0" w:line="276" w:lineRule="auto"/>
        <w:rPr>
          <w:rFonts w:cs="Arial"/>
        </w:rPr>
      </w:pPr>
    </w:p>
    <w:p w14:paraId="000E000B" w14:textId="186E1B2B" w:rsidR="0057172B" w:rsidRDefault="009E4695" w:rsidP="001B635A">
      <w:pPr>
        <w:autoSpaceDE w:val="0"/>
        <w:autoSpaceDN w:val="0"/>
        <w:adjustRightInd w:val="0"/>
        <w:spacing w:after="0" w:line="276" w:lineRule="auto"/>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14:paraId="30D4475C" w14:textId="77777777" w:rsidR="00DB74A0" w:rsidRPr="00DB74A0" w:rsidRDefault="00DB74A0" w:rsidP="001B635A">
      <w:pPr>
        <w:autoSpaceDE w:val="0"/>
        <w:autoSpaceDN w:val="0"/>
        <w:adjustRightInd w:val="0"/>
        <w:spacing w:after="0" w:line="276" w:lineRule="auto"/>
        <w:rPr>
          <w:rFonts w:cs="Arial"/>
        </w:rPr>
      </w:pPr>
    </w:p>
    <w:p w14:paraId="0E1A940E" w14:textId="1482B2D1" w:rsidR="00DB74A0" w:rsidRDefault="00CB3DFF" w:rsidP="001B635A">
      <w:pPr>
        <w:autoSpaceDE w:val="0"/>
        <w:autoSpaceDN w:val="0"/>
        <w:adjustRightInd w:val="0"/>
        <w:spacing w:after="0" w:line="276" w:lineRule="auto"/>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w sprawie udzielania pomocy inwestycyjnej na infrastrukturę energetyczną w ramach regionalnych 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14:paraId="7512C62D" w14:textId="77777777" w:rsidR="004F214A" w:rsidRPr="004F214A" w:rsidRDefault="004F214A" w:rsidP="001B635A">
      <w:pPr>
        <w:autoSpaceDE w:val="0"/>
        <w:autoSpaceDN w:val="0"/>
        <w:adjustRightInd w:val="0"/>
        <w:spacing w:after="0" w:line="276" w:lineRule="auto"/>
        <w:rPr>
          <w:rFonts w:cs="Arial"/>
        </w:rPr>
      </w:pPr>
    </w:p>
    <w:p w14:paraId="3382F435" w14:textId="362CCA5A" w:rsidR="0057172B" w:rsidRPr="00DB74A0" w:rsidRDefault="004055D9" w:rsidP="001B635A">
      <w:pPr>
        <w:rPr>
          <w:b/>
        </w:rPr>
      </w:pPr>
      <w:r w:rsidRPr="00DB74A0">
        <w:rPr>
          <w:b/>
        </w:rPr>
        <w:t>UWAGA: Wydatki nieobjęte rozporządzeniem w sprawie</w:t>
      </w:r>
      <w:r w:rsidR="00B278D3" w:rsidRPr="00DB74A0">
        <w:t xml:space="preserve"> </w:t>
      </w:r>
      <w:r w:rsidR="0057172B" w:rsidRPr="00DB74A0">
        <w:rPr>
          <w:b/>
        </w:rPr>
        <w:t>udzielania pomocy:</w:t>
      </w:r>
    </w:p>
    <w:p w14:paraId="3C3760E9" w14:textId="791717F5" w:rsidR="004055D9" w:rsidRPr="00DB74A0" w:rsidRDefault="004055D9" w:rsidP="001B635A">
      <w:pPr>
        <w:pStyle w:val="Akapitzlist"/>
        <w:numPr>
          <w:ilvl w:val="0"/>
          <w:numId w:val="33"/>
        </w:numPr>
        <w:jc w:val="left"/>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14:paraId="353851EB" w14:textId="1A7538C7" w:rsidR="0057172B" w:rsidRPr="00DB74A0" w:rsidRDefault="0057172B" w:rsidP="001B635A">
      <w:pPr>
        <w:pStyle w:val="Akapitzlist"/>
        <w:numPr>
          <w:ilvl w:val="0"/>
          <w:numId w:val="33"/>
        </w:numPr>
        <w:jc w:val="left"/>
      </w:pPr>
      <w:r w:rsidRPr="00DB74A0">
        <w:t xml:space="preserve">inwestycyjnej na infrastrukturę energetyczną </w:t>
      </w:r>
      <w:r w:rsidR="00B278D3" w:rsidRPr="00DB74A0">
        <w:t xml:space="preserve">w ramach </w:t>
      </w:r>
      <w:r w:rsidRPr="00DB74A0">
        <w:t>regionalnych programów operacyjnych na lata 2014–2020</w:t>
      </w:r>
    </w:p>
    <w:p w14:paraId="4CAB6795" w14:textId="5D0E34BE" w:rsidR="0057172B" w:rsidRPr="003A416A" w:rsidRDefault="00020065" w:rsidP="001B635A">
      <w:pPr>
        <w:rPr>
          <w:b/>
          <w:bCs/>
        </w:rPr>
      </w:pPr>
      <w:r w:rsidRPr="00DB74A0">
        <w:rPr>
          <w:b/>
        </w:rPr>
        <w:t xml:space="preserve">finansowane będą na podstawie </w:t>
      </w:r>
      <w:r w:rsidRPr="00DB74A0">
        <w:rPr>
          <w:rFonts w:cs="Arial"/>
          <w:b/>
        </w:rPr>
        <w:t>rozporządzenia de minimis.</w:t>
      </w:r>
    </w:p>
    <w:p w14:paraId="338DAE60" w14:textId="77777777" w:rsidR="004055D9" w:rsidRPr="003A416A" w:rsidRDefault="004055D9" w:rsidP="001B635A">
      <w:pPr>
        <w:ind w:left="13" w:hanging="13"/>
        <w:rPr>
          <w:b/>
          <w:bCs/>
        </w:rPr>
      </w:pPr>
      <w:r w:rsidRPr="003A416A">
        <w:rPr>
          <w:b/>
          <w:bCs/>
        </w:rPr>
        <w:t>Wydatki kwalifikowalne możliwe do finansowania na podstawie rozporządzenia de minimis:</w:t>
      </w:r>
    </w:p>
    <w:p w14:paraId="5D6769A5" w14:textId="77777777" w:rsidR="004055D9" w:rsidRPr="003A416A" w:rsidRDefault="004055D9" w:rsidP="001B635A">
      <w:pPr>
        <w:pStyle w:val="Akapitzlist"/>
        <w:numPr>
          <w:ilvl w:val="0"/>
          <w:numId w:val="35"/>
        </w:numPr>
        <w:jc w:val="left"/>
      </w:pPr>
      <w:r w:rsidRPr="003A416A">
        <w:t>wydatki związane z przygotowaniem dokumentacji projektu,</w:t>
      </w:r>
    </w:p>
    <w:p w14:paraId="634CD7CD" w14:textId="77777777" w:rsidR="004055D9" w:rsidRDefault="004055D9" w:rsidP="001B635A">
      <w:pPr>
        <w:pStyle w:val="Akapitzlist"/>
        <w:numPr>
          <w:ilvl w:val="0"/>
          <w:numId w:val="35"/>
        </w:numPr>
        <w:jc w:val="left"/>
      </w:pPr>
      <w:r w:rsidRPr="003A416A">
        <w:t>wydatki osobowe związane z zarządzaniem projektem/ koszty osobowe związane z zarządzaniem projektem z tytułu umowy o pracę,</w:t>
      </w:r>
    </w:p>
    <w:p w14:paraId="46B9F007" w14:textId="663A261D" w:rsidR="00E26E9C" w:rsidRPr="003A416A" w:rsidRDefault="00E26E9C" w:rsidP="001B635A">
      <w:pPr>
        <w:pStyle w:val="Akapitzlist"/>
        <w:numPr>
          <w:ilvl w:val="0"/>
          <w:numId w:val="35"/>
        </w:numPr>
        <w:jc w:val="left"/>
      </w:pPr>
      <w:r>
        <w:t>koszty promocji projektu</w:t>
      </w:r>
    </w:p>
    <w:p w14:paraId="39A743DF" w14:textId="77777777" w:rsidR="002741A1" w:rsidRPr="003A416A" w:rsidRDefault="002741A1" w:rsidP="001B635A"/>
    <w:tbl>
      <w:tblPr>
        <w:tblStyle w:val="Tabela-Siatka"/>
        <w:tblW w:w="0" w:type="auto"/>
        <w:tblLook w:val="04A0" w:firstRow="1" w:lastRow="0" w:firstColumn="1" w:lastColumn="0" w:noHBand="0" w:noVBand="1"/>
      </w:tblPr>
      <w:tblGrid>
        <w:gridCol w:w="9062"/>
      </w:tblGrid>
      <w:tr w:rsidR="009326F4" w:rsidRPr="003A416A" w14:paraId="4F82B734" w14:textId="77777777" w:rsidTr="009326F4">
        <w:tc>
          <w:tcPr>
            <w:tcW w:w="9212" w:type="dxa"/>
          </w:tcPr>
          <w:p w14:paraId="056BECBF" w14:textId="7D64EF0C" w:rsidR="009326F4" w:rsidRPr="003A416A" w:rsidRDefault="009326F4" w:rsidP="001B635A">
            <w:pPr>
              <w:autoSpaceDE w:val="0"/>
              <w:autoSpaceDN w:val="0"/>
              <w:adjustRightInd w:val="0"/>
              <w:spacing w:line="276" w:lineRule="auto"/>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14:paraId="1866196E" w14:textId="77777777" w:rsidR="009326F4" w:rsidRPr="003A416A" w:rsidRDefault="009326F4" w:rsidP="001B635A">
            <w:pPr>
              <w:autoSpaceDE w:val="0"/>
              <w:autoSpaceDN w:val="0"/>
              <w:adjustRightInd w:val="0"/>
              <w:spacing w:line="276" w:lineRule="auto"/>
              <w:rPr>
                <w:rFonts w:cs="Arial"/>
              </w:rPr>
            </w:pPr>
          </w:p>
          <w:p w14:paraId="7912732B" w14:textId="77777777" w:rsidR="00020065" w:rsidRPr="003A416A" w:rsidRDefault="00020065" w:rsidP="001B635A">
            <w:pPr>
              <w:numPr>
                <w:ilvl w:val="0"/>
                <w:numId w:val="34"/>
              </w:numPr>
              <w:spacing w:line="276" w:lineRule="auto"/>
            </w:pPr>
            <w:r w:rsidRPr="003A416A">
              <w:t>Wydatki na budowę i/lub modernizację infrastruktury służącej produkcji energii pochodzącej z konwencjonalnych źródeł energii tj. paliw kopalnych (np. węgiel kamienny, węgiel brunatny, ropa naftowa, gaz ziemny).</w:t>
            </w:r>
          </w:p>
          <w:p w14:paraId="53D922E8" w14:textId="77777777" w:rsidR="00020065" w:rsidRPr="003A416A" w:rsidRDefault="00020065" w:rsidP="001B635A">
            <w:pPr>
              <w:numPr>
                <w:ilvl w:val="0"/>
                <w:numId w:val="34"/>
              </w:numPr>
              <w:spacing w:line="276" w:lineRule="auto"/>
            </w:pPr>
            <w:r w:rsidRPr="003A416A">
              <w:t>Wydatki związane z demontażem urządzeń służących produkcji energii pochodzącej z konwencjonalnych źródeł energii, tj. paliw kopalnych (np. węgiel kamienny, węgiel brunatny, ropa naftowa, gaz ziemny).</w:t>
            </w:r>
          </w:p>
          <w:p w14:paraId="0F534455" w14:textId="77777777" w:rsidR="00020065" w:rsidRPr="003A416A" w:rsidRDefault="00020065" w:rsidP="001B635A">
            <w:pPr>
              <w:numPr>
                <w:ilvl w:val="0"/>
                <w:numId w:val="34"/>
              </w:numPr>
              <w:spacing w:line="276" w:lineRule="auto"/>
            </w:pPr>
            <w:r w:rsidRPr="003A416A">
              <w:t>Wydatki związane z zakupem środków transportu.</w:t>
            </w:r>
          </w:p>
          <w:p w14:paraId="08712B40" w14:textId="77777777" w:rsidR="00020065" w:rsidRPr="003A416A" w:rsidRDefault="00020065" w:rsidP="001B635A">
            <w:pPr>
              <w:pStyle w:val="Akapitzlist"/>
              <w:numPr>
                <w:ilvl w:val="0"/>
                <w:numId w:val="34"/>
              </w:numPr>
              <w:jc w:val="left"/>
            </w:pPr>
            <w:r w:rsidRPr="003A416A">
              <w:t>Wydatki poniesione na infrastrukturę służącą do przyłączenia do najbliżej istniejącej sieci przekraczające 49% wartości całkowitych wydatków kwalifikowalnych projektu.</w:t>
            </w:r>
          </w:p>
          <w:p w14:paraId="7894FCD4" w14:textId="77777777" w:rsidR="00020065" w:rsidRPr="003A416A" w:rsidRDefault="00020065" w:rsidP="001B635A">
            <w:pPr>
              <w:pStyle w:val="Akapitzlist"/>
              <w:numPr>
                <w:ilvl w:val="0"/>
                <w:numId w:val="34"/>
              </w:numPr>
              <w:jc w:val="left"/>
            </w:pPr>
            <w:r w:rsidRPr="003A416A">
              <w:t xml:space="preserve">Wydatki na wynagrodzenia będące efektem tworzenia nowych miejsc pracy. </w:t>
            </w:r>
          </w:p>
          <w:p w14:paraId="4F37DC1B" w14:textId="77777777" w:rsidR="00020065" w:rsidRPr="003A416A" w:rsidRDefault="00020065" w:rsidP="001B635A">
            <w:pPr>
              <w:pStyle w:val="Akapitzlist"/>
              <w:numPr>
                <w:ilvl w:val="0"/>
                <w:numId w:val="34"/>
              </w:numPr>
              <w:jc w:val="left"/>
            </w:pPr>
            <w:r w:rsidRPr="003A416A">
              <w:t>Wydatki związane z działaniami informacyjno-promocyjnymi projektu.</w:t>
            </w:r>
          </w:p>
          <w:p w14:paraId="38BD4166" w14:textId="77777777" w:rsidR="009326F4" w:rsidRPr="003A416A" w:rsidRDefault="009326F4" w:rsidP="001B635A">
            <w:pPr>
              <w:spacing w:line="276" w:lineRule="auto"/>
              <w:ind w:left="720"/>
              <w:contextualSpacing/>
            </w:pPr>
          </w:p>
        </w:tc>
      </w:tr>
    </w:tbl>
    <w:p w14:paraId="64BB14DD" w14:textId="77777777" w:rsidR="00B57DE0" w:rsidRPr="003A416A" w:rsidRDefault="00B57DE0" w:rsidP="001B635A">
      <w:pPr>
        <w:spacing w:after="0" w:line="276" w:lineRule="auto"/>
      </w:pPr>
    </w:p>
    <w:p w14:paraId="781C4D5B" w14:textId="77777777" w:rsidR="00B57DE0" w:rsidRPr="003A416A" w:rsidRDefault="00B57DE0" w:rsidP="001B635A">
      <w:pPr>
        <w:autoSpaceDE w:val="0"/>
        <w:autoSpaceDN w:val="0"/>
        <w:adjustRightInd w:val="0"/>
        <w:spacing w:after="120" w:line="276" w:lineRule="auto"/>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14:paraId="58A7675F" w14:textId="77777777" w:rsidR="00020065" w:rsidRPr="003A416A" w:rsidRDefault="00B57DE0" w:rsidP="001B635A">
      <w:pPr>
        <w:autoSpaceDE w:val="0"/>
        <w:autoSpaceDN w:val="0"/>
        <w:adjustRightInd w:val="0"/>
        <w:spacing w:after="120" w:line="276" w:lineRule="auto"/>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14:paraId="4824E008" w14:textId="66917346" w:rsidR="00020065" w:rsidRPr="00DB74A0" w:rsidRDefault="00020065" w:rsidP="001B635A">
      <w:pPr>
        <w:pStyle w:val="Akapitzlist"/>
        <w:numPr>
          <w:ilvl w:val="0"/>
          <w:numId w:val="39"/>
        </w:numPr>
        <w:jc w:val="left"/>
      </w:pPr>
      <w:r w:rsidRPr="003A416A">
        <w:t xml:space="preserve">inwestycje w układy wysokosprawnej kogeneracji oraz na propagowanie energii </w:t>
      </w:r>
      <w:r w:rsidRPr="00DB74A0">
        <w:t xml:space="preserve">ze źródeł odnawialnych w ramach regionalnych programów operacyjnych na lata 2014–2020 </w:t>
      </w:r>
    </w:p>
    <w:p w14:paraId="02F100ED" w14:textId="4C6D9936" w:rsidR="00020065" w:rsidRPr="00DB74A0" w:rsidRDefault="00020065" w:rsidP="001B635A">
      <w:pPr>
        <w:pStyle w:val="Akapitzlist"/>
        <w:numPr>
          <w:ilvl w:val="0"/>
          <w:numId w:val="39"/>
        </w:numPr>
        <w:jc w:val="left"/>
      </w:pPr>
      <w:r w:rsidRPr="00DB74A0">
        <w:t>w sprawie udzielania pomocy inwestycyjnej na infrastrukturę energetyczną w ramach regionalnych programów operacyjnych na lata 2014–2020</w:t>
      </w:r>
    </w:p>
    <w:p w14:paraId="70D08B8D" w14:textId="49B37CC8" w:rsidR="00B57DE0" w:rsidRPr="003A416A" w:rsidRDefault="00B57DE0" w:rsidP="001B635A">
      <w:pPr>
        <w:autoSpaceDE w:val="0"/>
        <w:autoSpaceDN w:val="0"/>
        <w:adjustRightInd w:val="0"/>
        <w:spacing w:after="120"/>
        <w:rPr>
          <w:rFonts w:cs="Arial"/>
        </w:rPr>
      </w:pPr>
      <w:r w:rsidRPr="00DB74A0">
        <w:rPr>
          <w:rFonts w:cs="Arial"/>
        </w:rPr>
        <w:t>okres kwalifikowalności rozpoczyna się po złożeniu wniosku o dofinansowanie.</w:t>
      </w:r>
    </w:p>
    <w:p w14:paraId="50619E46" w14:textId="77777777" w:rsidR="00DB74A0" w:rsidRDefault="00DB74A0" w:rsidP="001B635A">
      <w:pPr>
        <w:autoSpaceDE w:val="0"/>
        <w:autoSpaceDN w:val="0"/>
        <w:adjustRightInd w:val="0"/>
        <w:spacing w:after="120" w:line="276" w:lineRule="auto"/>
        <w:rPr>
          <w:rFonts w:ascii="Calibri" w:hAnsi="Calibri" w:cs="Arial"/>
          <w:szCs w:val="24"/>
        </w:rPr>
      </w:pPr>
    </w:p>
    <w:p w14:paraId="0B8684DB" w14:textId="77777777" w:rsidR="00B57DE0" w:rsidRPr="003A416A" w:rsidRDefault="00B57DE0" w:rsidP="001B635A">
      <w:pPr>
        <w:autoSpaceDE w:val="0"/>
        <w:autoSpaceDN w:val="0"/>
        <w:adjustRightInd w:val="0"/>
        <w:spacing w:after="120" w:line="276" w:lineRule="auto"/>
        <w:rPr>
          <w:rFonts w:ascii="Calibri" w:hAnsi="Calibri" w:cs="Arial"/>
          <w:szCs w:val="24"/>
        </w:rPr>
      </w:pPr>
      <w:r w:rsidRPr="003A416A">
        <w:rPr>
          <w:rFonts w:ascii="Calibri" w:hAnsi="Calibri" w:cs="Arial"/>
          <w:szCs w:val="24"/>
        </w:rPr>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14:paraId="1416A391" w14:textId="15048135" w:rsidR="00B57DE0" w:rsidRPr="003A416A" w:rsidRDefault="00B57DE0" w:rsidP="001B635A">
      <w:pPr>
        <w:spacing w:after="0" w:line="276" w:lineRule="auto"/>
        <w:contextualSpacing/>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złożeniu wniosku o dofinansowanie. </w:t>
      </w:r>
      <w:r w:rsidRPr="003A416A">
        <w:rPr>
          <w:rFonts w:ascii="Calibri" w:hAnsi="Calibri"/>
          <w:b/>
        </w:rPr>
        <w:t>Naruszenie wyżej opisanego wymogu oznacza dyskwalifikację całego projektu.</w:t>
      </w:r>
    </w:p>
    <w:p w14:paraId="438DA500" w14:textId="68DD9D14"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14:paraId="2BFFDB1A" w14:textId="77777777"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Należy mieć na uwadze, iż Wnioskodawca rozpoczynając projekt wcześniej niż po podpisaniu umowy o dofinansowanie, czyni to na własne ryzyko.</w:t>
      </w:r>
    </w:p>
    <w:p w14:paraId="3D844CF5" w14:textId="2BA10280" w:rsidR="00B57DE0" w:rsidRPr="003A416A" w:rsidRDefault="00B57DE0"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14:paraId="5AE9ACC2" w14:textId="77777777" w:rsidR="00970F61" w:rsidRPr="003A416A" w:rsidRDefault="00970F61" w:rsidP="001B635A">
      <w:pPr>
        <w:pStyle w:val="Default"/>
        <w:spacing w:line="276" w:lineRule="auto"/>
        <w:rPr>
          <w:rFonts w:asciiTheme="minorHAnsi" w:hAnsiTheme="minorHAnsi"/>
          <w:sz w:val="22"/>
          <w:szCs w:val="22"/>
        </w:rPr>
      </w:pPr>
    </w:p>
    <w:p w14:paraId="178925CD" w14:textId="77777777"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lastRenderedPageBreak/>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56E668C2" w14:textId="361A57A4"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309A9A33" w:rsidR="00892D10" w:rsidRPr="003A416A" w:rsidRDefault="00B57DE0" w:rsidP="001B635A">
      <w:pPr>
        <w:spacing w:line="276" w:lineRule="auto"/>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14:paraId="5E8E1180" w14:textId="77777777" w:rsidR="00134BB0" w:rsidRDefault="00134BB0" w:rsidP="001B635A">
      <w:pPr>
        <w:autoSpaceDE w:val="0"/>
        <w:autoSpaceDN w:val="0"/>
        <w:adjustRightInd w:val="0"/>
        <w:spacing w:after="0" w:line="276" w:lineRule="auto"/>
        <w:rPr>
          <w:rFonts w:cs="Calibri"/>
          <w:b/>
          <w:color w:val="000000"/>
          <w:u w:val="single"/>
        </w:rPr>
      </w:pPr>
    </w:p>
    <w:p w14:paraId="27415AD2" w14:textId="77777777" w:rsidR="00B57DE0" w:rsidRPr="003A416A" w:rsidRDefault="00B57DE0" w:rsidP="001B635A">
      <w:pPr>
        <w:autoSpaceDE w:val="0"/>
        <w:autoSpaceDN w:val="0"/>
        <w:adjustRightInd w:val="0"/>
        <w:spacing w:after="0" w:line="276" w:lineRule="auto"/>
        <w:rPr>
          <w:rFonts w:cs="Calibri"/>
          <w:color w:val="000000"/>
        </w:rPr>
      </w:pPr>
      <w:r w:rsidRPr="003A416A">
        <w:rPr>
          <w:rFonts w:cs="Calibri"/>
          <w:b/>
          <w:color w:val="000000"/>
          <w:u w:val="single"/>
        </w:rPr>
        <w:t>Obowiązek publikacji zapytań ofertowych</w:t>
      </w:r>
      <w:r w:rsidRPr="003A416A">
        <w:rPr>
          <w:rFonts w:cs="Calibri"/>
          <w:b/>
          <w:color w:val="000000"/>
        </w:rPr>
        <w:t>:</w:t>
      </w:r>
    </w:p>
    <w:p w14:paraId="1146045B"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3A416A" w:rsidRDefault="00AB72E7" w:rsidP="001B635A">
      <w:pPr>
        <w:autoSpaceDE w:val="0"/>
        <w:autoSpaceDN w:val="0"/>
        <w:adjustRightInd w:val="0"/>
        <w:spacing w:after="0" w:line="252" w:lineRule="auto"/>
        <w:rPr>
          <w:rFonts w:cs="Calibri"/>
          <w:color w:val="000000"/>
        </w:rPr>
      </w:pPr>
    </w:p>
    <w:p w14:paraId="1B4C6575"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0" w:history="1">
        <w:r w:rsidR="00AF6D4E" w:rsidRPr="003A416A">
          <w:rPr>
            <w:rStyle w:val="Hipercze"/>
            <w:rFonts w:cs="Calibri"/>
          </w:rPr>
          <w:t>www.bazakonkurencyjnosci.funduszeeuropejskie.gov.pl</w:t>
        </w:r>
      </w:hyperlink>
      <w:r w:rsidRPr="003A416A">
        <w:rPr>
          <w:rFonts w:cs="Calibri"/>
          <w:color w:val="000000"/>
        </w:rPr>
        <w:t>.</w:t>
      </w:r>
    </w:p>
    <w:p w14:paraId="5CDD08DA" w14:textId="77777777" w:rsidR="00AF6D4E" w:rsidRPr="003A416A" w:rsidRDefault="00AF6D4E" w:rsidP="001B635A">
      <w:pPr>
        <w:autoSpaceDE w:val="0"/>
        <w:autoSpaceDN w:val="0"/>
        <w:adjustRightInd w:val="0"/>
        <w:spacing w:after="0" w:line="252" w:lineRule="auto"/>
        <w:rPr>
          <w:rFonts w:cs="Calibri"/>
          <w:color w:val="000000"/>
        </w:rPr>
      </w:pPr>
    </w:p>
    <w:p w14:paraId="26A97AC0" w14:textId="77777777" w:rsidR="00AB72E7" w:rsidRPr="003A416A" w:rsidRDefault="00AF6D4E" w:rsidP="001B635A">
      <w:pPr>
        <w:autoSpaceDE w:val="0"/>
        <w:autoSpaceDN w:val="0"/>
        <w:adjustRightInd w:val="0"/>
        <w:spacing w:after="0" w:line="252" w:lineRule="auto"/>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3A416A" w:rsidRDefault="00B57DE0" w:rsidP="001B635A">
      <w:pPr>
        <w:pStyle w:val="Default"/>
        <w:spacing w:line="276" w:lineRule="auto"/>
        <w:rPr>
          <w:rFonts w:cs="Calibri"/>
        </w:rPr>
      </w:pPr>
    </w:p>
    <w:p w14:paraId="1AA3B9E3" w14:textId="091D1E13" w:rsidR="00B57DE0" w:rsidRPr="003A416A" w:rsidRDefault="00B57DE0" w:rsidP="001B635A">
      <w:pPr>
        <w:widowControl w:val="0"/>
        <w:spacing w:after="0" w:line="276" w:lineRule="auto"/>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14:paraId="161EE693" w14:textId="77777777" w:rsidR="00B57DE0" w:rsidRPr="003A416A" w:rsidRDefault="00C56A87" w:rsidP="001B635A">
      <w:pPr>
        <w:pStyle w:val="Nagwek1"/>
        <w:tabs>
          <w:tab w:val="left" w:pos="426"/>
        </w:tabs>
        <w:spacing w:before="480" w:after="240" w:line="240" w:lineRule="auto"/>
        <w:ind w:left="425" w:hanging="425"/>
      </w:pPr>
      <w:bookmarkStart w:id="82" w:name="_Toc20832250"/>
      <w:r w:rsidRPr="003A416A">
        <w:t>2</w:t>
      </w:r>
      <w:r w:rsidR="00E559F4" w:rsidRPr="003A416A">
        <w:t>8</w:t>
      </w:r>
      <w:r w:rsidRPr="003A416A">
        <w:t xml:space="preserve">. </w:t>
      </w:r>
      <w:r w:rsidR="00B57DE0" w:rsidRPr="003A416A">
        <w:t>Studium wykonalności</w:t>
      </w:r>
      <w:bookmarkEnd w:id="82"/>
    </w:p>
    <w:p w14:paraId="68785A63" w14:textId="4CC4A6F0" w:rsidR="007C155E" w:rsidRPr="003A416A" w:rsidRDefault="00B57DE0" w:rsidP="001B635A">
      <w:pPr>
        <w:widowControl w:val="0"/>
        <w:spacing w:after="0" w:line="276" w:lineRule="auto"/>
      </w:pPr>
      <w:r w:rsidRPr="003A416A">
        <w:t xml:space="preserve">Studium wykonalności nie stanowi osobnego załącznika do wniosku o dofinansowanie. Część opisowa </w:t>
      </w:r>
    </w:p>
    <w:p w14:paraId="5611294D" w14:textId="22B683E0" w:rsidR="00970F61" w:rsidRDefault="00B57DE0" w:rsidP="001B635A">
      <w:pPr>
        <w:widowControl w:val="0"/>
        <w:spacing w:after="0" w:line="276" w:lineRule="auto"/>
      </w:pPr>
      <w:r w:rsidRPr="003A416A">
        <w:t xml:space="preserve">studium jest zintegrowana z wnioskiem, stanowiąc jedną z zakładek w generatorze wniosków. Nie </w:t>
      </w:r>
      <w:r w:rsidRPr="003A416A">
        <w:lastRenderedPageBreak/>
        <w:t xml:space="preserve">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r w:rsidR="00B278D3" w:rsidRPr="003A416A">
        <w:t xml:space="preserve"> </w:t>
      </w:r>
    </w:p>
    <w:p w14:paraId="4D7AF37B" w14:textId="77777777" w:rsidR="00A117B9" w:rsidRDefault="00A117B9" w:rsidP="001B635A">
      <w:pPr>
        <w:widowControl w:val="0"/>
        <w:spacing w:after="0" w:line="276" w:lineRule="auto"/>
      </w:pPr>
    </w:p>
    <w:p w14:paraId="16981045" w14:textId="77777777" w:rsidR="00A117B9" w:rsidRPr="003A416A" w:rsidRDefault="00A117B9" w:rsidP="001B635A">
      <w:pPr>
        <w:widowControl w:val="0"/>
        <w:spacing w:after="0" w:line="276" w:lineRule="auto"/>
        <w:rPr>
          <w:rFonts w:cs="Arial"/>
          <w:sz w:val="20"/>
        </w:rPr>
      </w:pPr>
    </w:p>
    <w:p w14:paraId="40D81538" w14:textId="77777777" w:rsidR="00F6674B" w:rsidRPr="003A416A" w:rsidRDefault="00F6674B" w:rsidP="001B635A">
      <w:pPr>
        <w:pStyle w:val="Nagwek1"/>
        <w:tabs>
          <w:tab w:val="left" w:pos="426"/>
        </w:tabs>
        <w:spacing w:before="480" w:after="240" w:line="240" w:lineRule="auto"/>
        <w:ind w:left="425" w:hanging="425"/>
      </w:pPr>
      <w:bookmarkStart w:id="83" w:name="_Toc20832251"/>
      <w:r w:rsidRPr="003A416A">
        <w:t>2</w:t>
      </w:r>
      <w:r w:rsidR="00E559F4" w:rsidRPr="003A416A">
        <w:t>9</w:t>
      </w:r>
      <w:r w:rsidRPr="003A416A">
        <w:t>. Polityka ochrony środowiska</w:t>
      </w:r>
      <w:bookmarkEnd w:id="83"/>
    </w:p>
    <w:p w14:paraId="10949FD6" w14:textId="77777777" w:rsidR="00AB3441" w:rsidRPr="003A416A" w:rsidRDefault="00AB3441" w:rsidP="001B635A">
      <w:pPr>
        <w:spacing w:after="0" w:line="276" w:lineRule="auto"/>
        <w:rPr>
          <w:rFonts w:cstheme="minorHAnsi"/>
          <w:szCs w:val="24"/>
        </w:rPr>
      </w:pPr>
      <w:r w:rsidRPr="003A416A">
        <w:rPr>
          <w:rFonts w:cstheme="minorHAnsi"/>
          <w:szCs w:val="24"/>
        </w:rPr>
        <w:t>Do wniosku o dofinansowanie projektu należy dołączyć:</w:t>
      </w:r>
    </w:p>
    <w:p w14:paraId="30C49183" w14:textId="77777777" w:rsidR="00AB3441" w:rsidRPr="003A416A" w:rsidRDefault="00AB3441" w:rsidP="001B635A">
      <w:pPr>
        <w:pStyle w:val="Akapitzlist"/>
        <w:numPr>
          <w:ilvl w:val="0"/>
          <w:numId w:val="17"/>
        </w:numPr>
        <w:jc w:val="left"/>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14:paraId="000F0DFC" w14:textId="77777777" w:rsidR="00AB3441" w:rsidRPr="003A416A" w:rsidRDefault="00AB3441" w:rsidP="001B635A">
      <w:pPr>
        <w:pStyle w:val="Akapitzlist"/>
        <w:numPr>
          <w:ilvl w:val="0"/>
          <w:numId w:val="11"/>
        </w:numPr>
        <w:jc w:val="left"/>
      </w:pPr>
      <w:r w:rsidRPr="003A416A">
        <w:t xml:space="preserve">oraz </w:t>
      </w:r>
    </w:p>
    <w:p w14:paraId="5C982349" w14:textId="77777777" w:rsidR="00AB3441" w:rsidRPr="003A416A" w:rsidRDefault="00AB3441" w:rsidP="001B635A">
      <w:pPr>
        <w:pStyle w:val="Akapitzlist"/>
        <w:numPr>
          <w:ilvl w:val="0"/>
          <w:numId w:val="17"/>
        </w:numPr>
        <w:jc w:val="left"/>
      </w:pPr>
      <w:r w:rsidRPr="003A416A">
        <w:rPr>
          <w:b/>
          <w:bCs/>
        </w:rPr>
        <w:t>Deklarację</w:t>
      </w:r>
      <w:r w:rsidRPr="003A416A">
        <w:t xml:space="preserve"> organu odpowiedzialnego za monitorowanie obszarów </w:t>
      </w:r>
      <w:r w:rsidRPr="003A416A">
        <w:rPr>
          <w:b/>
          <w:bCs/>
        </w:rPr>
        <w:t>Natura 2000 [Deklaracja Natura 2000]</w:t>
      </w:r>
      <w:r w:rsidRPr="003A416A">
        <w:t>.</w:t>
      </w:r>
    </w:p>
    <w:p w14:paraId="6B6A5E50" w14:textId="77777777" w:rsidR="00970F61" w:rsidRPr="003A416A" w:rsidRDefault="00970F61" w:rsidP="001B635A">
      <w:pPr>
        <w:spacing w:after="0" w:line="276" w:lineRule="auto"/>
        <w:rPr>
          <w:rFonts w:cstheme="minorHAnsi"/>
          <w:szCs w:val="24"/>
        </w:rPr>
      </w:pPr>
    </w:p>
    <w:p w14:paraId="538E7DD6" w14:textId="3D17669D" w:rsidR="00AB3441" w:rsidRPr="003A416A" w:rsidRDefault="00AB3441" w:rsidP="001B635A">
      <w:pPr>
        <w:spacing w:after="0" w:line="276" w:lineRule="auto"/>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A416A" w:rsidRDefault="00AB3441" w:rsidP="001B635A">
      <w:pPr>
        <w:spacing w:after="0" w:line="276" w:lineRule="auto"/>
        <w:rPr>
          <w:rFonts w:cstheme="minorHAnsi"/>
          <w:szCs w:val="24"/>
        </w:rPr>
      </w:pPr>
    </w:p>
    <w:p w14:paraId="38FAC1B6" w14:textId="45C87937" w:rsidR="00AB3441" w:rsidRPr="003A416A" w:rsidRDefault="00AB3441" w:rsidP="001B635A">
      <w:pPr>
        <w:spacing w:after="0" w:line="276" w:lineRule="auto"/>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06E630F9" w14:textId="77777777" w:rsidR="00AB3441" w:rsidRPr="003A416A" w:rsidRDefault="00AB3441" w:rsidP="001B635A">
      <w:pPr>
        <w:spacing w:after="0" w:line="276" w:lineRule="auto"/>
        <w:rPr>
          <w:rFonts w:cstheme="minorHAnsi"/>
          <w:szCs w:val="24"/>
        </w:rPr>
      </w:pPr>
    </w:p>
    <w:p w14:paraId="47F1695E" w14:textId="77777777" w:rsidR="00AB3441" w:rsidRPr="003A416A" w:rsidRDefault="00AB3441" w:rsidP="001B635A">
      <w:pPr>
        <w:spacing w:after="0" w:line="276" w:lineRule="auto"/>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13641BBC" w14:textId="77777777" w:rsidR="00AB3441" w:rsidRPr="003A416A" w:rsidRDefault="00AB3441" w:rsidP="001B635A">
      <w:pPr>
        <w:spacing w:after="0" w:line="276" w:lineRule="auto"/>
        <w:rPr>
          <w:rFonts w:cstheme="minorHAnsi"/>
          <w:szCs w:val="24"/>
        </w:rPr>
      </w:pPr>
    </w:p>
    <w:p w14:paraId="0288B3F2" w14:textId="77777777" w:rsidR="00AB3441" w:rsidRPr="003A416A" w:rsidRDefault="00AB3441" w:rsidP="001B635A">
      <w:pPr>
        <w:spacing w:after="0" w:line="276" w:lineRule="auto"/>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516C0AAD" w14:textId="77777777" w:rsidR="00AB3441" w:rsidRPr="003A416A" w:rsidRDefault="00AB3441" w:rsidP="001B635A">
      <w:pPr>
        <w:spacing w:after="0" w:line="276" w:lineRule="auto"/>
        <w:rPr>
          <w:rFonts w:cstheme="minorHAnsi"/>
          <w:szCs w:val="24"/>
        </w:rPr>
      </w:pPr>
    </w:p>
    <w:p w14:paraId="38E27ECB" w14:textId="77777777" w:rsidR="00AB3441" w:rsidRPr="003A416A" w:rsidRDefault="00AB3441" w:rsidP="001B635A">
      <w:pPr>
        <w:spacing w:after="0" w:line="276" w:lineRule="auto"/>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3A416A" w:rsidRDefault="00AB3441" w:rsidP="001B635A">
      <w:pPr>
        <w:spacing w:after="0" w:line="276" w:lineRule="auto"/>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90E8301" w14:textId="77777777" w:rsidR="00970F61" w:rsidRPr="003A416A" w:rsidRDefault="00970F61" w:rsidP="001B635A">
      <w:pPr>
        <w:spacing w:after="0" w:line="276" w:lineRule="auto"/>
      </w:pPr>
    </w:p>
    <w:p w14:paraId="277DB92F" w14:textId="77777777" w:rsidR="00CB3102" w:rsidRPr="003A416A" w:rsidRDefault="00CB3102" w:rsidP="001B635A">
      <w:pPr>
        <w:pStyle w:val="Nagwek1"/>
      </w:pPr>
      <w:bookmarkStart w:id="84" w:name="_Toc20832253"/>
      <w:r w:rsidRPr="003A416A">
        <w:t>Załączniki do Regulaminu Konkursu</w:t>
      </w:r>
      <w:bookmarkEnd w:id="84"/>
    </w:p>
    <w:p w14:paraId="1D3607EF" w14:textId="77777777" w:rsidR="00CB3102" w:rsidRPr="003A416A" w:rsidRDefault="00CB3102" w:rsidP="001B635A">
      <w:pPr>
        <w:pStyle w:val="Akapitzlist"/>
        <w:numPr>
          <w:ilvl w:val="0"/>
          <w:numId w:val="14"/>
        </w:numPr>
        <w:jc w:val="left"/>
      </w:pPr>
      <w:r w:rsidRPr="003A416A">
        <w:t xml:space="preserve">Wzór wniosku o dofinansowanie projektu </w:t>
      </w:r>
    </w:p>
    <w:p w14:paraId="3CDB16B8" w14:textId="7379A1F4" w:rsidR="00CB3102" w:rsidRPr="003A416A" w:rsidRDefault="00CB3102" w:rsidP="001B635A">
      <w:pPr>
        <w:pStyle w:val="Akapitzlist"/>
        <w:numPr>
          <w:ilvl w:val="0"/>
          <w:numId w:val="14"/>
        </w:numPr>
        <w:jc w:val="left"/>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14:paraId="79EE29AE" w14:textId="4A25920D" w:rsidR="0011437E" w:rsidRPr="003A416A" w:rsidRDefault="0011437E" w:rsidP="001B635A">
      <w:pPr>
        <w:pStyle w:val="Akapitzlist"/>
        <w:numPr>
          <w:ilvl w:val="0"/>
          <w:numId w:val="14"/>
        </w:numPr>
        <w:jc w:val="left"/>
      </w:pPr>
      <w:r w:rsidRPr="003A416A">
        <w:t>Karta weryfikacyjna do kryterium „Adekwatność zapisów i spójność wewnętrzna projektu” w zakresie wpływu na środowisko i/lub obszary Natura 2000</w:t>
      </w:r>
    </w:p>
    <w:p w14:paraId="11853A1A" w14:textId="3FA75AB2" w:rsidR="0011437E" w:rsidRPr="003A416A" w:rsidRDefault="0011437E" w:rsidP="001B635A">
      <w:pPr>
        <w:pStyle w:val="Akapitzlist"/>
        <w:numPr>
          <w:ilvl w:val="0"/>
          <w:numId w:val="14"/>
        </w:numPr>
        <w:jc w:val="left"/>
      </w:pPr>
      <w:r w:rsidRPr="003A416A">
        <w:t>Karta weryfikacyjna do kryterium „Zgodność projektu z polityką ochrony środowiska”</w:t>
      </w:r>
    </w:p>
    <w:p w14:paraId="522B0744" w14:textId="77777777" w:rsidR="0011437E" w:rsidRPr="003A416A" w:rsidRDefault="0011437E" w:rsidP="001B635A">
      <w:pPr>
        <w:pStyle w:val="Akapitzlist"/>
        <w:numPr>
          <w:ilvl w:val="0"/>
          <w:numId w:val="14"/>
        </w:numPr>
        <w:jc w:val="left"/>
      </w:pPr>
      <w:r w:rsidRPr="003A416A">
        <w:t>Lista sprawdzająca projekt zgłoszony do dofinansowania w zakresie warunków formalnych i oczywistych omyłek w trybie art. 43. ustawy wdrożeniowej</w:t>
      </w:r>
    </w:p>
    <w:p w14:paraId="3C0361D8" w14:textId="77777777" w:rsidR="00CB3102" w:rsidRPr="003A416A" w:rsidRDefault="00CB3102" w:rsidP="001B635A">
      <w:pPr>
        <w:pStyle w:val="Akapitzlist"/>
        <w:numPr>
          <w:ilvl w:val="0"/>
          <w:numId w:val="14"/>
        </w:numPr>
        <w:jc w:val="left"/>
      </w:pPr>
      <w:r w:rsidRPr="003A416A">
        <w:t>Wzór umowy o dofinansowanie projektu</w:t>
      </w:r>
    </w:p>
    <w:p w14:paraId="68CD5C81" w14:textId="1DEDED25" w:rsidR="00CB3102" w:rsidRPr="003A416A" w:rsidRDefault="00CB3102" w:rsidP="001B635A">
      <w:pPr>
        <w:pStyle w:val="Akapitzlist"/>
        <w:numPr>
          <w:ilvl w:val="0"/>
          <w:numId w:val="14"/>
        </w:numPr>
        <w:jc w:val="left"/>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14:paraId="4AA71117" w14:textId="77777777" w:rsidR="00CB3102" w:rsidRPr="003A416A" w:rsidRDefault="00CB3102" w:rsidP="001B635A">
      <w:pPr>
        <w:pStyle w:val="Akapitzlist"/>
        <w:numPr>
          <w:ilvl w:val="0"/>
          <w:numId w:val="14"/>
        </w:numPr>
        <w:jc w:val="left"/>
      </w:pPr>
      <w:r w:rsidRPr="003A416A">
        <w:t xml:space="preserve">Wykaz niezbędnych dokumentów do podpisania umowy o dofinansowanie </w:t>
      </w:r>
    </w:p>
    <w:p w14:paraId="06478B08" w14:textId="77777777" w:rsidR="00F6674B" w:rsidRPr="008D13A9" w:rsidRDefault="00F6674B" w:rsidP="001B635A">
      <w:pPr>
        <w:widowControl w:val="0"/>
        <w:spacing w:after="0" w:line="360" w:lineRule="auto"/>
      </w:pPr>
    </w:p>
    <w:sectPr w:rsidR="00F6674B" w:rsidRPr="008D13A9" w:rsidSect="00244E30">
      <w:footerReference w:type="default" r:id="rId21"/>
      <w:headerReference w:type="first" r:id="rId22"/>
      <w:footerReference w:type="first" r:id="rId23"/>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FAD9" w14:textId="77777777" w:rsidR="00040044" w:rsidRDefault="00040044" w:rsidP="006E7EF1">
      <w:pPr>
        <w:spacing w:after="0" w:line="240" w:lineRule="auto"/>
      </w:pPr>
      <w:r>
        <w:separator/>
      </w:r>
    </w:p>
  </w:endnote>
  <w:endnote w:type="continuationSeparator" w:id="0">
    <w:p w14:paraId="09476CA1" w14:textId="77777777" w:rsidR="00040044" w:rsidRDefault="00040044" w:rsidP="006E7EF1">
      <w:pPr>
        <w:spacing w:after="0" w:line="240" w:lineRule="auto"/>
      </w:pPr>
      <w:r>
        <w:continuationSeparator/>
      </w:r>
    </w:p>
  </w:endnote>
  <w:endnote w:type="continuationNotice" w:id="1">
    <w:p w14:paraId="085235C8" w14:textId="77777777" w:rsidR="00040044" w:rsidRDefault="0004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167C2CE" w14:textId="77777777" w:rsidR="00040044" w:rsidRDefault="00040044">
        <w:pPr>
          <w:pStyle w:val="Stopka"/>
          <w:jc w:val="center"/>
        </w:pPr>
        <w:r>
          <w:fldChar w:fldCharType="begin"/>
        </w:r>
        <w:r>
          <w:instrText xml:space="preserve"> PAGE   \* MERGEFORMAT </w:instrText>
        </w:r>
        <w:r>
          <w:fldChar w:fldCharType="separate"/>
        </w:r>
        <w:r w:rsidR="00531391">
          <w:rPr>
            <w:noProof/>
          </w:rPr>
          <w:t>25</w:t>
        </w:r>
        <w:r>
          <w:rPr>
            <w:noProof/>
          </w:rPr>
          <w:fldChar w:fldCharType="end"/>
        </w:r>
      </w:p>
    </w:sdtContent>
  </w:sdt>
  <w:p w14:paraId="14A94449" w14:textId="77777777" w:rsidR="00040044" w:rsidRDefault="000400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587" w14:textId="77777777" w:rsidR="00040044" w:rsidRPr="00C41932" w:rsidRDefault="00531391"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040044"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040044" w:rsidRPr="00F076EA" w:rsidRDefault="00040044" w:rsidP="00244E30">
    <w:pPr>
      <w:spacing w:after="0"/>
      <w:jc w:val="center"/>
      <w:rPr>
        <w:b/>
        <w:i/>
        <w:sz w:val="16"/>
        <w:szCs w:val="16"/>
      </w:rPr>
    </w:pPr>
    <w:r>
      <w:rPr>
        <w:b/>
        <w:i/>
        <w:sz w:val="16"/>
        <w:szCs w:val="16"/>
      </w:rPr>
      <w:t>Projekt współfinansowany ze środków  Europejskiego Funduszu Społecznego</w:t>
    </w:r>
  </w:p>
  <w:p w14:paraId="59C67EDE" w14:textId="77777777" w:rsidR="00040044" w:rsidRDefault="00040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7A95" w14:textId="77777777" w:rsidR="00040044" w:rsidRDefault="00040044" w:rsidP="006E7EF1">
      <w:pPr>
        <w:spacing w:after="0" w:line="240" w:lineRule="auto"/>
      </w:pPr>
      <w:r>
        <w:separator/>
      </w:r>
    </w:p>
  </w:footnote>
  <w:footnote w:type="continuationSeparator" w:id="0">
    <w:p w14:paraId="32F4BD78" w14:textId="77777777" w:rsidR="00040044" w:rsidRDefault="00040044" w:rsidP="006E7EF1">
      <w:pPr>
        <w:spacing w:after="0" w:line="240" w:lineRule="auto"/>
      </w:pPr>
      <w:r>
        <w:continuationSeparator/>
      </w:r>
    </w:p>
  </w:footnote>
  <w:footnote w:type="continuationNotice" w:id="1">
    <w:p w14:paraId="3AEE5909" w14:textId="77777777" w:rsidR="00040044" w:rsidRDefault="00040044">
      <w:pPr>
        <w:spacing w:after="0" w:line="240" w:lineRule="auto"/>
      </w:pPr>
    </w:p>
  </w:footnote>
  <w:footnote w:id="2">
    <w:p w14:paraId="69EA0A64" w14:textId="77777777" w:rsidR="00040044" w:rsidRPr="00037CDA" w:rsidRDefault="00040044" w:rsidP="00B417F9">
      <w:pPr>
        <w:pStyle w:val="Tekstprzypisudolnego"/>
        <w:rPr>
          <w:rFonts w:asciiTheme="minorHAnsi" w:hAnsiTheme="minorHAnsi" w:cs="Arial"/>
        </w:rPr>
      </w:pPr>
      <w:r w:rsidRPr="00992DA7">
        <w:rPr>
          <w:rStyle w:val="Odwoanieprzypisudolnego"/>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14:paraId="03458FB7" w14:textId="2EED3A22"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sidR="004F214A">
        <w:rPr>
          <w:rFonts w:asciiTheme="minorHAnsi" w:hAnsiTheme="minorHAnsi"/>
          <w:sz w:val="16"/>
          <w:szCs w:val="16"/>
        </w:rPr>
        <w:t xml:space="preserve"> </w:t>
      </w:r>
    </w:p>
  </w:footnote>
  <w:footnote w:id="4">
    <w:p w14:paraId="1EA70279" w14:textId="77777777"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14:paraId="0816AF22" w14:textId="2BB1579D"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w:t>
      </w:r>
      <w:r w:rsidR="00A117B9" w:rsidRPr="002741A1">
        <w:rPr>
          <w:rFonts w:asciiTheme="minorHAnsi" w:hAnsiTheme="minorHAnsi"/>
          <w:sz w:val="16"/>
          <w:szCs w:val="16"/>
        </w:rPr>
        <w:t xml:space="preserve">Na dzień ogłoszenia konkursu stopa bazowa wynosi 1,87. Jeżeli wartość ta ulegnie zmianie na etapie podpisywania umowy o </w:t>
      </w:r>
      <w:r w:rsidR="00A117B9">
        <w:rPr>
          <w:rFonts w:asciiTheme="minorHAnsi" w:hAnsiTheme="minorHAnsi"/>
          <w:sz w:val="16"/>
          <w:szCs w:val="16"/>
        </w:rPr>
        <w:t xml:space="preserve"> </w:t>
      </w:r>
      <w:r w:rsidR="00A117B9" w:rsidRPr="002741A1">
        <w:rPr>
          <w:rFonts w:asciiTheme="minorHAnsi" w:hAnsiTheme="minorHAnsi"/>
          <w:sz w:val="16"/>
          <w:szCs w:val="16"/>
        </w:rPr>
        <w:t>dofinansowanie, Beneficjenci zobligowani są do korekty wyliczenia kwoty pomocy.</w:t>
      </w:r>
      <w:r w:rsidR="00A117B9">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4403" w14:textId="77777777" w:rsidR="00040044" w:rsidRDefault="00040044"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040044" w:rsidRPr="005F5249" w:rsidRDefault="0004004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040044" w:rsidRDefault="00531391" w:rsidP="00F076EA">
    <w:pPr>
      <w:pStyle w:val="Stopka"/>
      <w:jc w:val="right"/>
      <w:rPr>
        <w:sz w:val="16"/>
        <w:szCs w:val="16"/>
      </w:rPr>
    </w:pPr>
    <w:hyperlink r:id="rId2" w:history="1">
      <w:r w:rsidR="00040044" w:rsidRPr="00120363">
        <w:rPr>
          <w:rStyle w:val="Hipercze"/>
          <w:sz w:val="16"/>
          <w:szCs w:val="16"/>
        </w:rPr>
        <w:t>sekretariat@dip.dolnyslask.pl</w:t>
      </w:r>
    </w:hyperlink>
    <w:r w:rsidR="00040044" w:rsidRPr="00120363">
      <w:rPr>
        <w:sz w:val="16"/>
        <w:szCs w:val="16"/>
      </w:rPr>
      <w:t xml:space="preserve">, </w:t>
    </w:r>
    <w:hyperlink r:id="rId3" w:history="1">
      <w:r w:rsidR="00040044" w:rsidRPr="009D450E">
        <w:rPr>
          <w:rStyle w:val="Hipercze"/>
          <w:sz w:val="16"/>
          <w:szCs w:val="16"/>
        </w:rPr>
        <w:t>www.dip.dolnyslask.pl</w:t>
      </w:r>
    </w:hyperlink>
  </w:p>
  <w:p w14:paraId="13AC562E" w14:textId="77777777" w:rsidR="00040044" w:rsidRDefault="00040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15:restartNumberingAfterBreak="0">
    <w:nsid w:val="44052619"/>
    <w:multiLevelType w:val="hybridMultilevel"/>
    <w:tmpl w:val="E66424EA"/>
    <w:lvl w:ilvl="0" w:tplc="6E58C9A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665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57C3"/>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35A"/>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CB0"/>
    <w:rsid w:val="003328ED"/>
    <w:rsid w:val="0033416B"/>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1391"/>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6331"/>
    <w:rsid w:val="0092641C"/>
    <w:rsid w:val="00926C65"/>
    <w:rsid w:val="009273ED"/>
    <w:rsid w:val="00931EF6"/>
    <w:rsid w:val="009326F4"/>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82A22"/>
    <w:rsid w:val="009848BD"/>
    <w:rsid w:val="00984BF0"/>
    <w:rsid w:val="00986518"/>
    <w:rsid w:val="0098672D"/>
    <w:rsid w:val="009900D5"/>
    <w:rsid w:val="00991C8E"/>
    <w:rsid w:val="00992B16"/>
    <w:rsid w:val="00992DA7"/>
    <w:rsid w:val="00993039"/>
    <w:rsid w:val="00993B06"/>
    <w:rsid w:val="00995136"/>
    <w:rsid w:val="00997082"/>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6026"/>
    <w:rsid w:val="009D7125"/>
    <w:rsid w:val="009E0A43"/>
    <w:rsid w:val="009E332E"/>
    <w:rsid w:val="009E4695"/>
    <w:rsid w:val="009E4FBF"/>
    <w:rsid w:val="009E5A72"/>
    <w:rsid w:val="009E663D"/>
    <w:rsid w:val="009E69E9"/>
    <w:rsid w:val="009F392A"/>
    <w:rsid w:val="009F7DEA"/>
    <w:rsid w:val="00A012EB"/>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188F"/>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6AE5"/>
    <w:rsid w:val="00E776B5"/>
    <w:rsid w:val="00E77789"/>
    <w:rsid w:val="00E81CCE"/>
    <w:rsid w:val="00E82065"/>
    <w:rsid w:val="00E8277C"/>
    <w:rsid w:val="00E82C5F"/>
    <w:rsid w:val="00E82F64"/>
    <w:rsid w:val="00E842E6"/>
    <w:rsid w:val="00E86C29"/>
    <w:rsid w:val="00E87F01"/>
    <w:rsid w:val="00E90A31"/>
    <w:rsid w:val="00E921CF"/>
    <w:rsid w:val="00E93D11"/>
    <w:rsid w:val="00E959C7"/>
    <w:rsid w:val="00E95CD8"/>
    <w:rsid w:val="00E965DD"/>
    <w:rsid w:val="00E96A3D"/>
    <w:rsid w:val="00EA0F54"/>
    <w:rsid w:val="00EA1475"/>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14:docId w14:val="20F297B3"/>
  <w15:docId w15:val="{7038B2F2-606F-46D2-9A72-2D0FC84B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41007806">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05010922">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4678779">
      <w:bodyDiv w:val="1"/>
      <w:marLeft w:val="0"/>
      <w:marRight w:val="0"/>
      <w:marTop w:val="0"/>
      <w:marBottom w:val="0"/>
      <w:divBdr>
        <w:top w:val="none" w:sz="0" w:space="0" w:color="auto"/>
        <w:left w:val="none" w:sz="0" w:space="0" w:color="auto"/>
        <w:bottom w:val="none" w:sz="0" w:space="0" w:color="auto"/>
        <w:right w:val="none" w:sz="0" w:space="0" w:color="auto"/>
      </w:divBdr>
    </w:div>
    <w:div w:id="1330913055">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maciej.syrek@dip.dolnyslask.pl" TargetMode="External"/><Relationship Id="rId18"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now-dip.dolnyslask.pl/" TargetMode="External"/><Relationship Id="rId17" Type="http://schemas.openxmlformats.org/officeDocument/2006/relationships/hyperlink" Target="mailto:info.dip@umw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2.xml"/><Relationship Id="rId10" Type="http://schemas.openxmlformats.org/officeDocument/2006/relationships/hyperlink" Target="http://www.dip.dolnyslask.pl" TargetMode="External"/><Relationship Id="rId19" Type="http://schemas.openxmlformats.org/officeDocument/2006/relationships/hyperlink" Target="http://www.dip.dolnfv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F6CA-F2CE-4245-AB69-AF4C4071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37</Pages>
  <Words>13412</Words>
  <Characters>80475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Hetnar-Mikołajczyk</dc:creator>
  <cp:keywords/>
  <dc:description/>
  <cp:lastModifiedBy>Sylwia Gacek</cp:lastModifiedBy>
  <cp:revision>113</cp:revision>
  <cp:lastPrinted>2020-04-06T13:01:00Z</cp:lastPrinted>
  <dcterms:created xsi:type="dcterms:W3CDTF">2019-10-02T10:24:00Z</dcterms:created>
  <dcterms:modified xsi:type="dcterms:W3CDTF">2020-04-15T08:41:00Z</dcterms:modified>
</cp:coreProperties>
</file>