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1B0D3781" w:rsidR="00886690" w:rsidRPr="00E634E0" w:rsidRDefault="00886690" w:rsidP="00CF03D7">
      <w:pPr>
        <w:jc w:val="center"/>
        <w:rPr>
          <w:rFonts w:cs="Calibri"/>
        </w:rPr>
      </w:pPr>
      <w:r w:rsidRPr="00E634E0">
        <w:rPr>
          <w:rFonts w:cs="Calibri"/>
        </w:rPr>
        <w:t>Ka</w:t>
      </w:r>
      <w:r w:rsidRPr="00CA7094">
        <w:rPr>
          <w:rFonts w:cs="Calibri"/>
        </w:rPr>
        <w:t xml:space="preserve">towice, </w:t>
      </w:r>
      <w:r w:rsidR="00EC36FE">
        <w:rPr>
          <w:rFonts w:cs="Calibri"/>
        </w:rPr>
        <w:t>sierpień</w:t>
      </w:r>
      <w:r w:rsidR="004E5A71">
        <w:rPr>
          <w:rFonts w:cs="Calibri"/>
        </w:rPr>
        <w:t xml:space="preserve"> 2019</w:t>
      </w:r>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530DC6"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530DC6"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530DC6"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530DC6">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530DC6"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530DC6"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530DC6"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530DC6"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530DC6"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530DC6">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530DC6"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530DC6"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530DC6"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530DC6"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530DC6"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7AA167D1" w:rsidR="00731223" w:rsidRDefault="00530DC6"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69F021B" w14:textId="59FCA2A5" w:rsidR="00731223" w:rsidRDefault="00530DC6"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530DC6"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530DC6"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530DC6"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530DC6"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530DC6"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530DC6"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530DC6"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530DC6"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530DC6"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530DC6"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530DC6"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530DC6"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530DC6"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530DC6"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530DC6"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530DC6"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530DC6"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530DC6"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530DC6">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530DC6"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530DC6"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530DC6"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530DC6"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530DC6"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530DC6"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530DC6"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530DC6"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530DC6"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530DC6">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530DC6"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530DC6"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530DC6"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530DC6"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530DC6"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530DC6"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530DC6">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530DC6">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530DC6"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530DC6"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530DC6"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530DC6">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530DC6"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530DC6"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530DC6">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530DC6">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530DC6"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530DC6"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530DC6">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 xml:space="preserve">j.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z późn.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lastRenderedPageBreak/>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lastRenderedPageBreak/>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9255E96" w14:textId="27DF8BAD" w:rsidR="00045CA3" w:rsidRPr="00697E5E" w:rsidRDefault="00AF2083" w:rsidP="000E7694">
      <w:pPr>
        <w:spacing w:before="120" w:after="120"/>
        <w:jc w:val="both"/>
        <w:rPr>
          <w:rFonts w:asciiTheme="minorHAnsi" w:hAnsiTheme="minorHAnsi" w:cstheme="minorHAnsi"/>
          <w:noProof/>
          <w:sz w:val="20"/>
          <w:szCs w:val="20"/>
        </w:rPr>
      </w:pPr>
      <w:r w:rsidRPr="00697E5E">
        <w:rPr>
          <w:rFonts w:asciiTheme="minorHAnsi" w:hAnsiTheme="minorHAnsi" w:cstheme="minorHAnsi"/>
          <w:noProof/>
          <w:sz w:val="20"/>
          <w:szCs w:val="20"/>
        </w:rPr>
        <w:t xml:space="preserve">Dla projektów składanych w ramach </w:t>
      </w:r>
      <w:r w:rsidR="00231635">
        <w:rPr>
          <w:rFonts w:asciiTheme="minorHAnsi" w:hAnsiTheme="minorHAnsi" w:cstheme="minorHAnsi"/>
          <w:noProof/>
          <w:sz w:val="20"/>
          <w:szCs w:val="20"/>
        </w:rPr>
        <w:t>Pod</w:t>
      </w:r>
      <w:r w:rsidRPr="00697E5E">
        <w:rPr>
          <w:rFonts w:asciiTheme="minorHAnsi" w:hAnsiTheme="minorHAnsi" w:cstheme="minorHAnsi"/>
          <w:noProof/>
          <w:sz w:val="20"/>
          <w:szCs w:val="20"/>
        </w:rPr>
        <w:t xml:space="preserve">działania </w:t>
      </w:r>
      <w:r w:rsidR="00231635">
        <w:rPr>
          <w:rFonts w:asciiTheme="minorHAnsi" w:hAnsiTheme="minorHAnsi" w:cstheme="minorHAnsi"/>
          <w:noProof/>
          <w:sz w:val="20"/>
          <w:szCs w:val="20"/>
        </w:rPr>
        <w:t>4.5.3</w:t>
      </w:r>
      <w:r w:rsidR="000E7694" w:rsidRPr="00697E5E">
        <w:rPr>
          <w:rFonts w:asciiTheme="minorHAnsi" w:hAnsiTheme="minorHAnsi" w:cstheme="minorHAnsi"/>
          <w:noProof/>
          <w:sz w:val="20"/>
          <w:szCs w:val="20"/>
        </w:rPr>
        <w:t xml:space="preserve"> </w:t>
      </w:r>
      <w:r w:rsidR="00231635">
        <w:rPr>
          <w:rFonts w:asciiTheme="minorHAnsi" w:hAnsiTheme="minorHAnsi" w:cstheme="minorHAnsi"/>
          <w:noProof/>
          <w:sz w:val="20"/>
          <w:szCs w:val="20"/>
        </w:rPr>
        <w:t>Niskoemisyjny transport oraz efektywne oświetlenie</w:t>
      </w:r>
      <w:r w:rsidRPr="00697E5E">
        <w:rPr>
          <w:rFonts w:asciiTheme="minorHAnsi" w:hAnsiTheme="minorHAnsi" w:cstheme="minorHAnsi"/>
          <w:noProof/>
          <w:sz w:val="20"/>
          <w:szCs w:val="20"/>
        </w:rPr>
        <w:t xml:space="preserve"> powinno wskazywać na: </w:t>
      </w:r>
      <w:r w:rsidR="00231635">
        <w:rPr>
          <w:rFonts w:asciiTheme="minorHAnsi" w:hAnsiTheme="minorHAnsi" w:cstheme="minorHAnsi"/>
          <w:noProof/>
          <w:sz w:val="20"/>
          <w:szCs w:val="20"/>
        </w:rPr>
        <w:t>Transport i składowanie</w:t>
      </w:r>
      <w:r w:rsidRPr="00697E5E">
        <w:rPr>
          <w:rFonts w:asciiTheme="minorHAnsi" w:hAnsiTheme="minorHAnsi" w:cstheme="minorHAnsi"/>
          <w:noProof/>
          <w:sz w:val="20"/>
          <w:szCs w:val="20"/>
        </w:rPr>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287A83E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w:t>
      </w:r>
      <w:r w:rsidRPr="000C391F">
        <w:rPr>
          <w:rFonts w:cs="Calibri"/>
          <w:noProof/>
        </w:rPr>
        <w:lastRenderedPageBreak/>
        <w:t>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9"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lastRenderedPageBreak/>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2D336CBB"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28DF1674" w14:textId="42ED0D2F"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w:t>
      </w:r>
      <w:r w:rsidR="008D1150">
        <w:rPr>
          <w:rFonts w:cs="Calibri"/>
          <w:bCs/>
          <w:sz w:val="20"/>
          <w:szCs w:val="20"/>
        </w:rPr>
        <w:t>a</w:t>
      </w:r>
      <w:r w:rsidRPr="00E634E0">
        <w:rPr>
          <w:rFonts w:cs="Calibri"/>
          <w:bCs/>
          <w:sz w:val="20"/>
          <w:szCs w:val="20"/>
        </w:rPr>
        <w:t xml:space="preserve"> o udzielenie zamówienia na wyłonienie wykonawcy w trybie "zaprojektuj i wybuduj" – w ciągu 30 dni od momentu poinformowania beneficjenta o </w:t>
      </w:r>
      <w:r w:rsidR="0062784E">
        <w:rPr>
          <w:rFonts w:cs="Calibri"/>
          <w:bCs/>
          <w:sz w:val="20"/>
          <w:szCs w:val="20"/>
        </w:rPr>
        <w:t>wyborze</w:t>
      </w:r>
      <w:r w:rsidR="00037465">
        <w:rPr>
          <w:rFonts w:cs="Calibri"/>
          <w:bCs/>
          <w:sz w:val="20"/>
          <w:szCs w:val="20"/>
        </w:rPr>
        <w:br/>
      </w:r>
      <w:r w:rsidR="0062784E">
        <w:rPr>
          <w:rFonts w:cs="Calibri"/>
          <w:bCs/>
          <w:sz w:val="20"/>
          <w:szCs w:val="20"/>
        </w:rPr>
        <w:t xml:space="preserve"> do </w:t>
      </w:r>
      <w:r w:rsidRPr="00E634E0">
        <w:rPr>
          <w:rFonts w:cs="Calibri"/>
          <w:bCs/>
          <w:sz w:val="20"/>
          <w:szCs w:val="20"/>
        </w:rPr>
        <w:t>dofinansowani</w:t>
      </w:r>
      <w:r w:rsidR="0062784E">
        <w:rPr>
          <w:rFonts w:cs="Calibri"/>
          <w:bCs/>
          <w:sz w:val="20"/>
          <w:szCs w:val="20"/>
        </w:rPr>
        <w:t>a złożonego przez niego projektu</w:t>
      </w:r>
      <w:r w:rsidRPr="00E634E0">
        <w:rPr>
          <w:rFonts w:cs="Calibri"/>
          <w:bCs/>
          <w:sz w:val="20"/>
          <w:szCs w:val="20"/>
        </w:rPr>
        <w:t xml:space="preserve">.  </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lastRenderedPageBreak/>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lastRenderedPageBreak/>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53E8F6FB"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4CB9F0D9"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i kto je wydał</w:t>
      </w:r>
      <w:r w:rsidR="0062784E" w:rsidRPr="00EF3E43">
        <w:rPr>
          <w:rFonts w:cs="Calibri"/>
          <w:noProof/>
        </w:rPr>
        <w:t xml:space="preserve"> 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lastRenderedPageBreak/>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261EAF9D"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(zasasa relokacji).</w:t>
      </w: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530DC6" w:rsidP="007849CF">
      <w:pPr>
        <w:pStyle w:val="Akapitzlist1"/>
        <w:spacing w:before="120" w:after="120"/>
        <w:ind w:left="0"/>
        <w:contextualSpacing w:val="0"/>
        <w:jc w:val="both"/>
        <w:rPr>
          <w:rStyle w:val="Hipercze"/>
        </w:rPr>
      </w:pPr>
      <w:hyperlink r:id="rId10"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141BA4" w:rsidP="002168D6">
      <w:pPr>
        <w:pStyle w:val="Akapitzlist1"/>
        <w:spacing w:before="120" w:after="120"/>
        <w:ind w:left="0"/>
        <w:contextualSpacing w:val="0"/>
        <w:jc w:val="both"/>
        <w:rPr>
          <w:lang w:val="en-US"/>
        </w:rPr>
      </w:pPr>
      <w:hyperlink r:id="rId11"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530DC6"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8" w:name="_Toc496864346"/>
      <w:r w:rsidRPr="00E634E0">
        <w:lastRenderedPageBreak/>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uwzgledniając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w:t>
      </w:r>
      <w:r w:rsidRPr="00C34508">
        <w:rPr>
          <w:sz w:val="20"/>
          <w:szCs w:val="20"/>
          <w:lang w:eastAsia="en-US"/>
        </w:rPr>
        <w:lastRenderedPageBreak/>
        <w:t>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7C509B7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lastRenderedPageBreak/>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5 listopada 2015 r. w sprawie udzielania pomocy inwestycyjnej na infrastrukturę energetyczną w ramach regionalnych programów </w:t>
            </w:r>
            <w:r w:rsidRPr="0048237A">
              <w:rPr>
                <w:rFonts w:asciiTheme="minorHAnsi" w:hAnsiTheme="minorHAnsi"/>
                <w:sz w:val="20"/>
                <w:szCs w:val="20"/>
              </w:rPr>
              <w:lastRenderedPageBreak/>
              <w:t>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lastRenderedPageBreak/>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r w:rsidRPr="0048237A">
              <w:rPr>
                <w:rFonts w:asciiTheme="minorHAnsi" w:hAnsiTheme="minorHAnsi"/>
                <w:sz w:val="20"/>
                <w:szCs w:val="20"/>
              </w:rPr>
              <w:lastRenderedPageBreak/>
              <w:t>mikroprzedsiębiorców,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I FINANSÓW1) z dnia 14 grudnia 2016 r. w sprawie udzielania pomocy na dostęp mikroprzedsiębiorców,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 xml:space="preserve">są ze sobą powiązane wyłączenie dlatego, że każda z nich jest bezpośrednio związana z danym organem </w:t>
      </w:r>
      <w:r w:rsidRPr="0048237A">
        <w:rPr>
          <w:rFonts w:asciiTheme="minorHAnsi" w:hAnsiTheme="minorHAnsi"/>
          <w:sz w:val="20"/>
          <w:szCs w:val="20"/>
          <w:lang w:eastAsia="en-US"/>
        </w:rPr>
        <w:lastRenderedPageBreak/>
        <w:t>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swiadczenia UOIG)</w:t>
      </w:r>
    </w:p>
    <w:p w14:paraId="7115DBE8" w14:textId="77777777" w:rsidR="00886690" w:rsidRPr="00E634E0" w:rsidRDefault="00886690" w:rsidP="00E354DA">
      <w:pPr>
        <w:pStyle w:val="Pole"/>
      </w:pPr>
      <w:bookmarkStart w:id="40" w:name="_Toc496864348"/>
      <w:r w:rsidRPr="00E634E0">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w:t>
      </w:r>
      <w:r w:rsidRPr="00E634E0">
        <w:rPr>
          <w:rFonts w:cs="Calibri"/>
          <w:noProof/>
        </w:rPr>
        <w:lastRenderedPageBreak/>
        <w:t xml:space="preserve">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5857E2">
      <w:pPr>
        <w:pStyle w:val="Akapitzlist1"/>
        <w:tabs>
          <w:tab w:val="left" w:pos="1418"/>
        </w:tabs>
        <w:spacing w:before="120" w:after="120"/>
        <w:ind w:left="0"/>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530DC6">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309D58CD" w14:textId="77777777" w:rsidR="00EC36FE" w:rsidRDefault="00EC36FE" w:rsidP="00EC36FE">
      <w:pPr>
        <w:pStyle w:val="Akapitzlist1"/>
        <w:tabs>
          <w:tab w:val="left" w:pos="1418"/>
        </w:tabs>
        <w:spacing w:before="120" w:after="120"/>
        <w:ind w:left="0"/>
        <w:jc w:val="both"/>
        <w:rPr>
          <w:rFonts w:cstheme="minorHAnsi"/>
          <w:bCs/>
          <w:color w:val="000000"/>
        </w:rPr>
      </w:pPr>
      <w:r>
        <w:rPr>
          <w:rFonts w:cstheme="minorHAnsi"/>
          <w:bCs/>
          <w:color w:val="000000"/>
        </w:rPr>
        <w:lastRenderedPageBreak/>
        <w:t xml:space="preserve">W niniejszym polu należy </w:t>
      </w:r>
      <w:r>
        <w:rPr>
          <w:rFonts w:cstheme="minorHAnsi"/>
          <w:b/>
          <w:bCs/>
          <w:color w:val="000000"/>
        </w:rPr>
        <w:t>w sposób szczegółowy i wyczerpujący</w:t>
      </w:r>
      <w:r>
        <w:rPr>
          <w:rFonts w:cstheme="minorHAnsi"/>
          <w:bCs/>
          <w:color w:val="000000"/>
        </w:rPr>
        <w:t xml:space="preserve"> opisać wyniki przeprowadzonych analiz. W szczególności należy odnieść się do zagadnień, które będą przedmiotem oceny merytorycznej projektu</w:t>
      </w:r>
      <w:r>
        <w:rPr>
          <w:rStyle w:val="Odwoanieprzypisudolnego"/>
          <w:rFonts w:asciiTheme="minorHAnsi" w:hAnsiTheme="minorHAnsi" w:cstheme="minorHAnsi"/>
          <w:bCs/>
          <w:color w:val="000000"/>
        </w:rPr>
        <w:footnoteReference w:id="6"/>
      </w:r>
      <w:r>
        <w:rPr>
          <w:rFonts w:cstheme="minorHAnsi"/>
          <w:bCs/>
          <w:color w:val="000000"/>
        </w:rPr>
        <w:t xml:space="preserve">, tj. przedstawienie informacji nt.: </w:t>
      </w:r>
    </w:p>
    <w:p w14:paraId="1F646B85" w14:textId="77777777" w:rsidR="00EC36FE" w:rsidRDefault="00EC36FE" w:rsidP="00EC36FE">
      <w:pPr>
        <w:autoSpaceDE w:val="0"/>
        <w:autoSpaceDN w:val="0"/>
        <w:adjustRightInd w:val="0"/>
        <w:spacing w:after="0" w:line="240" w:lineRule="auto"/>
        <w:jc w:val="both"/>
        <w:rPr>
          <w:rFonts w:asciiTheme="minorHAnsi" w:hAnsiTheme="minorHAnsi" w:cstheme="minorHAnsi"/>
          <w:color w:val="000000"/>
          <w:sz w:val="20"/>
          <w:szCs w:val="20"/>
        </w:rPr>
      </w:pPr>
    </w:p>
    <w:p w14:paraId="6A7D85E3" w14:textId="77777777" w:rsidR="00EC36FE" w:rsidRDefault="00EC36FE" w:rsidP="00EC36FE">
      <w:pPr>
        <w:pStyle w:val="Akapitzlist"/>
        <w:numPr>
          <w:ilvl w:val="0"/>
          <w:numId w:val="54"/>
        </w:numPr>
        <w:jc w:val="both"/>
        <w:rPr>
          <w:rFonts w:cstheme="minorHAnsi"/>
          <w:color w:val="000000"/>
          <w:sz w:val="20"/>
        </w:rPr>
      </w:pPr>
      <w:r>
        <w:rPr>
          <w:rFonts w:cstheme="minorHAnsi"/>
          <w:color w:val="000000"/>
          <w:sz w:val="20"/>
        </w:rPr>
        <w:t>Łącznej d</w:t>
      </w:r>
      <w:r w:rsidRPr="00006FB1">
        <w:rPr>
          <w:rFonts w:cstheme="minorHAnsi"/>
          <w:color w:val="000000"/>
          <w:sz w:val="20"/>
        </w:rPr>
        <w:t>ługoś</w:t>
      </w:r>
      <w:r>
        <w:rPr>
          <w:rFonts w:cstheme="minorHAnsi"/>
          <w:color w:val="000000"/>
          <w:sz w:val="20"/>
        </w:rPr>
        <w:t>ci</w:t>
      </w:r>
      <w:r w:rsidRPr="00006FB1">
        <w:rPr>
          <w:rFonts w:cstheme="minorHAnsi"/>
          <w:color w:val="000000"/>
          <w:sz w:val="20"/>
        </w:rPr>
        <w:t xml:space="preserve"> trasy</w:t>
      </w:r>
      <w:r>
        <w:rPr>
          <w:rFonts w:cstheme="minorHAnsi"/>
          <w:color w:val="000000"/>
          <w:sz w:val="20"/>
        </w:rPr>
        <w:t xml:space="preserve"> </w:t>
      </w:r>
      <w:r w:rsidRPr="00006FB1">
        <w:rPr>
          <w:rFonts w:cstheme="minorHAnsi"/>
          <w:color w:val="000000"/>
          <w:sz w:val="20"/>
        </w:rPr>
        <w:t>rowerowej objętej przedmiotowym projektem</w:t>
      </w:r>
      <w:r>
        <w:rPr>
          <w:rFonts w:cstheme="minorHAnsi"/>
          <w:color w:val="000000"/>
          <w:sz w:val="20"/>
        </w:rPr>
        <w:t xml:space="preserve"> </w:t>
      </w:r>
      <w:r w:rsidRPr="00006FB1">
        <w:rPr>
          <w:rFonts w:cstheme="minorHAnsi"/>
          <w:color w:val="000000"/>
          <w:sz w:val="20"/>
        </w:rPr>
        <w:t>(przebudowywanej lub</w:t>
      </w:r>
      <w:r>
        <w:rPr>
          <w:rFonts w:cstheme="minorHAnsi"/>
          <w:color w:val="000000"/>
          <w:sz w:val="20"/>
        </w:rPr>
        <w:t xml:space="preserve"> </w:t>
      </w:r>
      <w:r w:rsidRPr="00692C82">
        <w:rPr>
          <w:rFonts w:cstheme="minorHAnsi"/>
          <w:color w:val="000000"/>
          <w:sz w:val="20"/>
        </w:rPr>
        <w:t>nowobudowanej).</w:t>
      </w:r>
    </w:p>
    <w:p w14:paraId="6C86349F" w14:textId="77777777" w:rsidR="00EC36FE" w:rsidRPr="00692C82" w:rsidRDefault="00EC36FE" w:rsidP="00EC36FE">
      <w:pPr>
        <w:pStyle w:val="Akapitzlist"/>
        <w:numPr>
          <w:ilvl w:val="0"/>
          <w:numId w:val="54"/>
        </w:numPr>
        <w:jc w:val="both"/>
        <w:rPr>
          <w:rFonts w:cstheme="minorHAnsi"/>
          <w:color w:val="000000"/>
          <w:sz w:val="20"/>
        </w:rPr>
      </w:pPr>
      <w:r w:rsidRPr="00692C82">
        <w:rPr>
          <w:rFonts w:cstheme="minorHAnsi"/>
          <w:color w:val="000000"/>
          <w:sz w:val="20"/>
        </w:rPr>
        <w:t>Zasięg</w:t>
      </w:r>
      <w:r>
        <w:rPr>
          <w:rFonts w:cstheme="minorHAnsi"/>
          <w:color w:val="000000"/>
          <w:sz w:val="20"/>
        </w:rPr>
        <w:t>u</w:t>
      </w:r>
      <w:r w:rsidRPr="00692C82">
        <w:rPr>
          <w:rFonts w:cstheme="minorHAnsi"/>
          <w:color w:val="000000"/>
          <w:sz w:val="20"/>
        </w:rPr>
        <w:t xml:space="preserve"> trasy</w:t>
      </w:r>
      <w:r>
        <w:rPr>
          <w:rFonts w:cstheme="minorHAnsi"/>
          <w:color w:val="000000"/>
          <w:sz w:val="20"/>
        </w:rPr>
        <w:t xml:space="preserve"> rowerowej, tj. </w:t>
      </w:r>
      <w:r w:rsidRPr="00692C82">
        <w:rPr>
          <w:rFonts w:cstheme="minorHAnsi"/>
          <w:color w:val="000000"/>
          <w:sz w:val="20"/>
        </w:rPr>
        <w:t>liczb</w:t>
      </w:r>
      <w:r>
        <w:rPr>
          <w:rFonts w:cstheme="minorHAnsi"/>
          <w:color w:val="000000"/>
          <w:sz w:val="20"/>
        </w:rPr>
        <w:t>y</w:t>
      </w:r>
      <w:r w:rsidRPr="00692C82">
        <w:rPr>
          <w:rFonts w:cstheme="minorHAnsi"/>
          <w:color w:val="000000"/>
          <w:sz w:val="20"/>
        </w:rPr>
        <w:t xml:space="preserve"> gmin, na terenie których będą zlokalizowane trasy rowerowe objęte zakresem projektu.</w:t>
      </w:r>
    </w:p>
    <w:p w14:paraId="739DABD3" w14:textId="77777777" w:rsidR="00EC36FE" w:rsidRPr="00246627" w:rsidRDefault="00EC36FE" w:rsidP="00EC36FE">
      <w:pPr>
        <w:pStyle w:val="Akapitzlist"/>
        <w:numPr>
          <w:ilvl w:val="0"/>
          <w:numId w:val="54"/>
        </w:numPr>
        <w:autoSpaceDE w:val="0"/>
        <w:autoSpaceDN w:val="0"/>
        <w:adjustRightInd w:val="0"/>
        <w:spacing w:after="0" w:line="240" w:lineRule="auto"/>
        <w:jc w:val="both"/>
        <w:rPr>
          <w:rFonts w:cstheme="minorHAnsi"/>
          <w:color w:val="000000"/>
          <w:sz w:val="20"/>
        </w:rPr>
      </w:pPr>
      <w:r w:rsidRPr="00246627">
        <w:rPr>
          <w:rFonts w:cstheme="minorHAnsi"/>
          <w:color w:val="000000"/>
          <w:sz w:val="20"/>
        </w:rPr>
        <w:t>Znaczeni</w:t>
      </w:r>
      <w:r>
        <w:rPr>
          <w:rFonts w:cstheme="minorHAnsi"/>
          <w:color w:val="000000"/>
          <w:sz w:val="20"/>
        </w:rPr>
        <w:t>a</w:t>
      </w:r>
      <w:r w:rsidRPr="00246627">
        <w:rPr>
          <w:rFonts w:cstheme="minorHAnsi"/>
          <w:color w:val="000000"/>
          <w:sz w:val="20"/>
        </w:rPr>
        <w:t xml:space="preserve"> projektu w</w:t>
      </w:r>
      <w:r>
        <w:rPr>
          <w:rFonts w:cstheme="minorHAnsi"/>
          <w:color w:val="000000"/>
          <w:sz w:val="20"/>
        </w:rPr>
        <w:t xml:space="preserve"> </w:t>
      </w:r>
      <w:r w:rsidRPr="00246627">
        <w:rPr>
          <w:rFonts w:cstheme="minorHAnsi"/>
          <w:color w:val="000000"/>
          <w:sz w:val="20"/>
        </w:rPr>
        <w:t>kontekście rozwoju</w:t>
      </w:r>
      <w:r>
        <w:rPr>
          <w:rFonts w:cstheme="minorHAnsi"/>
          <w:color w:val="000000"/>
          <w:sz w:val="20"/>
        </w:rPr>
        <w:t xml:space="preserve"> </w:t>
      </w:r>
      <w:r w:rsidRPr="00246627">
        <w:rPr>
          <w:rFonts w:cstheme="minorHAnsi"/>
          <w:color w:val="000000"/>
          <w:sz w:val="20"/>
        </w:rPr>
        <w:t>regionalnych tras</w:t>
      </w:r>
      <w:r>
        <w:rPr>
          <w:rFonts w:cstheme="minorHAnsi"/>
          <w:color w:val="000000"/>
          <w:sz w:val="20"/>
        </w:rPr>
        <w:t xml:space="preserve"> </w:t>
      </w:r>
      <w:r w:rsidRPr="00246627">
        <w:rPr>
          <w:rFonts w:cstheme="minorHAnsi"/>
          <w:color w:val="000000"/>
          <w:sz w:val="20"/>
        </w:rPr>
        <w:t>rowerowych:</w:t>
      </w:r>
    </w:p>
    <w:p w14:paraId="02D5A56F" w14:textId="77777777" w:rsidR="00EC36FE" w:rsidRDefault="00EC36FE" w:rsidP="00EC36FE">
      <w:pPr>
        <w:pStyle w:val="Akapitzlist"/>
        <w:numPr>
          <w:ilvl w:val="0"/>
          <w:numId w:val="55"/>
        </w:numPr>
        <w:autoSpaceDE w:val="0"/>
        <w:autoSpaceDN w:val="0"/>
        <w:adjustRightInd w:val="0"/>
        <w:spacing w:after="0" w:line="240" w:lineRule="auto"/>
        <w:jc w:val="both"/>
        <w:rPr>
          <w:rFonts w:cstheme="minorHAnsi"/>
          <w:color w:val="000000"/>
          <w:sz w:val="20"/>
        </w:rPr>
      </w:pPr>
      <w:r>
        <w:rPr>
          <w:rFonts w:cstheme="minorHAnsi"/>
          <w:color w:val="000000"/>
          <w:sz w:val="20"/>
        </w:rPr>
        <w:t xml:space="preserve">Czy </w:t>
      </w:r>
      <w:r w:rsidRPr="000F51D2">
        <w:rPr>
          <w:rFonts w:cstheme="minorHAnsi"/>
          <w:color w:val="000000"/>
          <w:sz w:val="20"/>
        </w:rPr>
        <w:t>trasa rowerowa objęta zakresem projektu znajduje się w</w:t>
      </w:r>
      <w:r>
        <w:rPr>
          <w:rFonts w:cstheme="minorHAnsi"/>
          <w:color w:val="000000"/>
          <w:sz w:val="20"/>
        </w:rPr>
        <w:t xml:space="preserve"> </w:t>
      </w:r>
      <w:r w:rsidRPr="00DC2DD4">
        <w:rPr>
          <w:rFonts w:cstheme="minorHAnsi"/>
          <w:color w:val="000000"/>
          <w:sz w:val="20"/>
        </w:rPr>
        <w:t>przebiegu korytarza o znaczeniu krajowym lub</w:t>
      </w:r>
      <w:r>
        <w:rPr>
          <w:rFonts w:cstheme="minorHAnsi"/>
          <w:color w:val="000000"/>
          <w:sz w:val="20"/>
        </w:rPr>
        <w:t xml:space="preserve"> </w:t>
      </w:r>
      <w:r w:rsidRPr="00DC2DD4">
        <w:rPr>
          <w:rFonts w:cstheme="minorHAnsi"/>
          <w:color w:val="000000"/>
          <w:sz w:val="20"/>
        </w:rPr>
        <w:t>międzynarodowym (istniejącą lub planowaną trasą: EuroVelo 4,</w:t>
      </w:r>
      <w:r>
        <w:rPr>
          <w:rFonts w:cstheme="minorHAnsi"/>
          <w:color w:val="000000"/>
          <w:sz w:val="20"/>
        </w:rPr>
        <w:t xml:space="preserve"> </w:t>
      </w:r>
      <w:r w:rsidRPr="00DC2DD4">
        <w:rPr>
          <w:rFonts w:cstheme="minorHAnsi"/>
          <w:color w:val="000000"/>
          <w:sz w:val="20"/>
        </w:rPr>
        <w:t>Wiślaną Trasą Rowerową, Greenways Kraków – Morawy –</w:t>
      </w:r>
      <w:r>
        <w:rPr>
          <w:rFonts w:cstheme="minorHAnsi"/>
          <w:color w:val="000000"/>
          <w:sz w:val="20"/>
        </w:rPr>
        <w:t xml:space="preserve"> </w:t>
      </w:r>
      <w:r w:rsidRPr="00DC2DD4">
        <w:rPr>
          <w:rFonts w:cstheme="minorHAnsi"/>
          <w:color w:val="000000"/>
          <w:sz w:val="20"/>
        </w:rPr>
        <w:t>Wiedeń, Jurajski Rowerowy</w:t>
      </w:r>
      <w:r>
        <w:rPr>
          <w:rFonts w:cstheme="minorHAnsi"/>
          <w:color w:val="000000"/>
          <w:sz w:val="20"/>
        </w:rPr>
        <w:t xml:space="preserve"> Szlak Orlich Gniazd, planowany </w:t>
      </w:r>
      <w:r w:rsidRPr="00DC2DD4">
        <w:rPr>
          <w:rFonts w:cstheme="minorHAnsi"/>
          <w:color w:val="000000"/>
          <w:sz w:val="20"/>
        </w:rPr>
        <w:t>Szlak</w:t>
      </w:r>
      <w:r>
        <w:rPr>
          <w:rFonts w:cstheme="minorHAnsi"/>
          <w:color w:val="000000"/>
          <w:sz w:val="20"/>
        </w:rPr>
        <w:t> Wielkich </w:t>
      </w:r>
      <w:r w:rsidRPr="00DC2DD4">
        <w:rPr>
          <w:rFonts w:cstheme="minorHAnsi"/>
          <w:color w:val="000000"/>
          <w:sz w:val="20"/>
        </w:rPr>
        <w:t xml:space="preserve">Jezior). </w:t>
      </w:r>
      <w:r>
        <w:rPr>
          <w:rFonts w:cstheme="minorHAnsi"/>
          <w:color w:val="000000"/>
          <w:sz w:val="20"/>
        </w:rPr>
        <w:br/>
        <w:t xml:space="preserve">Należy przedstawić procentowy udział </w:t>
      </w:r>
      <w:r w:rsidRPr="00DC2DD4">
        <w:rPr>
          <w:rFonts w:cstheme="minorHAnsi"/>
          <w:color w:val="000000"/>
          <w:sz w:val="20"/>
        </w:rPr>
        <w:t>tras</w:t>
      </w:r>
      <w:r>
        <w:rPr>
          <w:rFonts w:cstheme="minorHAnsi"/>
          <w:color w:val="000000"/>
          <w:sz w:val="20"/>
        </w:rPr>
        <w:t xml:space="preserve">y </w:t>
      </w:r>
      <w:r w:rsidRPr="009F38FA">
        <w:rPr>
          <w:rFonts w:cstheme="minorHAnsi"/>
          <w:color w:val="000000"/>
          <w:sz w:val="20"/>
        </w:rPr>
        <w:t>rowerowej objętej zakresem projektu w przebiegu korytarz</w:t>
      </w:r>
      <w:r>
        <w:rPr>
          <w:rFonts w:cstheme="minorHAnsi"/>
          <w:color w:val="000000"/>
          <w:sz w:val="20"/>
        </w:rPr>
        <w:t>y</w:t>
      </w:r>
      <w:r w:rsidRPr="009F38FA">
        <w:rPr>
          <w:rFonts w:cstheme="minorHAnsi"/>
          <w:color w:val="000000"/>
          <w:sz w:val="20"/>
        </w:rPr>
        <w:t xml:space="preserve"> o znaczeniu krajowym </w:t>
      </w:r>
      <w:r>
        <w:rPr>
          <w:rFonts w:cstheme="minorHAnsi"/>
          <w:color w:val="000000"/>
          <w:sz w:val="20"/>
        </w:rPr>
        <w:t>i/</w:t>
      </w:r>
      <w:r w:rsidRPr="009F38FA">
        <w:rPr>
          <w:rFonts w:cstheme="minorHAnsi"/>
          <w:color w:val="000000"/>
          <w:sz w:val="20"/>
        </w:rPr>
        <w:t>lub międzynarodowym.</w:t>
      </w:r>
    </w:p>
    <w:p w14:paraId="59383677" w14:textId="1120832A" w:rsidR="00EC36FE" w:rsidRDefault="00EC36FE" w:rsidP="00EC36FE">
      <w:pPr>
        <w:pStyle w:val="Akapitzlist"/>
        <w:numPr>
          <w:ilvl w:val="0"/>
          <w:numId w:val="55"/>
        </w:numPr>
        <w:autoSpaceDE w:val="0"/>
        <w:autoSpaceDN w:val="0"/>
        <w:adjustRightInd w:val="0"/>
        <w:spacing w:after="0" w:line="240" w:lineRule="auto"/>
        <w:jc w:val="both"/>
        <w:rPr>
          <w:rFonts w:cstheme="minorHAnsi"/>
          <w:color w:val="000000"/>
          <w:sz w:val="20"/>
        </w:rPr>
      </w:pPr>
      <w:r>
        <w:rPr>
          <w:rFonts w:cstheme="minorHAnsi"/>
          <w:color w:val="000000"/>
          <w:sz w:val="20"/>
        </w:rPr>
        <w:t>Określenie czy w</w:t>
      </w:r>
      <w:r w:rsidRPr="009F38FA">
        <w:rPr>
          <w:rFonts w:cstheme="minorHAnsi"/>
          <w:color w:val="000000"/>
          <w:sz w:val="20"/>
        </w:rPr>
        <w:t xml:space="preserve"> przebiegu trasy rowerowej objętej zakresem projektu</w:t>
      </w:r>
      <w:r>
        <w:rPr>
          <w:rFonts w:cstheme="minorHAnsi"/>
          <w:color w:val="000000"/>
          <w:sz w:val="20"/>
        </w:rPr>
        <w:t xml:space="preserve"> </w:t>
      </w:r>
      <w:r w:rsidRPr="009F38FA">
        <w:rPr>
          <w:rFonts w:cstheme="minorHAnsi"/>
          <w:color w:val="000000"/>
          <w:sz w:val="20"/>
        </w:rPr>
        <w:t>znajduje się conajmniej jeden obszar przyrodniczo lub kulturowo</w:t>
      </w:r>
      <w:r>
        <w:rPr>
          <w:rFonts w:cstheme="minorHAnsi"/>
          <w:color w:val="000000"/>
          <w:sz w:val="20"/>
        </w:rPr>
        <w:t xml:space="preserve"> </w:t>
      </w:r>
      <w:r w:rsidRPr="009F38FA">
        <w:rPr>
          <w:rFonts w:cstheme="minorHAnsi"/>
          <w:color w:val="000000"/>
          <w:sz w:val="20"/>
        </w:rPr>
        <w:t>cenny (park krajobrazowy, miejsce dziedzictwa kulturowego lub</w:t>
      </w:r>
      <w:r>
        <w:rPr>
          <w:rFonts w:cstheme="minorHAnsi"/>
          <w:color w:val="000000"/>
          <w:sz w:val="20"/>
        </w:rPr>
        <w:t xml:space="preserve"> </w:t>
      </w:r>
      <w:r w:rsidRPr="009F38FA">
        <w:rPr>
          <w:rFonts w:cstheme="minorHAnsi"/>
          <w:color w:val="000000"/>
          <w:sz w:val="20"/>
        </w:rPr>
        <w:t>przyrodniczego UNESCO, Szlak Orlich Gniazd, Szlak Zabytków</w:t>
      </w:r>
      <w:r>
        <w:rPr>
          <w:rFonts w:cstheme="minorHAnsi"/>
          <w:color w:val="000000"/>
          <w:sz w:val="20"/>
        </w:rPr>
        <w:t xml:space="preserve"> </w:t>
      </w:r>
      <w:r w:rsidRPr="009F38FA">
        <w:rPr>
          <w:rFonts w:cstheme="minorHAnsi"/>
          <w:color w:val="000000"/>
          <w:sz w:val="20"/>
        </w:rPr>
        <w:t>Techniki, Szlak Architektury Drewnianej).</w:t>
      </w:r>
    </w:p>
    <w:p w14:paraId="5C8E5457" w14:textId="77777777" w:rsidR="00EC36FE" w:rsidRDefault="00EC36FE" w:rsidP="00EC36FE">
      <w:pPr>
        <w:pStyle w:val="Akapitzlist"/>
        <w:numPr>
          <w:ilvl w:val="0"/>
          <w:numId w:val="55"/>
        </w:numPr>
        <w:autoSpaceDE w:val="0"/>
        <w:autoSpaceDN w:val="0"/>
        <w:adjustRightInd w:val="0"/>
        <w:spacing w:after="0" w:line="240" w:lineRule="auto"/>
        <w:jc w:val="both"/>
        <w:rPr>
          <w:rFonts w:cstheme="minorHAnsi"/>
          <w:color w:val="000000"/>
          <w:sz w:val="20"/>
        </w:rPr>
      </w:pPr>
      <w:r>
        <w:rPr>
          <w:rFonts w:cstheme="minorHAnsi"/>
          <w:color w:val="000000"/>
          <w:sz w:val="20"/>
        </w:rPr>
        <w:t xml:space="preserve">Czy </w:t>
      </w:r>
      <w:r w:rsidRPr="00A730F8">
        <w:rPr>
          <w:rFonts w:cstheme="minorHAnsi"/>
          <w:color w:val="000000"/>
          <w:sz w:val="20"/>
        </w:rPr>
        <w:t>projekt swoim zakresem wykorzystuje istniejącą</w:t>
      </w:r>
      <w:r>
        <w:rPr>
          <w:rFonts w:cstheme="minorHAnsi"/>
          <w:color w:val="000000"/>
          <w:sz w:val="20"/>
        </w:rPr>
        <w:t xml:space="preserve"> </w:t>
      </w:r>
      <w:r w:rsidRPr="00A730F8">
        <w:rPr>
          <w:rFonts w:cstheme="minorHAnsi"/>
          <w:color w:val="000000"/>
          <w:sz w:val="20"/>
        </w:rPr>
        <w:t>infrastrukturę (wały przeciwpowodziowe, nasypy, nieczynną</w:t>
      </w:r>
      <w:r>
        <w:rPr>
          <w:rFonts w:cstheme="minorHAnsi"/>
          <w:color w:val="000000"/>
          <w:sz w:val="20"/>
        </w:rPr>
        <w:t xml:space="preserve"> </w:t>
      </w:r>
      <w:r w:rsidRPr="00A730F8">
        <w:rPr>
          <w:rFonts w:cstheme="minorHAnsi"/>
          <w:color w:val="000000"/>
          <w:sz w:val="20"/>
        </w:rPr>
        <w:t>infrastrukturę kolejową) lub przebiega po istniejących szlakach/</w:t>
      </w:r>
      <w:r>
        <w:rPr>
          <w:rFonts w:cstheme="minorHAnsi"/>
          <w:color w:val="000000"/>
          <w:sz w:val="20"/>
        </w:rPr>
        <w:t xml:space="preserve"> </w:t>
      </w:r>
      <w:r w:rsidRPr="00A730F8">
        <w:rPr>
          <w:rFonts w:cstheme="minorHAnsi"/>
          <w:color w:val="000000"/>
          <w:sz w:val="20"/>
        </w:rPr>
        <w:t>trasach rowerowych).</w:t>
      </w:r>
      <w:r>
        <w:rPr>
          <w:rFonts w:cstheme="minorHAnsi"/>
          <w:color w:val="000000"/>
          <w:sz w:val="20"/>
        </w:rPr>
        <w:t xml:space="preserve"> </w:t>
      </w:r>
    </w:p>
    <w:p w14:paraId="5B4667AB" w14:textId="77777777" w:rsidR="00EC36FE" w:rsidRDefault="00EC36FE" w:rsidP="00EC36FE">
      <w:pPr>
        <w:pStyle w:val="Akapitzlist"/>
        <w:autoSpaceDE w:val="0"/>
        <w:autoSpaceDN w:val="0"/>
        <w:adjustRightInd w:val="0"/>
        <w:spacing w:after="0" w:line="240" w:lineRule="auto"/>
        <w:ind w:left="1440"/>
        <w:jc w:val="both"/>
        <w:rPr>
          <w:rFonts w:cstheme="minorHAnsi"/>
          <w:color w:val="000000"/>
          <w:sz w:val="20"/>
        </w:rPr>
      </w:pPr>
      <w:r w:rsidRPr="00A730F8">
        <w:rPr>
          <w:rFonts w:cstheme="minorHAnsi"/>
          <w:color w:val="000000"/>
          <w:sz w:val="20"/>
        </w:rPr>
        <w:t>Należy przedstawić procentowy udział trasy rowerowej objęt</w:t>
      </w:r>
      <w:r>
        <w:rPr>
          <w:rFonts w:cstheme="minorHAnsi"/>
          <w:color w:val="000000"/>
          <w:sz w:val="20"/>
        </w:rPr>
        <w:t>ej zakresem projektu wykorzystującej</w:t>
      </w:r>
      <w:r w:rsidRPr="00A730F8">
        <w:rPr>
          <w:rFonts w:cstheme="minorHAnsi"/>
          <w:color w:val="000000"/>
          <w:sz w:val="20"/>
        </w:rPr>
        <w:t xml:space="preserve"> istniejącą</w:t>
      </w:r>
      <w:r>
        <w:rPr>
          <w:rFonts w:cstheme="minorHAnsi"/>
          <w:color w:val="000000"/>
          <w:sz w:val="20"/>
        </w:rPr>
        <w:t xml:space="preserve"> </w:t>
      </w:r>
      <w:r w:rsidRPr="00A730F8">
        <w:rPr>
          <w:rFonts w:cstheme="minorHAnsi"/>
          <w:color w:val="000000"/>
          <w:sz w:val="20"/>
        </w:rPr>
        <w:t>infrastrukturę.</w:t>
      </w:r>
    </w:p>
    <w:p w14:paraId="3703F1B3" w14:textId="4C433552" w:rsidR="00EC36FE" w:rsidRPr="00E75013" w:rsidRDefault="00EC36FE" w:rsidP="00EC36FE">
      <w:pPr>
        <w:pStyle w:val="Akapitzlist"/>
        <w:numPr>
          <w:ilvl w:val="0"/>
          <w:numId w:val="55"/>
        </w:numPr>
        <w:autoSpaceDE w:val="0"/>
        <w:autoSpaceDN w:val="0"/>
        <w:adjustRightInd w:val="0"/>
        <w:spacing w:after="0" w:line="240" w:lineRule="auto"/>
        <w:jc w:val="both"/>
        <w:rPr>
          <w:rFonts w:cstheme="minorHAnsi"/>
          <w:color w:val="000000"/>
          <w:sz w:val="20"/>
        </w:rPr>
      </w:pPr>
      <w:r>
        <w:rPr>
          <w:rFonts w:cstheme="minorHAnsi"/>
          <w:color w:val="000000"/>
          <w:sz w:val="20"/>
        </w:rPr>
        <w:t xml:space="preserve">Określenie czy </w:t>
      </w:r>
      <w:r w:rsidRPr="00E75013">
        <w:rPr>
          <w:rFonts w:cstheme="minorHAnsi"/>
          <w:color w:val="000000"/>
          <w:sz w:val="20"/>
        </w:rPr>
        <w:t>w przebiegu trasy objętej projektem znajduje się stacja</w:t>
      </w:r>
      <w:r>
        <w:rPr>
          <w:rFonts w:cstheme="minorHAnsi"/>
          <w:color w:val="000000"/>
          <w:sz w:val="20"/>
        </w:rPr>
        <w:t xml:space="preserve"> </w:t>
      </w:r>
      <w:r w:rsidRPr="00E75013">
        <w:rPr>
          <w:rFonts w:cstheme="minorHAnsi"/>
          <w:color w:val="000000"/>
          <w:sz w:val="20"/>
        </w:rPr>
        <w:t>kolejowa z regularnymi (codziennymi) połączeniami kolejowym</w:t>
      </w:r>
      <w:r w:rsidR="00141BA4">
        <w:rPr>
          <w:rFonts w:cstheme="minorHAnsi"/>
          <w:color w:val="000000"/>
          <w:sz w:val="20"/>
        </w:rPr>
        <w:t>i</w:t>
      </w:r>
      <w:r>
        <w:rPr>
          <w:rFonts w:cstheme="minorHAnsi"/>
          <w:color w:val="000000"/>
          <w:sz w:val="20"/>
        </w:rPr>
        <w:t xml:space="preserve">. </w:t>
      </w:r>
    </w:p>
    <w:p w14:paraId="2D5C2D0E" w14:textId="77777777" w:rsidR="00EC36FE" w:rsidRDefault="00EC36FE" w:rsidP="00EC36FE">
      <w:pPr>
        <w:pStyle w:val="Akapitzlist"/>
        <w:autoSpaceDE w:val="0"/>
        <w:autoSpaceDN w:val="0"/>
        <w:adjustRightInd w:val="0"/>
        <w:spacing w:after="0" w:line="240" w:lineRule="auto"/>
        <w:jc w:val="both"/>
        <w:rPr>
          <w:rFonts w:cstheme="minorHAnsi"/>
          <w:color w:val="000000"/>
          <w:sz w:val="20"/>
        </w:rPr>
      </w:pPr>
    </w:p>
    <w:p w14:paraId="4439416F" w14:textId="77777777" w:rsidR="00EC36FE" w:rsidRDefault="00EC36FE" w:rsidP="00EC36FE">
      <w:pPr>
        <w:pStyle w:val="Akapitzlist"/>
        <w:numPr>
          <w:ilvl w:val="0"/>
          <w:numId w:val="54"/>
        </w:numPr>
        <w:autoSpaceDE w:val="0"/>
        <w:autoSpaceDN w:val="0"/>
        <w:adjustRightInd w:val="0"/>
        <w:spacing w:after="0" w:line="240" w:lineRule="auto"/>
        <w:rPr>
          <w:rFonts w:cs="Calibri"/>
          <w:sz w:val="20"/>
        </w:rPr>
      </w:pPr>
      <w:r w:rsidRPr="00E75013">
        <w:rPr>
          <w:rFonts w:cs="Calibri"/>
          <w:sz w:val="20"/>
        </w:rPr>
        <w:t>Zastosowan</w:t>
      </w:r>
      <w:r>
        <w:rPr>
          <w:rFonts w:cs="Calibri"/>
          <w:sz w:val="20"/>
        </w:rPr>
        <w:t xml:space="preserve">ych </w:t>
      </w:r>
      <w:r w:rsidRPr="00E75013">
        <w:rPr>
          <w:rFonts w:cs="Calibri"/>
          <w:sz w:val="20"/>
        </w:rPr>
        <w:t>rozwiąz</w:t>
      </w:r>
      <w:r>
        <w:rPr>
          <w:rFonts w:cs="Calibri"/>
          <w:sz w:val="20"/>
        </w:rPr>
        <w:t xml:space="preserve">ań </w:t>
      </w:r>
      <w:r w:rsidRPr="00E75013">
        <w:rPr>
          <w:rFonts w:cs="Calibri"/>
          <w:sz w:val="20"/>
        </w:rPr>
        <w:t>techniczn</w:t>
      </w:r>
      <w:r>
        <w:rPr>
          <w:rFonts w:cs="Calibri"/>
          <w:sz w:val="20"/>
        </w:rPr>
        <w:t>ych</w:t>
      </w:r>
      <w:r w:rsidRPr="00E75013">
        <w:rPr>
          <w:rFonts w:cs="Calibri"/>
          <w:sz w:val="20"/>
        </w:rPr>
        <w:t>.</w:t>
      </w:r>
    </w:p>
    <w:p w14:paraId="639026E0" w14:textId="77777777" w:rsidR="00EC36FE" w:rsidRDefault="00EC36FE" w:rsidP="00EC36FE">
      <w:pPr>
        <w:pStyle w:val="Akapitzlist"/>
        <w:numPr>
          <w:ilvl w:val="0"/>
          <w:numId w:val="56"/>
        </w:numPr>
        <w:autoSpaceDE w:val="0"/>
        <w:autoSpaceDN w:val="0"/>
        <w:adjustRightInd w:val="0"/>
        <w:spacing w:after="0" w:line="240" w:lineRule="auto"/>
        <w:rPr>
          <w:rFonts w:cs="Calibri"/>
          <w:sz w:val="20"/>
        </w:rPr>
      </w:pPr>
      <w:r>
        <w:rPr>
          <w:rFonts w:cs="Calibri"/>
          <w:sz w:val="20"/>
        </w:rPr>
        <w:t xml:space="preserve">Należy określić </w:t>
      </w:r>
      <w:r w:rsidRPr="00E75013">
        <w:rPr>
          <w:rFonts w:cs="Calibri"/>
          <w:sz w:val="20"/>
        </w:rPr>
        <w:t xml:space="preserve">szerokość trasy rowerowej </w:t>
      </w:r>
      <w:r>
        <w:rPr>
          <w:rFonts w:cs="Calibri"/>
          <w:sz w:val="20"/>
        </w:rPr>
        <w:t>na całym jej przebiegu.</w:t>
      </w:r>
    </w:p>
    <w:p w14:paraId="2C303A44" w14:textId="77777777" w:rsidR="00EC36FE" w:rsidRDefault="00EC36FE" w:rsidP="00EC36FE">
      <w:pPr>
        <w:pStyle w:val="Akapitzlist"/>
        <w:numPr>
          <w:ilvl w:val="0"/>
          <w:numId w:val="56"/>
        </w:numPr>
        <w:autoSpaceDE w:val="0"/>
        <w:autoSpaceDN w:val="0"/>
        <w:adjustRightInd w:val="0"/>
        <w:spacing w:after="0" w:line="240" w:lineRule="auto"/>
        <w:rPr>
          <w:rFonts w:cs="Calibri"/>
          <w:sz w:val="20"/>
        </w:rPr>
      </w:pPr>
      <w:r>
        <w:rPr>
          <w:rFonts w:cs="Calibri"/>
          <w:sz w:val="20"/>
        </w:rPr>
        <w:t xml:space="preserve">Zastosowane w projekcie elementy poprawiające bezpieczeństwo, czy trasa rowerowa objęta zakresem projektu jest </w:t>
      </w:r>
      <w:r w:rsidRPr="00E75013">
        <w:rPr>
          <w:rFonts w:cs="Calibri"/>
          <w:sz w:val="20"/>
        </w:rPr>
        <w:t xml:space="preserve"> fizycznie wydzielona od pasów ruchu dla innych</w:t>
      </w:r>
      <w:r>
        <w:rPr>
          <w:rFonts w:cs="Calibri"/>
          <w:sz w:val="20"/>
        </w:rPr>
        <w:t xml:space="preserve"> </w:t>
      </w:r>
      <w:r w:rsidRPr="00E75013">
        <w:rPr>
          <w:rFonts w:cs="Calibri"/>
          <w:sz w:val="20"/>
        </w:rPr>
        <w:t>użytkowników drogi lub chodnika za pomocą elementów</w:t>
      </w:r>
      <w:r>
        <w:rPr>
          <w:rFonts w:cs="Calibri"/>
          <w:sz w:val="20"/>
        </w:rPr>
        <w:t xml:space="preserve"> i</w:t>
      </w:r>
      <w:r w:rsidRPr="006857C3">
        <w:rPr>
          <w:rFonts w:cs="Calibri"/>
          <w:sz w:val="20"/>
        </w:rPr>
        <w:t xml:space="preserve">nżynierskich, w </w:t>
      </w:r>
      <w:r>
        <w:rPr>
          <w:rFonts w:cs="Calibri"/>
          <w:sz w:val="20"/>
        </w:rPr>
        <w:t xml:space="preserve">szczególności: słupków, barier, </w:t>
      </w:r>
      <w:r w:rsidRPr="006857C3">
        <w:rPr>
          <w:rFonts w:cs="Calibri"/>
          <w:sz w:val="20"/>
        </w:rPr>
        <w:t>ogrodzeń,</w:t>
      </w:r>
      <w:r>
        <w:rPr>
          <w:rFonts w:cs="Calibri"/>
          <w:sz w:val="20"/>
        </w:rPr>
        <w:t xml:space="preserve"> </w:t>
      </w:r>
      <w:r w:rsidRPr="006857C3">
        <w:rPr>
          <w:rFonts w:cs="Calibri"/>
          <w:sz w:val="20"/>
        </w:rPr>
        <w:t>krawężników, różnicy niwelety, pasów zieleni.</w:t>
      </w:r>
    </w:p>
    <w:p w14:paraId="513802D7" w14:textId="77777777" w:rsidR="00EC36FE" w:rsidRDefault="00EC36FE" w:rsidP="00EC36FE">
      <w:pPr>
        <w:pStyle w:val="Akapitzlist"/>
        <w:numPr>
          <w:ilvl w:val="0"/>
          <w:numId w:val="56"/>
        </w:numPr>
        <w:autoSpaceDE w:val="0"/>
        <w:autoSpaceDN w:val="0"/>
        <w:adjustRightInd w:val="0"/>
        <w:spacing w:after="0" w:line="240" w:lineRule="auto"/>
        <w:rPr>
          <w:rFonts w:cs="Calibri"/>
          <w:sz w:val="20"/>
        </w:rPr>
      </w:pPr>
      <w:r>
        <w:rPr>
          <w:rFonts w:cs="Calibri"/>
          <w:sz w:val="20"/>
        </w:rPr>
        <w:t>Określenie czy w przebiegu</w:t>
      </w:r>
      <w:r w:rsidRPr="006857C3">
        <w:rPr>
          <w:rFonts w:cs="Calibri"/>
          <w:sz w:val="20"/>
        </w:rPr>
        <w:t xml:space="preserve"> trasy rowerowej objętej projektem znajduje</w:t>
      </w:r>
      <w:r>
        <w:rPr>
          <w:rFonts w:cs="Calibri"/>
          <w:sz w:val="20"/>
        </w:rPr>
        <w:t xml:space="preserve"> </w:t>
      </w:r>
      <w:r w:rsidRPr="006857C3">
        <w:rPr>
          <w:rFonts w:cs="Calibri"/>
          <w:sz w:val="20"/>
        </w:rPr>
        <w:t>się Miejsc</w:t>
      </w:r>
      <w:r>
        <w:rPr>
          <w:rFonts w:cs="Calibri"/>
          <w:sz w:val="20"/>
        </w:rPr>
        <w:t>e</w:t>
      </w:r>
      <w:r w:rsidRPr="006857C3">
        <w:rPr>
          <w:rFonts w:cs="Calibri"/>
          <w:sz w:val="20"/>
        </w:rPr>
        <w:t xml:space="preserve"> Odpoczynku Rowerzysty.</w:t>
      </w:r>
    </w:p>
    <w:p w14:paraId="6CD1DE86" w14:textId="77777777" w:rsidR="00EC36FE" w:rsidRDefault="00EC36FE" w:rsidP="00EC36FE">
      <w:pPr>
        <w:pStyle w:val="Akapitzlist"/>
        <w:autoSpaceDE w:val="0"/>
        <w:autoSpaceDN w:val="0"/>
        <w:adjustRightInd w:val="0"/>
        <w:spacing w:after="0" w:line="240" w:lineRule="auto"/>
        <w:ind w:left="1440"/>
        <w:rPr>
          <w:rFonts w:cs="Calibri"/>
          <w:sz w:val="20"/>
        </w:rPr>
      </w:pPr>
    </w:p>
    <w:p w14:paraId="4A52B483" w14:textId="77777777" w:rsidR="00EC36FE" w:rsidRPr="00E75013" w:rsidRDefault="00EC36FE" w:rsidP="00EC36FE">
      <w:pPr>
        <w:pStyle w:val="Akapitzlist"/>
        <w:autoSpaceDE w:val="0"/>
        <w:autoSpaceDN w:val="0"/>
        <w:adjustRightInd w:val="0"/>
        <w:spacing w:after="0" w:line="240" w:lineRule="auto"/>
        <w:ind w:left="1440"/>
        <w:rPr>
          <w:rFonts w:cs="Calibri"/>
          <w:sz w:val="20"/>
        </w:rPr>
      </w:pPr>
      <w:r>
        <w:rPr>
          <w:rFonts w:cs="Calibri"/>
          <w:sz w:val="20"/>
        </w:rPr>
        <w:t xml:space="preserve">Miejsce </w:t>
      </w:r>
      <w:r w:rsidRPr="006857C3">
        <w:rPr>
          <w:rFonts w:cs="Calibri"/>
          <w:sz w:val="20"/>
        </w:rPr>
        <w:t>Odpoczynku Rowerzystów (MOR) - to miejsca</w:t>
      </w:r>
      <w:r>
        <w:rPr>
          <w:rFonts w:cs="Calibri"/>
          <w:sz w:val="20"/>
        </w:rPr>
        <w:t xml:space="preserve"> </w:t>
      </w:r>
      <w:r w:rsidRPr="00E75013">
        <w:rPr>
          <w:rFonts w:cs="Calibri"/>
          <w:sz w:val="20"/>
        </w:rPr>
        <w:t>usytuowane bezpośrednio przy trasie przeznaczone do</w:t>
      </w:r>
      <w:r>
        <w:rPr>
          <w:rFonts w:cs="Calibri"/>
          <w:sz w:val="20"/>
        </w:rPr>
        <w:t xml:space="preserve"> </w:t>
      </w:r>
      <w:r w:rsidRPr="00E75013">
        <w:rPr>
          <w:rFonts w:cs="Calibri"/>
          <w:sz w:val="20"/>
        </w:rPr>
        <w:t>odpoczynku rowerzystów i wyposażone w różne elementy</w:t>
      </w:r>
      <w:r>
        <w:rPr>
          <w:rFonts w:cs="Calibri"/>
          <w:sz w:val="20"/>
        </w:rPr>
        <w:t xml:space="preserve"> </w:t>
      </w:r>
      <w:r w:rsidRPr="00E75013">
        <w:rPr>
          <w:rFonts w:cs="Calibri"/>
          <w:sz w:val="20"/>
        </w:rPr>
        <w:t>infrastruktury w postaci: wiat chroniących przed deszczem,</w:t>
      </w:r>
      <w:r>
        <w:rPr>
          <w:rFonts w:cs="Calibri"/>
          <w:sz w:val="20"/>
        </w:rPr>
        <w:t xml:space="preserve"> </w:t>
      </w:r>
      <w:r w:rsidRPr="00E75013">
        <w:rPr>
          <w:rFonts w:cs="Calibri"/>
          <w:sz w:val="20"/>
        </w:rPr>
        <w:t>ławek, stojaków rowerowych, koszy na śmieci i map</w:t>
      </w:r>
      <w:r>
        <w:rPr>
          <w:rFonts w:cs="Calibri"/>
          <w:sz w:val="20"/>
        </w:rPr>
        <w:t xml:space="preserve"> </w:t>
      </w:r>
      <w:r w:rsidRPr="00E75013">
        <w:rPr>
          <w:rFonts w:cs="Calibri"/>
          <w:sz w:val="20"/>
        </w:rPr>
        <w:t>turystycznych.</w:t>
      </w:r>
    </w:p>
    <w:p w14:paraId="3026F85B" w14:textId="77777777" w:rsidR="00EC36FE" w:rsidRDefault="00EC36FE" w:rsidP="00EC36FE">
      <w:pPr>
        <w:autoSpaceDE w:val="0"/>
        <w:autoSpaceDN w:val="0"/>
        <w:adjustRightInd w:val="0"/>
        <w:spacing w:after="0"/>
        <w:jc w:val="both"/>
        <w:rPr>
          <w:rFonts w:cstheme="minorHAnsi"/>
          <w:color w:val="000000" w:themeColor="text1"/>
        </w:rPr>
      </w:pPr>
    </w:p>
    <w:p w14:paraId="4608A454" w14:textId="58DC8391" w:rsidR="002046BA" w:rsidRPr="00E82B2B" w:rsidRDefault="00EC36FE" w:rsidP="002046BA">
      <w:pPr>
        <w:pStyle w:val="Akapitzlist1"/>
        <w:tabs>
          <w:tab w:val="left" w:pos="1134"/>
        </w:tabs>
        <w:spacing w:before="120" w:after="120"/>
        <w:ind w:left="0"/>
        <w:jc w:val="both"/>
      </w:pPr>
      <w:r w:rsidRPr="00530DC6">
        <w:rPr>
          <w:rFonts w:cstheme="minorHAnsi"/>
          <w:color w:val="000000" w:themeColor="text1"/>
        </w:rPr>
        <w:t>W przypadku, gdyby ilość znaków we wniosku okazałaby się niewystarczająca, szczegółowe analizy specyficzne należy dołączyć w formie załącznika do wniosku o dofinansowanie</w:t>
      </w:r>
      <w:r>
        <w:rPr>
          <w:rFonts w:cstheme="minorHAnsi"/>
          <w:color w:val="000000" w:themeColor="text1"/>
        </w:rPr>
        <w:t>.</w:t>
      </w:r>
    </w:p>
    <w:p w14:paraId="54950C99" w14:textId="7AB8D6D2"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w:t>
      </w:r>
      <w:r w:rsidRPr="00E634E0">
        <w:rPr>
          <w:rFonts w:cs="Calibri"/>
          <w:sz w:val="20"/>
          <w:szCs w:val="20"/>
        </w:rPr>
        <w:lastRenderedPageBreak/>
        <w:t xml:space="preserve">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423620A" w14:textId="7F0E3828" w:rsidR="0088669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5F8D5203" w14:textId="4D679C5E" w:rsidR="005A3579" w:rsidRPr="00E634E0" w:rsidRDefault="005A3579" w:rsidP="008706E2">
      <w:pPr>
        <w:autoSpaceDE w:val="0"/>
        <w:autoSpaceDN w:val="0"/>
        <w:adjustRightInd w:val="0"/>
        <w:spacing w:after="120"/>
        <w:jc w:val="both"/>
        <w:rPr>
          <w:rFonts w:cs="Calibri"/>
          <w:sz w:val="20"/>
          <w:szCs w:val="20"/>
        </w:rPr>
      </w:pPr>
      <w:r w:rsidRPr="005A3579">
        <w:rPr>
          <w:rFonts w:cs="Calibri"/>
          <w:sz w:val="20"/>
          <w:szCs w:val="20"/>
        </w:rPr>
        <w:t>Jeśli montaż finansowy projektu przewiduje udział środków pochodzących z budżetu państwa, wnioskodawca powinien poinformować o tym w polu B.17.</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lastRenderedPageBreak/>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lastRenderedPageBreak/>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1EB037E1"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 xml:space="preserve">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w:t>
      </w:r>
      <w:r w:rsidRPr="00E634E0">
        <w:rPr>
          <w:rFonts w:cs="Calibri"/>
        </w:rPr>
        <w:lastRenderedPageBreak/>
        <w:t>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lastRenderedPageBreak/>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7"/>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lastRenderedPageBreak/>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W przypadku modernizacji dostępność dotyczy co najmniej tych elementów budynku, które były przedmiotem finansowania z EFSiI. Dla obiektów i zasobów modernizowanych (przebudowa</w:t>
      </w:r>
      <w:r w:rsidRPr="0080733C">
        <w:rPr>
          <w:color w:val="000000"/>
          <w:sz w:val="20"/>
          <w:szCs w:val="20"/>
          <w:vertAlign w:val="superscript"/>
        </w:rPr>
        <w:footnoteReference w:id="8"/>
      </w:r>
      <w:r w:rsidRPr="0080733C">
        <w:rPr>
          <w:rFonts w:cs="Calibri"/>
          <w:color w:val="000000"/>
          <w:sz w:val="20"/>
          <w:szCs w:val="20"/>
        </w:rPr>
        <w:t>, rozbudowa</w:t>
      </w:r>
      <w:r w:rsidRPr="0080733C">
        <w:rPr>
          <w:color w:val="000000"/>
          <w:sz w:val="20"/>
          <w:szCs w:val="20"/>
          <w:vertAlign w:val="superscript"/>
        </w:rPr>
        <w:footnoteReference w:id="9"/>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0E2DB4D2"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dofinansowania gotowych projektów (to znaczy na przykład już wcześniej zaprojektowanych budynków), jeśli nie jest możliwa ich modyfikacja zgodnie ze standardami dostępności dla polityki spójności na lata 2014-2020, należy uzasadnić brak możliwości modyfikacji projektu. </w:t>
      </w:r>
    </w:p>
    <w:p w14:paraId="0A7EA798" w14:textId="44D7036B" w:rsidR="0080733C" w:rsidRPr="0080733C" w:rsidRDefault="0080733C" w:rsidP="0080733C">
      <w:pPr>
        <w:jc w:val="both"/>
        <w:rPr>
          <w:rFonts w:cs="Calibri"/>
          <w:color w:val="000000"/>
          <w:sz w:val="20"/>
          <w:szCs w:val="20"/>
        </w:rPr>
      </w:pPr>
      <w:r w:rsidRPr="0080733C">
        <w:rPr>
          <w:rFonts w:cs="Calibri"/>
          <w:color w:val="000000"/>
          <w:sz w:val="20"/>
          <w:szCs w:val="20"/>
        </w:rPr>
        <w:t>W przypadku składania wniosku o dofinansowanie dla projektu, dla którego projekt budowlany został sporządzony p</w:t>
      </w:r>
      <w:r w:rsidR="00CA430F">
        <w:rPr>
          <w:rFonts w:cs="Calibri"/>
          <w:color w:val="000000"/>
          <w:sz w:val="20"/>
          <w:szCs w:val="20"/>
        </w:rPr>
        <w:t>rzed dniem ogłoszenia konkursu/</w:t>
      </w:r>
      <w:r w:rsidRPr="0080733C">
        <w:rPr>
          <w:rFonts w:cs="Calibri"/>
          <w:color w:val="000000"/>
          <w:sz w:val="20"/>
          <w:szCs w:val="20"/>
        </w:rPr>
        <w:t>wezwania do złożenia wniosku o dofinansowanie i nie jest możliwa jego modyfikacja zgodnie ze standardami dostępności dla polityki spójności na lata 2014-2020, Wnioskodawca uzasadnia brak możliwości modyfikacji projektu. Wnioskodawca jest również zobowiązany do wskazania w jaki sposób produkty projektu będą dostępne dla osób z różnymi rodzajami niepełnosprawności.</w:t>
      </w:r>
      <w:r w:rsidRPr="0080733C">
        <w:rPr>
          <w:color w:val="000000"/>
          <w:sz w:val="20"/>
          <w:szCs w:val="20"/>
          <w:vertAlign w:val="superscript"/>
        </w:rPr>
        <w:footnoteReference w:id="10"/>
      </w:r>
      <w:r w:rsidRPr="0080733C">
        <w:rPr>
          <w:rFonts w:cs="Calibri"/>
          <w:color w:val="000000"/>
          <w:sz w:val="20"/>
          <w:szCs w:val="20"/>
        </w:rPr>
        <w:t xml:space="preserv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 xml:space="preserve">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w:t>
      </w:r>
      <w:r w:rsidRPr="0080733C">
        <w:rPr>
          <w:rFonts w:cs="Calibri"/>
          <w:color w:val="000000"/>
          <w:sz w:val="20"/>
          <w:szCs w:val="20"/>
        </w:rPr>
        <w:lastRenderedPageBreak/>
        <w:t>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1D256B7A"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00EF50FB">
        <w:rPr>
          <w:rStyle w:val="Odwoanieprzypisudolnego"/>
          <w:color w:val="000000"/>
          <w:sz w:val="20"/>
          <w:szCs w:val="20"/>
          <w:lang w:eastAsia="en-US"/>
        </w:rPr>
        <w:footnoteReference w:id="11"/>
      </w:r>
      <w:r w:rsidRPr="0080733C">
        <w:rPr>
          <w:rFonts w:cs="Calibri"/>
          <w:color w:val="000000"/>
          <w:sz w:val="20"/>
          <w:szCs w:val="20"/>
          <w:lang w:eastAsia="en-US"/>
        </w:rPr>
        <w:t xml:space="preserve">, </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w:t>
      </w:r>
      <w:r w:rsidRPr="00053B96">
        <w:lastRenderedPageBreak/>
        <w:t xml:space="preserve">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77777777"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r>
        <w:rPr>
          <w:rFonts w:cs="Calibri"/>
          <w:color w:val="000000"/>
          <w:u w:val="single"/>
        </w:rPr>
        <w:t>, chyba że w regulaminie konkursu przewidziano krótszy termin. W takim przypadku data nie może być późniejsza niż data wskazana w regulaminie konkursu.</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w:t>
      </w:r>
      <w:r w:rsidRPr="00FB1A11">
        <w:rPr>
          <w:rFonts w:cs="Calibri"/>
          <w:color w:val="000000" w:themeColor="text1"/>
        </w:rPr>
        <w:lastRenderedPageBreak/>
        <w:t>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2"/>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lastRenderedPageBreak/>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3068C99D"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 xml:space="preserve">księgowego, jakim wydatek został oznaczony </w:t>
      </w:r>
      <w:r w:rsidRPr="00E634E0">
        <w:rPr>
          <w:rFonts w:cs="Calibri"/>
        </w:rPr>
        <w:lastRenderedPageBreak/>
        <w:t>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check-boxa.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 xml:space="preserve">Przykładowe nazwy kosztów to: wykupy gruntów, roboty drogowe, prace ogólnobudowlane, zestaw mebli biurowych, szafa chłodniczo-mroźnicza.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75CC9DA8"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 przypadku realizowania więcej niż jednego typu projektu (ocenianych różnym zestawem kryteriów merytorycznych)</w:t>
      </w:r>
      <w:r w:rsidR="00D21532">
        <w:rPr>
          <w:rFonts w:cs="Calibri"/>
        </w:rPr>
        <w:t>,</w:t>
      </w:r>
      <w:r w:rsidRPr="00E634E0">
        <w:rPr>
          <w:rFonts w:cs="Calibri"/>
        </w:rPr>
        <w:t xml:space="preserve"> w tym polu należy </w:t>
      </w:r>
      <w:r w:rsidRPr="00E634E0">
        <w:rPr>
          <w:rFonts w:cs="Calibri"/>
        </w:rPr>
        <w:lastRenderedPageBreak/>
        <w:t xml:space="preserve">przypisać koszt do określonego typu projektu. W przypadku kosztów wspólnych (tj. </w:t>
      </w:r>
      <w:r w:rsidRPr="009E13CB">
        <w:rPr>
          <w:rFonts w:cs="Calibri"/>
        </w:rPr>
        <w:t xml:space="preserve">właściwych dla więcej niż jednego typu projektu) </w:t>
      </w:r>
      <w:r w:rsidR="00560486" w:rsidRPr="009E13CB">
        <w:rPr>
          <w:rFonts w:cs="Calibri"/>
        </w:rPr>
        <w:t xml:space="preserve">należy je przypisać </w:t>
      </w:r>
      <w:r w:rsidR="00560486">
        <w:rPr>
          <w:rFonts w:cs="Calibri"/>
        </w:rPr>
        <w:t xml:space="preserve">zgodnie z procentowym podziałem określonym w polu B.16 </w:t>
      </w:r>
      <w:r w:rsidR="00560486" w:rsidRPr="009E13CB">
        <w:rPr>
          <w:rFonts w:cs="Calibri"/>
        </w:rPr>
        <w:t xml:space="preserve">do </w:t>
      </w:r>
      <w:r w:rsidR="00560486">
        <w:rPr>
          <w:rFonts w:cs="Calibri"/>
        </w:rPr>
        <w:t xml:space="preserve">każdego z typów </w:t>
      </w:r>
      <w:r w:rsidR="00560486" w:rsidRPr="009E13CB">
        <w:rPr>
          <w:rFonts w:cs="Calibri"/>
        </w:rPr>
        <w:t>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 xml:space="preserve">Po </w:t>
      </w:r>
      <w:r w:rsidRPr="005B0D5D">
        <w:rPr>
          <w:rFonts w:cs="Calibri"/>
        </w:rPr>
        <w:lastRenderedPageBreak/>
        <w:t>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lastRenderedPageBreak/>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 xml:space="preserve">Wytyczne w zakresie zagadnień związanych z przygotowaniem projektów inwestycyjnych, w tym projektów generujących dochód i projektów hybrydowych na lata 2014-2020 określają, iż według jednej z zasad </w:t>
      </w:r>
      <w:r w:rsidRPr="00E634E0">
        <w:rPr>
          <w:rFonts w:cs="Calibri"/>
          <w:noProof/>
        </w:rPr>
        <w:lastRenderedPageBreak/>
        <w:t>„Wysokość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3"/>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 xml:space="preserve">jest stworzenie jednego miejsca, w którym znajdować się będą wszystkie informacje o umowach, jakie wnioskodawca/beneficjent zawarł z wykonawcami </w:t>
      </w:r>
      <w:r w:rsidRPr="00E634E0">
        <w:rPr>
          <w:rFonts w:cs="Calibri"/>
          <w:noProof/>
          <w:sz w:val="20"/>
          <w:szCs w:val="20"/>
        </w:rPr>
        <w:lastRenderedPageBreak/>
        <w:t>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1" w:name="_Toc496864375"/>
      <w:r w:rsidRPr="00E634E0">
        <w:t>F.1. Wskaźniki produktu</w:t>
      </w:r>
      <w:bookmarkEnd w:id="121"/>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w:t>
      </w:r>
      <w:r w:rsidRPr="003F1DA2">
        <w:rPr>
          <w:rFonts w:cs="Calibri"/>
          <w:noProof/>
          <w:sz w:val="20"/>
          <w:szCs w:val="20"/>
        </w:rPr>
        <w:lastRenderedPageBreak/>
        <w:t>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06865C2F" w14:textId="0A057769" w:rsidR="00886690" w:rsidRPr="00E634E0" w:rsidRDefault="00886690" w:rsidP="00E354DA">
      <w:pPr>
        <w:pStyle w:val="Pole"/>
      </w:pPr>
      <w:r w:rsidRPr="00E634E0">
        <w:t>F.2. Wskaźniki rezultatu</w:t>
      </w:r>
      <w:bookmarkEnd w:id="122"/>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3" w:name="_Toc496864377"/>
      <w:r w:rsidRPr="00E634E0">
        <w:t>F.3. Wpływ projektu na zatrudnienie</w:t>
      </w:r>
      <w:bookmarkEnd w:id="123"/>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4" w:name="_Toc496864378"/>
      <w:r w:rsidRPr="00E634E0">
        <w:t>G.   ZAŁĄCZNIKI DO WNIOSKU</w:t>
      </w:r>
      <w:bookmarkEnd w:id="124"/>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4"/>
      </w:r>
      <w:r w:rsidR="000B7E21" w:rsidRPr="000B7E21">
        <w:t xml:space="preserve">. </w:t>
      </w:r>
    </w:p>
    <w:p w14:paraId="3BEE991D" w14:textId="3F4E1824"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67D4C158"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5"/>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lastRenderedPageBreak/>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lastRenderedPageBreak/>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02EBEF8D"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w:t>
      </w:r>
      <w:r w:rsidR="005F7911">
        <w:rPr>
          <w:b/>
          <w:bCs/>
        </w:rPr>
        <w:t>Podd</w:t>
      </w:r>
      <w:r w:rsidR="007E39D9">
        <w:rPr>
          <w:b/>
          <w:bCs/>
        </w:rPr>
        <w:t xml:space="preserve">ziałania </w:t>
      </w:r>
      <w:r w:rsidR="005F7911">
        <w:rPr>
          <w:b/>
          <w:bCs/>
        </w:rPr>
        <w:t xml:space="preserve">4.5.3 </w:t>
      </w:r>
      <w:r w:rsidR="007E39D9" w:rsidRPr="007E39D9">
        <w:rPr>
          <w:b/>
          <w:bCs/>
        </w:rPr>
        <w:t xml:space="preserve"> p</w:t>
      </w:r>
      <w:r w:rsidR="00C0248E">
        <w:rPr>
          <w:b/>
          <w:bCs/>
        </w:rPr>
        <w:t xml:space="preserve">rzyjmuje się </w:t>
      </w:r>
      <w:r w:rsidR="005F7911">
        <w:rPr>
          <w:b/>
          <w:bCs/>
        </w:rPr>
        <w:t>2</w:t>
      </w:r>
      <w:r w:rsidR="00BF2FA5">
        <w:rPr>
          <w:b/>
          <w:bCs/>
        </w:rPr>
        <w:t>5-letni okres odniesienia</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lastRenderedPageBreak/>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lastRenderedPageBreak/>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w:t>
      </w:r>
      <w:r w:rsidRPr="00E634E0">
        <w:rPr>
          <w:rFonts w:cs="Calibri"/>
          <w:noProof/>
        </w:rPr>
        <w:lastRenderedPageBreak/>
        <w:t>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5"/>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32C48F00" w14:textId="77777777"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 xml:space="preserve">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 </w:t>
      </w: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lastRenderedPageBreak/>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33CB5808"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6" w:name="_Toc496864380"/>
      <w:r w:rsidRPr="00E634E0">
        <w:t>G.2. Załączniki dodatkowe</w:t>
      </w:r>
      <w:bookmarkEnd w:id="126"/>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lastRenderedPageBreak/>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 xml:space="preserve">„Deklarację organu odpowiedzialnego za monitorowanie obszarów Natura </w:t>
      </w:r>
      <w:r w:rsidRPr="00CD45B5">
        <w:rPr>
          <w:rFonts w:cs="Calibri"/>
          <w:noProof/>
        </w:rPr>
        <w:lastRenderedPageBreak/>
        <w:t>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 wnioskodawca jest zobowiązany dołączyć przedmiotowy dokument.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27FEC6C3"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Dołączenie deklaracji na etapie oceny formalnej wniosku nie jest wymagane, niemniej jednak w przypadku wyboru projektu do dofinansowania należy ją dołączyć najpóźniej do dnia podpisania umowy o dofinansowanie.</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30519F2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w:t>
      </w:r>
      <w:r w:rsidRPr="00E634E0">
        <w:rPr>
          <w:rFonts w:cs="Calibri"/>
        </w:rPr>
        <w:lastRenderedPageBreak/>
        <w:t xml:space="preserve">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w:t>
      </w:r>
    </w:p>
    <w:p w14:paraId="3D88A38E" w14:textId="77777777"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w:t>
      </w:r>
      <w:r w:rsidR="00A54AC9" w:rsidRPr="00A54AC9">
        <w:rPr>
          <w:rFonts w:cs="Calibri"/>
          <w:noProof/>
        </w:rPr>
        <w:lastRenderedPageBreak/>
        <w:t>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w:t>
      </w:r>
      <w:r w:rsidR="00560AE1">
        <w:rPr>
          <w:rFonts w:cs="Calibri"/>
        </w:rPr>
        <w:t xml:space="preserve">jektu powinien 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w:t>
      </w:r>
      <w:r w:rsidRPr="00E634E0">
        <w:rPr>
          <w:rFonts w:cs="Calibri"/>
          <w:noProof/>
          <w:sz w:val="20"/>
          <w:szCs w:val="20"/>
        </w:rPr>
        <w:lastRenderedPageBreak/>
        <w:t xml:space="preserve">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6"/>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w:t>
      </w:r>
      <w:r w:rsidR="00625407" w:rsidRPr="007240A9">
        <w:rPr>
          <w:sz w:val="20"/>
        </w:rPr>
        <w:lastRenderedPageBreak/>
        <w:t xml:space="preserve">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w:t>
      </w:r>
      <w:r w:rsidRPr="00E634E0">
        <w:rPr>
          <w:rFonts w:cs="Calibri"/>
          <w:noProof/>
        </w:rPr>
        <w:lastRenderedPageBreak/>
        <w:t>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7"/>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8"/>
      </w:r>
      <w:r w:rsidRPr="00E634E0">
        <w:rPr>
          <w:rStyle w:val="Odwoanieprzypisudolnego"/>
          <w:rFonts w:cs="Calibri"/>
          <w:noProof/>
        </w:rPr>
        <w:footnoteReference w:id="19"/>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302F04D" w14:textId="46539E72"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minimis (przedkładanego w ramach odrębnego załącznika), w części A pkt 9  </w:t>
      </w:r>
      <w:r w:rsidRPr="001A7E3E">
        <w:rPr>
          <w:sz w:val="20"/>
          <w:szCs w:val="20"/>
          <w:lang w:eastAsia="en-US"/>
        </w:rPr>
        <w:lastRenderedPageBreak/>
        <w:t>informacji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34AFF8AD"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w:t>
      </w:r>
      <w:r w:rsidRPr="005454DE">
        <w:rPr>
          <w:rFonts w:asciiTheme="minorHAnsi" w:hAnsiTheme="minorHAnsi" w:cs="Calibri"/>
          <w:noProof/>
        </w:rPr>
        <w:lastRenderedPageBreak/>
        <w:t xml:space="preserve">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lastRenderedPageBreak/>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lastRenderedPageBreak/>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lastRenderedPageBreak/>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530DC6" w:rsidP="00B73740">
      <w:pPr>
        <w:pStyle w:val="Akapitzlist1"/>
        <w:tabs>
          <w:tab w:val="left" w:pos="1418"/>
        </w:tabs>
        <w:spacing w:before="120" w:after="120"/>
        <w:ind w:left="0"/>
        <w:contextualSpacing w:val="0"/>
        <w:jc w:val="both"/>
        <w:rPr>
          <w:rStyle w:val="Hipercze"/>
          <w:rFonts w:cs="Calibri"/>
          <w:noProof/>
        </w:rPr>
      </w:pPr>
      <w:hyperlink r:id="rId15"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530DC6" w:rsidP="00B73740">
      <w:pPr>
        <w:autoSpaceDE w:val="0"/>
        <w:autoSpaceDN w:val="0"/>
        <w:adjustRightInd w:val="0"/>
        <w:spacing w:before="120" w:after="120"/>
        <w:jc w:val="both"/>
        <w:rPr>
          <w:rStyle w:val="Hipercze"/>
          <w:rFonts w:cs="Calibri"/>
          <w:sz w:val="20"/>
          <w:szCs w:val="20"/>
        </w:rPr>
      </w:pPr>
      <w:hyperlink r:id="rId16"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lastRenderedPageBreak/>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530DC6" w:rsidP="00790361">
      <w:pPr>
        <w:spacing w:after="160" w:line="259" w:lineRule="auto"/>
        <w:jc w:val="both"/>
        <w:rPr>
          <w:sz w:val="20"/>
          <w:szCs w:val="20"/>
          <w:lang w:eastAsia="en-US"/>
        </w:rPr>
      </w:pPr>
      <w:hyperlink r:id="rId17"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0"/>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7CF86258"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lastRenderedPageBreak/>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 xml:space="preserve">nioskodawca jest zobligowany do przedstawienia pełnej kalkulacji rekompensaty sporządzonej z uwzględnieniem zapisów Wytycznych w zakresie </w:t>
      </w:r>
      <w:r w:rsidRPr="00FB1A11">
        <w:rPr>
          <w:rFonts w:cs="Calibri"/>
          <w:color w:val="000000"/>
          <w:sz w:val="20"/>
          <w:szCs w:val="20"/>
        </w:rPr>
        <w:lastRenderedPageBreak/>
        <w:t>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lastRenderedPageBreak/>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1"/>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0C3CFD49" w14:textId="77777777" w:rsidR="00B073CB" w:rsidRPr="00B073CB" w:rsidRDefault="00B073CB" w:rsidP="00B073CB">
      <w:pPr>
        <w:tabs>
          <w:tab w:val="left" w:pos="1418"/>
        </w:tabs>
        <w:spacing w:before="120" w:after="120"/>
        <w:jc w:val="both"/>
        <w:rPr>
          <w:rFonts w:cs="Calibri"/>
          <w:color w:val="000000"/>
          <w:sz w:val="20"/>
          <w:szCs w:val="20"/>
        </w:rPr>
      </w:pPr>
      <w:r w:rsidRPr="00B073CB">
        <w:rPr>
          <w:rFonts w:cs="Calibri"/>
          <w:color w:val="000000"/>
          <w:sz w:val="20"/>
          <w:szCs w:val="20"/>
        </w:rPr>
        <w:t>Dla projektów realizowanych w formule grantowej wnioskodawca zobowiązany jest do przedstawienia wzoru umowy</w:t>
      </w:r>
      <w:r w:rsidR="00DE3BB9">
        <w:rPr>
          <w:rFonts w:cs="Calibri"/>
          <w:color w:val="000000"/>
          <w:sz w:val="20"/>
          <w:szCs w:val="20"/>
        </w:rPr>
        <w:t xml:space="preserve"> </w:t>
      </w:r>
      <w:r w:rsidRPr="00B073CB">
        <w:rPr>
          <w:rFonts w:cs="Calibri"/>
          <w:color w:val="000000"/>
          <w:sz w:val="20"/>
          <w:szCs w:val="20"/>
        </w:rPr>
        <w:t>między beneficjentem projektu granto</w:t>
      </w:r>
      <w:r w:rsidR="00142FED">
        <w:rPr>
          <w:rFonts w:cs="Calibri"/>
          <w:color w:val="000000"/>
          <w:sz w:val="20"/>
          <w:szCs w:val="20"/>
        </w:rPr>
        <w:t>wego a grantobiorcą zawierającego</w:t>
      </w:r>
      <w:r w:rsidRPr="00B073CB">
        <w:rPr>
          <w:rFonts w:cs="Calibri"/>
          <w:color w:val="000000"/>
          <w:sz w:val="20"/>
          <w:szCs w:val="20"/>
        </w:rPr>
        <w:t xml:space="preserve"> informacje dotyczące: </w:t>
      </w:r>
    </w:p>
    <w:p w14:paraId="1ACDA067"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przedmiot</w:t>
      </w:r>
      <w:r w:rsidR="00482438">
        <w:rPr>
          <w:rFonts w:cs="Calibri"/>
          <w:color w:val="000000"/>
          <w:sz w:val="20"/>
          <w:szCs w:val="20"/>
        </w:rPr>
        <w:t>u</w:t>
      </w:r>
      <w:r w:rsidRPr="00B073CB">
        <w:rPr>
          <w:rFonts w:cs="Calibri"/>
          <w:color w:val="000000"/>
          <w:sz w:val="20"/>
          <w:szCs w:val="20"/>
        </w:rPr>
        <w:t xml:space="preserve"> porozumienia lub umowy</w:t>
      </w:r>
      <w:r w:rsidR="00DF5179">
        <w:rPr>
          <w:rFonts w:cs="Calibri"/>
          <w:color w:val="000000"/>
          <w:sz w:val="20"/>
          <w:szCs w:val="20"/>
        </w:rPr>
        <w:t>,</w:t>
      </w:r>
    </w:p>
    <w:p w14:paraId="5D8F62D0"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zadań grantobiorcy objętych</w:t>
      </w:r>
      <w:r w:rsidR="00B073CB" w:rsidRPr="00B073CB">
        <w:rPr>
          <w:rFonts w:cs="Calibri"/>
          <w:color w:val="000000"/>
          <w:sz w:val="20"/>
          <w:szCs w:val="20"/>
        </w:rPr>
        <w:t xml:space="preserve"> grantem, </w:t>
      </w:r>
    </w:p>
    <w:p w14:paraId="60CEA5C5"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kwoty</w:t>
      </w:r>
      <w:r w:rsidR="00B073CB" w:rsidRPr="00B073CB">
        <w:rPr>
          <w:rFonts w:cs="Calibri"/>
          <w:color w:val="000000"/>
          <w:sz w:val="20"/>
          <w:szCs w:val="20"/>
        </w:rPr>
        <w:t xml:space="preserve"> grantu i wkładu własnego, </w:t>
      </w:r>
    </w:p>
    <w:p w14:paraId="72BA5918"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okres</w:t>
      </w:r>
      <w:r w:rsidR="00482438">
        <w:rPr>
          <w:rFonts w:cs="Calibri"/>
          <w:color w:val="000000"/>
          <w:sz w:val="20"/>
          <w:szCs w:val="20"/>
        </w:rPr>
        <w:t>u</w:t>
      </w:r>
      <w:r w:rsidRPr="00B073CB">
        <w:rPr>
          <w:rFonts w:cs="Calibri"/>
          <w:color w:val="000000"/>
          <w:sz w:val="20"/>
          <w:szCs w:val="20"/>
        </w:rPr>
        <w:t xml:space="preserve"> realizacji umowy dotacji, </w:t>
      </w:r>
    </w:p>
    <w:p w14:paraId="71F8E873"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warunków</w:t>
      </w:r>
      <w:r w:rsidR="00B073CB" w:rsidRPr="00B073CB">
        <w:rPr>
          <w:rFonts w:cs="Calibri"/>
          <w:color w:val="000000"/>
          <w:sz w:val="20"/>
          <w:szCs w:val="20"/>
        </w:rPr>
        <w:t xml:space="preserve"> przekazania i rozliczenia grantu, m.in.:</w:t>
      </w:r>
    </w:p>
    <w:p w14:paraId="74FA71FE"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sposób weryfikacji oszczędnego poniesienia wydatku, np. poprzez standardowe koszty jednostkowe lub poprzez określenie maksymalnych dopuszczalnych limitó</w:t>
      </w:r>
      <w:r w:rsidR="00DF5179">
        <w:rPr>
          <w:rFonts w:cs="Calibri"/>
          <w:color w:val="000000"/>
          <w:sz w:val="20"/>
          <w:szCs w:val="20"/>
        </w:rPr>
        <w:t>w</w:t>
      </w:r>
      <w:r w:rsidRPr="00B073CB">
        <w:rPr>
          <w:rFonts w:cs="Calibri"/>
          <w:color w:val="000000"/>
          <w:sz w:val="20"/>
          <w:szCs w:val="20"/>
        </w:rPr>
        <w:t>,</w:t>
      </w:r>
    </w:p>
    <w:p w14:paraId="46F424F8"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obowiązki związane z rozliczeniem wskaźników projektu grantowego, </w:t>
      </w:r>
    </w:p>
    <w:p w14:paraId="1F3B1623"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prawa do dysponowania nieruchomością na cele realizacji projektu oraz w okresie trwałości projektu,</w:t>
      </w:r>
    </w:p>
    <w:p w14:paraId="38CD009A"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w zakresie kwalifikowalności </w:t>
      </w:r>
      <w:r w:rsidRPr="000F3FA5">
        <w:rPr>
          <w:rFonts w:cs="Calibri"/>
          <w:color w:val="000000"/>
          <w:sz w:val="20"/>
          <w:szCs w:val="20"/>
        </w:rPr>
        <w:t>podatku VAT (</w:t>
      </w:r>
      <w:r w:rsidR="00985993" w:rsidRPr="000F3FA5">
        <w:rPr>
          <w:rFonts w:cs="Calibri"/>
          <w:noProof/>
          <w:sz w:val="20"/>
          <w:szCs w:val="20"/>
        </w:rPr>
        <w:t>podatek od towarów i usług (VAT) stanowi koszt kwalifikowany przedsięwzięcia wyłącznie w sytuacji, gdy zgodnie z obowiązującymi przepisami w tym zakresie</w:t>
      </w:r>
      <w:r w:rsidR="00DF5179">
        <w:rPr>
          <w:rFonts w:cs="Calibri"/>
          <w:noProof/>
          <w:sz w:val="20"/>
          <w:szCs w:val="20"/>
        </w:rPr>
        <w:t>,</w:t>
      </w:r>
      <w:r w:rsidR="00985993" w:rsidRPr="000F3FA5">
        <w:rPr>
          <w:rFonts w:cs="Calibri"/>
          <w:noProof/>
          <w:sz w:val="20"/>
          <w:szCs w:val="20"/>
        </w:rPr>
        <w:t xml:space="preserve"> beneficjent projektu grantowego lub ostateczny odbiorca (grantobiorca) nie ma możliwości prawnych jego odliczenia</w:t>
      </w:r>
      <w:r w:rsidRPr="000F3FA5">
        <w:rPr>
          <w:rFonts w:cs="Calibri"/>
          <w:sz w:val="20"/>
          <w:szCs w:val="20"/>
        </w:rPr>
        <w:t>)</w:t>
      </w:r>
      <w:r w:rsidRPr="000F3FA5">
        <w:rPr>
          <w:rFonts w:cs="Calibri"/>
          <w:color w:val="000000"/>
          <w:sz w:val="20"/>
          <w:szCs w:val="20"/>
        </w:rPr>
        <w:t xml:space="preserve">, </w:t>
      </w:r>
    </w:p>
    <w:p w14:paraId="2B9CDD27" w14:textId="77777777" w:rsidR="00AD106E"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zachowania trwałości projektu,</w:t>
      </w:r>
    </w:p>
    <w:p w14:paraId="3BDCE667" w14:textId="77777777" w:rsidR="00B073CB" w:rsidRPr="000F3FA5" w:rsidRDefault="00AD106E"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w:t>
      </w:r>
      <w:r w:rsidR="00B073CB" w:rsidRPr="000F3FA5">
        <w:rPr>
          <w:rFonts w:cs="Calibri"/>
          <w:color w:val="000000"/>
          <w:sz w:val="20"/>
          <w:szCs w:val="20"/>
        </w:rPr>
        <w:t>,</w:t>
      </w:r>
    </w:p>
    <w:p w14:paraId="247FD0F7"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poddania się kontroli przeprowadzanej przez beneficjenta projektu grantowego lub uprawnione podmioty (np. IZ RPO WSL/IP/UKS/KE), </w:t>
      </w:r>
    </w:p>
    <w:p w14:paraId="56805B83" w14:textId="77777777" w:rsidR="00985993"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przedłożenia dokumentów wskazanych w </w:t>
      </w:r>
      <w:r w:rsidR="0035116E" w:rsidRPr="000F3FA5">
        <w:rPr>
          <w:rFonts w:cs="Calibri"/>
          <w:i/>
          <w:color w:val="000000"/>
          <w:sz w:val="20"/>
          <w:szCs w:val="20"/>
        </w:rPr>
        <w:t>Zasadach w zakresie kwalifikowania wydatków z europejskiego funduszu rozwoju regionalnego w ramach regionalnego programu operacyjnego województwa śląskiego na lata 2014-2020 (formuła grantowa)</w:t>
      </w:r>
      <w:r w:rsidR="0035116E" w:rsidRPr="000F3FA5">
        <w:rPr>
          <w:rFonts w:cs="Calibri"/>
          <w:color w:val="000000"/>
          <w:sz w:val="20"/>
          <w:szCs w:val="20"/>
        </w:rPr>
        <w:t>,</w:t>
      </w:r>
    </w:p>
    <w:p w14:paraId="15438AE2" w14:textId="77777777" w:rsidR="008B1126" w:rsidRDefault="00B073CB" w:rsidP="004D450D">
      <w:pPr>
        <w:numPr>
          <w:ilvl w:val="0"/>
          <w:numId w:val="21"/>
        </w:numPr>
        <w:tabs>
          <w:tab w:val="left" w:pos="993"/>
        </w:tabs>
        <w:spacing w:before="120" w:after="120"/>
        <w:contextualSpacing/>
        <w:jc w:val="both"/>
        <w:rPr>
          <w:rFonts w:cs="Calibri"/>
          <w:color w:val="000000"/>
          <w:sz w:val="20"/>
          <w:szCs w:val="20"/>
        </w:rPr>
      </w:pPr>
      <w:r w:rsidRPr="00B073CB">
        <w:rPr>
          <w:rFonts w:cs="Calibri"/>
          <w:color w:val="000000"/>
          <w:sz w:val="20"/>
          <w:szCs w:val="20"/>
        </w:rPr>
        <w:t>pomocy publicznej (w przypadku, gdy objęty projektem odbiorca końcowy prowadzi działalność gospodarczą w obiekcie objętym projektem lub wykorzystuje przedmiot projektu do prowadzenie t</w:t>
      </w:r>
      <w:r w:rsidR="00482438">
        <w:rPr>
          <w:rFonts w:cs="Calibri"/>
          <w:color w:val="000000"/>
          <w:sz w:val="20"/>
          <w:szCs w:val="20"/>
        </w:rPr>
        <w:t>ej działalności – jeśli dotyczy,</w:t>
      </w:r>
      <w:r w:rsidRPr="00B073CB">
        <w:rPr>
          <w:rFonts w:cs="Calibri"/>
          <w:color w:val="000000"/>
          <w:sz w:val="20"/>
          <w:szCs w:val="20"/>
        </w:rPr>
        <w:t xml:space="preserve"> powinny zostać określone obowiązki bene</w:t>
      </w:r>
      <w:r w:rsidR="00482438">
        <w:rPr>
          <w:rFonts w:cs="Calibri"/>
          <w:color w:val="000000"/>
          <w:sz w:val="20"/>
          <w:szCs w:val="20"/>
        </w:rPr>
        <w:t xml:space="preserve">ficjenta udzielającego pomocy </w:t>
      </w:r>
      <w:r w:rsidR="00482438">
        <w:rPr>
          <w:rFonts w:cs="Calibri"/>
          <w:color w:val="000000"/>
          <w:sz w:val="20"/>
          <w:szCs w:val="20"/>
        </w:rPr>
        <w:lastRenderedPageBreak/>
        <w:t>w </w:t>
      </w:r>
      <w:r w:rsidRPr="00B073CB">
        <w:rPr>
          <w:rFonts w:cs="Calibri"/>
          <w:color w:val="000000"/>
          <w:sz w:val="20"/>
          <w:szCs w:val="20"/>
        </w:rPr>
        <w:t>odniesieniu do sposobu określenia wielkości pomocy, jej rodzaju i podstawy prawnej oraz zobowiązania do sprawozdawczości udzielonej pomocy), odpłatności/częściowej odpłatności za udostępniony przedmiot projektu (jeśli dotyczy),</w:t>
      </w:r>
    </w:p>
    <w:p w14:paraId="5B33AEDB" w14:textId="77777777" w:rsidR="008B1126" w:rsidRPr="000F3FA5" w:rsidRDefault="008B1126" w:rsidP="004D450D">
      <w:pPr>
        <w:numPr>
          <w:ilvl w:val="0"/>
          <w:numId w:val="21"/>
        </w:numPr>
        <w:tabs>
          <w:tab w:val="left" w:pos="993"/>
        </w:tabs>
        <w:spacing w:before="120" w:after="120"/>
        <w:contextualSpacing/>
        <w:jc w:val="both"/>
        <w:rPr>
          <w:rFonts w:cs="Calibri"/>
          <w:color w:val="000000"/>
          <w:sz w:val="20"/>
          <w:szCs w:val="20"/>
        </w:rPr>
      </w:pPr>
      <w:r w:rsidRPr="000F3FA5">
        <w:rPr>
          <w:rFonts w:cs="Calibri"/>
          <w:color w:val="000000"/>
          <w:sz w:val="20"/>
          <w:szCs w:val="20"/>
        </w:rPr>
        <w:t>zasad odzyskiwania środków:</w:t>
      </w:r>
    </w:p>
    <w:p w14:paraId="68C7EE95"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terminu do zwrotu środków,</w:t>
      </w:r>
    </w:p>
    <w:p w14:paraId="5918C0F7"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naliczania odsetek od środków podlegających zwrotowi (rodzaj odsetek i terminy ich naliczania),</w:t>
      </w:r>
    </w:p>
    <w:p w14:paraId="25AFA0B8"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rozliczania wpłat, w przypadku gdy dokonany zwrot nie pokrywa w całości należności głównej i odsetek,</w:t>
      </w:r>
    </w:p>
    <w:p w14:paraId="5DB57647"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czynności, jakie beneficjent podejmie, w przypadku braku dobrowolnego zwrotu środków przez grantobiorcę,</w:t>
      </w:r>
    </w:p>
    <w:p w14:paraId="15876DEB"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sądu wła</w:t>
      </w:r>
      <w:r w:rsidR="00482438">
        <w:rPr>
          <w:rFonts w:cs="Calibri"/>
          <w:color w:val="000000"/>
          <w:sz w:val="20"/>
          <w:szCs w:val="20"/>
        </w:rPr>
        <w:t>ściwego do rozstrzygania sporów,</w:t>
      </w:r>
    </w:p>
    <w:p w14:paraId="079087F9" w14:textId="77777777" w:rsidR="008B1126" w:rsidRDefault="00482438" w:rsidP="004D450D">
      <w:pPr>
        <w:numPr>
          <w:ilvl w:val="0"/>
          <w:numId w:val="21"/>
        </w:numPr>
        <w:tabs>
          <w:tab w:val="left" w:pos="993"/>
        </w:tabs>
        <w:spacing w:before="120" w:after="120"/>
        <w:ind w:left="714" w:hanging="357"/>
        <w:jc w:val="both"/>
        <w:rPr>
          <w:rFonts w:cs="Calibri"/>
          <w:color w:val="000000"/>
          <w:sz w:val="20"/>
          <w:szCs w:val="20"/>
        </w:rPr>
      </w:pPr>
      <w:r>
        <w:rPr>
          <w:rFonts w:cs="Calibri"/>
          <w:color w:val="000000"/>
          <w:sz w:val="20"/>
          <w:szCs w:val="20"/>
        </w:rPr>
        <w:t>zagadnień</w:t>
      </w:r>
      <w:r w:rsidR="00B073CB" w:rsidRPr="008B1126">
        <w:rPr>
          <w:rFonts w:cs="Calibri"/>
          <w:color w:val="000000"/>
          <w:sz w:val="20"/>
          <w:szCs w:val="20"/>
        </w:rPr>
        <w:t xml:space="preserve"> związan</w:t>
      </w:r>
      <w:r>
        <w:rPr>
          <w:rFonts w:cs="Calibri"/>
          <w:color w:val="000000"/>
          <w:sz w:val="20"/>
          <w:szCs w:val="20"/>
        </w:rPr>
        <w:t>ych</w:t>
      </w:r>
      <w:r w:rsidR="00B073CB" w:rsidRPr="008B1126">
        <w:rPr>
          <w:rFonts w:cs="Calibri"/>
          <w:color w:val="000000"/>
          <w:sz w:val="20"/>
          <w:szCs w:val="20"/>
        </w:rPr>
        <w:t xml:space="preserve"> z przetwarzaniem danych osobowych, w tym w zakresie wyrażenia zgody grantobiorcy na przetwarzanie danych osobowych oraz na uczest</w:t>
      </w:r>
      <w:r>
        <w:rPr>
          <w:rFonts w:cs="Calibri"/>
          <w:color w:val="000000"/>
          <w:sz w:val="20"/>
          <w:szCs w:val="20"/>
        </w:rPr>
        <w:t>nictwo w wywiadach, ankietach i </w:t>
      </w:r>
      <w:r w:rsidR="00B073CB" w:rsidRPr="008B1126">
        <w:rPr>
          <w:rFonts w:cs="Calibri"/>
          <w:color w:val="000000"/>
          <w:sz w:val="20"/>
          <w:szCs w:val="20"/>
        </w:rPr>
        <w:t>panelach w ramach ewaluacji, badań i analiz, itp.</w:t>
      </w:r>
    </w:p>
    <w:p w14:paraId="4EBD0664" w14:textId="77777777" w:rsidR="008F7C70" w:rsidRDefault="0046641D" w:rsidP="008F7C70">
      <w:pPr>
        <w:tabs>
          <w:tab w:val="left" w:pos="0"/>
          <w:tab w:val="left" w:pos="1418"/>
        </w:tabs>
        <w:spacing w:before="120" w:after="120"/>
        <w:jc w:val="both"/>
        <w:rPr>
          <w:rFonts w:cs="Calibri"/>
          <w:noProof/>
          <w:sz w:val="20"/>
        </w:rPr>
      </w:pPr>
      <w:r w:rsidRPr="000F3FA5">
        <w:rPr>
          <w:rFonts w:cs="Calibri"/>
          <w:noProof/>
          <w:sz w:val="20"/>
        </w:rPr>
        <w:t>Więcej infomacji</w:t>
      </w:r>
      <w:r w:rsidR="008F7C70" w:rsidRPr="000F3FA5">
        <w:rPr>
          <w:rFonts w:cs="Calibri"/>
          <w:noProof/>
          <w:sz w:val="20"/>
        </w:rPr>
        <w:t xml:space="preserve"> dot. projektów realizowanych w</w:t>
      </w:r>
      <w:r w:rsidRPr="000F3FA5">
        <w:rPr>
          <w:rFonts w:cs="Calibri"/>
          <w:noProof/>
          <w:sz w:val="20"/>
        </w:rPr>
        <w:t xml:space="preserve"> formule grantowej przedstawiono</w:t>
      </w:r>
      <w:r w:rsidR="008F7C70" w:rsidRPr="000F3FA5">
        <w:rPr>
          <w:rFonts w:cs="Calibri"/>
          <w:noProof/>
          <w:sz w:val="20"/>
        </w:rPr>
        <w:t xml:space="preserve"> w dokumencie ZA</w:t>
      </w:r>
      <w:r w:rsidRPr="000F3FA5">
        <w:rPr>
          <w:rFonts w:cs="Calibri"/>
          <w:noProof/>
          <w:sz w:val="20"/>
        </w:rPr>
        <w:t>SADY W </w:t>
      </w:r>
      <w:r w:rsidR="008F7C70" w:rsidRPr="000F3FA5">
        <w:rPr>
          <w:rFonts w:cs="Calibri"/>
          <w:noProof/>
          <w:sz w:val="20"/>
        </w:rPr>
        <w:t xml:space="preserve">ZAKRESIE KWALIFIKOWANIA WYDATKÓW Z EUROPEJSKIEGO </w:t>
      </w:r>
      <w:r w:rsidR="00576179" w:rsidRPr="000F3FA5">
        <w:rPr>
          <w:rFonts w:cs="Calibri"/>
          <w:noProof/>
          <w:sz w:val="20"/>
        </w:rPr>
        <w:t>FUNDUSZU ROZWOJU REGIONALNEGO W </w:t>
      </w:r>
      <w:r w:rsidR="008F7C70" w:rsidRPr="000F3FA5">
        <w:rPr>
          <w:rFonts w:cs="Calibri"/>
          <w:noProof/>
          <w:sz w:val="20"/>
        </w:rPr>
        <w:t>RAMACH REGIONALNEGO PROGRAMU OPERACYJNEGO WOJEWÓDZTWA ŚLĄSKIEGO NA LATA 2014-2020 (FORMUŁA GRANTOWA).</w:t>
      </w:r>
      <w:r w:rsidR="008F7C70" w:rsidRPr="008F7C70">
        <w:rPr>
          <w:rFonts w:cs="Calibri"/>
          <w:noProof/>
          <w:sz w:val="20"/>
        </w:rPr>
        <w:t xml:space="preserve">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7" w:name="_Toc496864381"/>
      <w:r w:rsidRPr="00E634E0">
        <w:t>H.   OŚWIADCZENIA BENEFICJENTA</w:t>
      </w:r>
      <w:bookmarkEnd w:id="127"/>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8" w:name="_Toc496864382"/>
      <w:r w:rsidRPr="00E634E0">
        <w:t>I. ZAŁĄCZNIKI GENEROWANE W SYSTEMIE</w:t>
      </w:r>
      <w:bookmarkEnd w:id="128"/>
    </w:p>
    <w:p w14:paraId="7BE50DE1" w14:textId="77777777" w:rsidR="00886690" w:rsidRPr="00E634E0" w:rsidRDefault="00886690" w:rsidP="00E354DA">
      <w:pPr>
        <w:pStyle w:val="Pole"/>
      </w:pPr>
      <w:bookmarkStart w:id="129" w:name="_Toc496864383"/>
      <w:r w:rsidRPr="00E634E0">
        <w:t>I.1. Dane stosowne do określenia statusu przedsiębiorstwa</w:t>
      </w:r>
      <w:bookmarkEnd w:id="129"/>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t>
      </w:r>
      <w:r w:rsidRPr="00E634E0">
        <w:rPr>
          <w:rFonts w:cs="Calibri"/>
          <w:sz w:val="20"/>
          <w:szCs w:val="20"/>
        </w:rPr>
        <w:lastRenderedPageBreak/>
        <w:t>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lastRenderedPageBreak/>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Decyzja Komisji Europejskiej C 8/2005 z 07.06.2006 r., Nordbrandenburger UmesterungsWerke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p>
    <w:p w14:paraId="44A671B9" w14:textId="77777777" w:rsidR="00732F45" w:rsidRDefault="00530DC6" w:rsidP="009C50B8">
      <w:pPr>
        <w:spacing w:after="120"/>
        <w:ind w:left="567"/>
        <w:jc w:val="both"/>
        <w:rPr>
          <w:rFonts w:cs="Calibri"/>
          <w:sz w:val="20"/>
          <w:szCs w:val="20"/>
        </w:rPr>
      </w:pPr>
      <w:hyperlink r:id="rId18"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r w:rsidRPr="00D0427C">
        <w:rPr>
          <w:rFonts w:cs="Calibri"/>
          <w:sz w:val="20"/>
        </w:rPr>
        <w:t>HaTeFo GmbH przeciwko Finanzamt Haldensleben</w:t>
      </w:r>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lastRenderedPageBreak/>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lastRenderedPageBreak/>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 xml:space="preserve">Rozporządzenia Komisji (UE) </w:t>
      </w:r>
      <w:r w:rsidR="00585AB6">
        <w:rPr>
          <w:rFonts w:asciiTheme="minorHAnsi" w:hAnsiTheme="minorHAnsi"/>
          <w:sz w:val="20"/>
          <w:szCs w:val="20"/>
          <w:lang w:eastAsia="en-US"/>
        </w:rPr>
        <w:lastRenderedPageBreak/>
        <w:t>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530DC6" w:rsidP="00585AB6">
      <w:pPr>
        <w:pStyle w:val="Akapitzlist1"/>
        <w:spacing w:before="120" w:after="120"/>
        <w:ind w:left="0"/>
        <w:contextualSpacing w:val="0"/>
        <w:jc w:val="both"/>
        <w:rPr>
          <w:rFonts w:cs="Calibri"/>
          <w:noProof/>
        </w:rPr>
      </w:pPr>
      <w:hyperlink r:id="rId20"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0" w:name="_Toc496864384"/>
      <w:r w:rsidRPr="00E634E0">
        <w:t>Podsumowanie</w:t>
      </w:r>
      <w:bookmarkEnd w:id="130"/>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t>
      </w:r>
      <w:r>
        <w:rPr>
          <w:rFonts w:cs="Calibri"/>
          <w:noProof/>
        </w:rPr>
        <w:lastRenderedPageBreak/>
        <w:t xml:space="preserve">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weryfikowanego kwalifikowanym certyfikatem, certyfikatu CC SEKAP lub profilu zaufanego ePUAP.</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9E5E22"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e-PuaP.</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7343AF"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w:t>
      </w:r>
      <w:r w:rsidRPr="00E634E0">
        <w:rPr>
          <w:rFonts w:cs="Calibri"/>
          <w:noProof/>
        </w:rPr>
        <w:lastRenderedPageBreak/>
        <w:t xml:space="preserve">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1"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1"/>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bookmarkStart w:id="132" w:name="_GoBack"/>
      <w:bookmarkEnd w:id="132"/>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6"/>
      <w:type w:val="continuous"/>
      <w:pgSz w:w="11906" w:h="16838" w:code="9"/>
      <w:pgMar w:top="1418" w:right="1418" w:bottom="1276" w:left="1418" w:header="709" w:footer="7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7A686" w15:done="0"/>
  <w15:commentEx w15:paraId="18457FA9" w15:done="0"/>
  <w15:commentEx w15:paraId="4432A7EA" w15:done="0"/>
  <w15:commentEx w15:paraId="3BCEE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D0DD3" w14:textId="77777777" w:rsidR="00463264" w:rsidRDefault="00463264" w:rsidP="00416763">
      <w:pPr>
        <w:spacing w:after="0" w:line="240" w:lineRule="auto"/>
      </w:pPr>
      <w:r>
        <w:separator/>
      </w:r>
    </w:p>
  </w:endnote>
  <w:endnote w:type="continuationSeparator" w:id="0">
    <w:p w14:paraId="14FE87B1" w14:textId="77777777" w:rsidR="00463264" w:rsidRDefault="00463264"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17B4" w14:textId="46F3F45A" w:rsidR="00463264" w:rsidRDefault="00463264">
    <w:pPr>
      <w:pStyle w:val="Stopka"/>
      <w:jc w:val="right"/>
    </w:pPr>
    <w:r>
      <w:fldChar w:fldCharType="begin"/>
    </w:r>
    <w:r>
      <w:instrText>PAGE   \* MERGEFORMAT</w:instrText>
    </w:r>
    <w:r>
      <w:fldChar w:fldCharType="separate"/>
    </w:r>
    <w:r w:rsidR="00530DC6">
      <w:rPr>
        <w:noProof/>
      </w:rPr>
      <w:t>80</w:t>
    </w:r>
    <w:r>
      <w:fldChar w:fldCharType="end"/>
    </w:r>
  </w:p>
  <w:p w14:paraId="7FBF4BE6" w14:textId="77777777" w:rsidR="00463264" w:rsidRDefault="00463264"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07C4" w14:textId="77777777" w:rsidR="00463264" w:rsidRDefault="00463264" w:rsidP="00416763">
      <w:pPr>
        <w:spacing w:after="0" w:line="240" w:lineRule="auto"/>
      </w:pPr>
      <w:r>
        <w:separator/>
      </w:r>
    </w:p>
  </w:footnote>
  <w:footnote w:type="continuationSeparator" w:id="0">
    <w:p w14:paraId="69AB90A7" w14:textId="77777777" w:rsidR="00463264" w:rsidRDefault="00463264" w:rsidP="00416763">
      <w:pPr>
        <w:spacing w:after="0" w:line="240" w:lineRule="auto"/>
      </w:pPr>
      <w:r>
        <w:continuationSeparator/>
      </w:r>
    </w:p>
  </w:footnote>
  <w:footnote w:id="1">
    <w:p w14:paraId="29BA0ACB" w14:textId="77777777" w:rsidR="00463264" w:rsidRDefault="00463264"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463264" w:rsidRDefault="00463264">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463264" w:rsidRDefault="00463264"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16E024E3" w:rsidR="00463264" w:rsidRDefault="00463264">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przekazyqwana jest na niższy poziom.</w:t>
      </w:r>
    </w:p>
  </w:footnote>
  <w:footnote w:id="5">
    <w:p w14:paraId="732F4BFB" w14:textId="77777777" w:rsidR="00463264" w:rsidRPr="00460FD1" w:rsidRDefault="00463264"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463264" w:rsidRPr="00460FD1" w:rsidRDefault="00530DC6" w:rsidP="00460FD1">
      <w:pPr>
        <w:pStyle w:val="Tekstprzypisudolnego"/>
        <w:jc w:val="both"/>
        <w:rPr>
          <w:sz w:val="18"/>
        </w:rPr>
      </w:pPr>
      <w:hyperlink r:id="rId1" w:history="1">
        <w:r w:rsidR="00463264"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463264" w:rsidRDefault="00530DC6" w:rsidP="00460FD1">
      <w:pPr>
        <w:pStyle w:val="Tekstprzypisudolnego"/>
        <w:jc w:val="both"/>
      </w:pPr>
      <w:hyperlink r:id="rId2" w:history="1">
        <w:r w:rsidR="00463264"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463264" w:rsidRPr="00460FD1">
        <w:rPr>
          <w:sz w:val="18"/>
        </w:rPr>
        <w:t xml:space="preserve"> </w:t>
      </w:r>
    </w:p>
  </w:footnote>
  <w:footnote w:id="6">
    <w:p w14:paraId="0004B95C" w14:textId="77777777" w:rsidR="00EC36FE" w:rsidRDefault="00EC36FE" w:rsidP="00EC36FE">
      <w:pPr>
        <w:pStyle w:val="Tekstprzypisudolnego"/>
      </w:pPr>
      <w:r>
        <w:rPr>
          <w:rStyle w:val="Odwoanieprzypisudolnego"/>
          <w:rFonts w:eastAsiaTheme="majorEastAsia"/>
        </w:rPr>
        <w:footnoteRef/>
      </w:r>
      <w:r>
        <w:t xml:space="preserve"> Szczegółowe informacje nt. kryteriów będących przedmiotem oceny projektów w ramach Działania 6.2., typ 2 znajdują się w zał. nr 3 do SZOOP RPO WSL na lata 2014-2020</w:t>
      </w:r>
    </w:p>
  </w:footnote>
  <w:footnote w:id="7">
    <w:p w14:paraId="76A002A2" w14:textId="107C397A" w:rsidR="00463264" w:rsidRPr="00DC6F60" w:rsidRDefault="00463264"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8">
    <w:p w14:paraId="739203D3" w14:textId="77777777" w:rsidR="00463264" w:rsidRPr="00DC6F60" w:rsidRDefault="00463264"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9">
    <w:p w14:paraId="43A9A2F9" w14:textId="77777777" w:rsidR="00463264" w:rsidRDefault="00463264"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0">
    <w:p w14:paraId="5DDE04E5" w14:textId="77777777" w:rsidR="00463264" w:rsidRPr="00A84FAF" w:rsidRDefault="00463264" w:rsidP="00A84FAF">
      <w:pPr>
        <w:pStyle w:val="Tekstprzypisudolnego"/>
        <w:jc w:val="both"/>
        <w:rPr>
          <w:sz w:val="18"/>
          <w:szCs w:val="18"/>
        </w:rPr>
      </w:pPr>
      <w:r w:rsidRPr="00A84FAF">
        <w:rPr>
          <w:rStyle w:val="Odwoanieprzypisudolnego"/>
          <w:sz w:val="18"/>
          <w:szCs w:val="18"/>
        </w:rPr>
        <w:footnoteRef/>
      </w:r>
      <w:r w:rsidRPr="00A84FAF">
        <w:rPr>
          <w:sz w:val="18"/>
          <w:szCs w:val="18"/>
        </w:rPr>
        <w:t xml:space="preserve"> W naborach ogłoszonych po 1 stycznia 2019 r. również projekty, dla których Wnioskodawca posiada wcześniej przygotowaną dokumentację budowlaną będą musiały spełnić warunki wynikające z Wytycznych w zakresie realizacji zasady równości szans i niedyskryminacji (…) – tj. projekt powinien być przygotowany z uwzględnieniem standardów dostępności dla polityki spójności na lata 2014-2020.</w:t>
      </w:r>
    </w:p>
  </w:footnote>
  <w:footnote w:id="11">
    <w:p w14:paraId="383D500D" w14:textId="277EB74A" w:rsidR="00463264" w:rsidRPr="00525531" w:rsidRDefault="00463264" w:rsidP="00525531">
      <w:pPr>
        <w:pStyle w:val="Tekstprzypisudolnego"/>
        <w:jc w:val="both"/>
        <w:rPr>
          <w:sz w:val="18"/>
          <w:szCs w:val="18"/>
        </w:rPr>
      </w:pPr>
      <w:r w:rsidRPr="00525531">
        <w:rPr>
          <w:rStyle w:val="Odwoanieprzypisudolnego"/>
          <w:sz w:val="18"/>
          <w:szCs w:val="18"/>
        </w:rPr>
        <w:footnoteRef/>
      </w:r>
      <w:r w:rsidRPr="00525531">
        <w:rPr>
          <w:sz w:val="18"/>
          <w:szCs w:val="18"/>
        </w:rPr>
        <w:t xml:space="preserve"> 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2">
    <w:p w14:paraId="296EA840" w14:textId="77777777" w:rsidR="00463264" w:rsidRDefault="00463264">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3">
    <w:p w14:paraId="153957AD" w14:textId="77777777" w:rsidR="00463264" w:rsidRPr="00B04F16" w:rsidRDefault="00463264"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77777777" w:rsidR="00463264" w:rsidRPr="00B04F16" w:rsidRDefault="00463264" w:rsidP="00B04F16">
      <w:pPr>
        <w:pStyle w:val="Tekstprzypisudolnego"/>
        <w:jc w:val="both"/>
        <w:rPr>
          <w:sz w:val="18"/>
        </w:rPr>
      </w:pPr>
      <w:r w:rsidRPr="00B04F16">
        <w:rPr>
          <w:sz w:val="18"/>
        </w:rPr>
        <w:t>-są projektami rewitalizacyjnymi (zgodnie z def. określoną w Regulaminie konkursu w pkt 2.5. Grupa docelowa),</w:t>
      </w:r>
    </w:p>
    <w:p w14:paraId="1AD71FB3" w14:textId="77777777" w:rsidR="00463264" w:rsidRPr="00B04F16" w:rsidRDefault="00463264" w:rsidP="00B04F16">
      <w:pPr>
        <w:pStyle w:val="Tekstprzypisudolnego"/>
        <w:jc w:val="both"/>
        <w:rPr>
          <w:sz w:val="18"/>
        </w:rPr>
      </w:pPr>
      <w:r w:rsidRPr="00B04F16">
        <w:rPr>
          <w:sz w:val="18"/>
        </w:rPr>
        <w:t>-nie są objęte pomocą publiczną, w tym rekompensatą,</w:t>
      </w:r>
    </w:p>
    <w:p w14:paraId="49E7D69E" w14:textId="77777777" w:rsidR="00463264" w:rsidRPr="00B04F16" w:rsidRDefault="00463264" w:rsidP="00B04F16">
      <w:pPr>
        <w:pStyle w:val="Tekstprzypisudolnego"/>
        <w:jc w:val="both"/>
        <w:rPr>
          <w:sz w:val="18"/>
        </w:rPr>
      </w:pPr>
      <w:r w:rsidRPr="00B04F16">
        <w:rPr>
          <w:sz w:val="18"/>
        </w:rPr>
        <w:t>-nie są objęte pomocą de minimis,</w:t>
      </w:r>
    </w:p>
    <w:p w14:paraId="5E2134E7" w14:textId="77777777" w:rsidR="00463264" w:rsidRDefault="00463264" w:rsidP="00B04F16">
      <w:pPr>
        <w:pStyle w:val="Tekstprzypisudolnego"/>
        <w:jc w:val="both"/>
      </w:pPr>
      <w:r w:rsidRPr="00B04F16">
        <w:rPr>
          <w:sz w:val="18"/>
        </w:rPr>
        <w:t>-nie są projektami generującymi dochód w rozumieniu art. 61 rozporządzenia nr 1303/2013</w:t>
      </w:r>
      <w:r>
        <w:rPr>
          <w:sz w:val="18"/>
        </w:rPr>
        <w:t>.</w:t>
      </w:r>
    </w:p>
  </w:footnote>
  <w:footnote w:id="14">
    <w:p w14:paraId="3AF76307" w14:textId="77777777" w:rsidR="00463264" w:rsidRDefault="00463264"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5">
    <w:p w14:paraId="5E0AC1A8" w14:textId="1C0348D6" w:rsidR="00463264" w:rsidRDefault="00463264"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6">
    <w:p w14:paraId="3F9EC69B" w14:textId="77777777" w:rsidR="00463264" w:rsidRDefault="00463264">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7">
    <w:p w14:paraId="4935F197" w14:textId="77777777" w:rsidR="00463264" w:rsidRDefault="00463264">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8">
    <w:p w14:paraId="3581FA0F" w14:textId="77777777" w:rsidR="00463264" w:rsidRDefault="00463264">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9">
    <w:p w14:paraId="5662E0DF" w14:textId="77777777" w:rsidR="00463264" w:rsidRDefault="00463264">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0">
    <w:p w14:paraId="2A59B988" w14:textId="77777777" w:rsidR="00463264" w:rsidRPr="00796FBB" w:rsidRDefault="00463264"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1">
    <w:p w14:paraId="4F2F6D2C" w14:textId="77777777" w:rsidR="00463264" w:rsidRDefault="00463264"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3">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6">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1F51542"/>
    <w:multiLevelType w:val="hybridMultilevel"/>
    <w:tmpl w:val="34004D6C"/>
    <w:lvl w:ilvl="0" w:tplc="04150019">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2">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3">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nsid w:val="6F1C52D8"/>
    <w:multiLevelType w:val="hybridMultilevel"/>
    <w:tmpl w:val="34004D6C"/>
    <w:lvl w:ilvl="0" w:tplc="04150019">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8">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4">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0"/>
  </w:num>
  <w:num w:numId="2">
    <w:abstractNumId w:val="28"/>
  </w:num>
  <w:num w:numId="3">
    <w:abstractNumId w:val="38"/>
  </w:num>
  <w:num w:numId="4">
    <w:abstractNumId w:val="52"/>
  </w:num>
  <w:num w:numId="5">
    <w:abstractNumId w:val="18"/>
  </w:num>
  <w:num w:numId="6">
    <w:abstractNumId w:val="7"/>
  </w:num>
  <w:num w:numId="7">
    <w:abstractNumId w:val="46"/>
  </w:num>
  <w:num w:numId="8">
    <w:abstractNumId w:val="19"/>
  </w:num>
  <w:num w:numId="9">
    <w:abstractNumId w:val="40"/>
  </w:num>
  <w:num w:numId="10">
    <w:abstractNumId w:val="41"/>
  </w:num>
  <w:num w:numId="11">
    <w:abstractNumId w:val="54"/>
  </w:num>
  <w:num w:numId="12">
    <w:abstractNumId w:val="44"/>
  </w:num>
  <w:num w:numId="13">
    <w:abstractNumId w:val="32"/>
  </w:num>
  <w:num w:numId="14">
    <w:abstractNumId w:val="23"/>
  </w:num>
  <w:num w:numId="15">
    <w:abstractNumId w:val="48"/>
  </w:num>
  <w:num w:numId="16">
    <w:abstractNumId w:val="21"/>
  </w:num>
  <w:num w:numId="17">
    <w:abstractNumId w:val="10"/>
  </w:num>
  <w:num w:numId="18">
    <w:abstractNumId w:val="2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0"/>
  </w:num>
  <w:num w:numId="21">
    <w:abstractNumId w:val="20"/>
  </w:num>
  <w:num w:numId="22">
    <w:abstractNumId w:val="39"/>
  </w:num>
  <w:num w:numId="23">
    <w:abstractNumId w:val="11"/>
  </w:num>
  <w:num w:numId="24">
    <w:abstractNumId w:val="14"/>
  </w:num>
  <w:num w:numId="25">
    <w:abstractNumId w:val="24"/>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17"/>
  </w:num>
  <w:num w:numId="31">
    <w:abstractNumId w:val="42"/>
  </w:num>
  <w:num w:numId="32">
    <w:abstractNumId w:val="33"/>
  </w:num>
  <w:num w:numId="33">
    <w:abstractNumId w:val="36"/>
  </w:num>
  <w:num w:numId="34">
    <w:abstractNumId w:val="1"/>
  </w:num>
  <w:num w:numId="35">
    <w:abstractNumId w:val="8"/>
  </w:num>
  <w:num w:numId="36">
    <w:abstractNumId w:val="53"/>
  </w:num>
  <w:num w:numId="37">
    <w:abstractNumId w:val="34"/>
  </w:num>
  <w:num w:numId="38">
    <w:abstractNumId w:val="4"/>
  </w:num>
  <w:num w:numId="39">
    <w:abstractNumId w:val="15"/>
  </w:num>
  <w:num w:numId="40">
    <w:abstractNumId w:val="9"/>
  </w:num>
  <w:num w:numId="41">
    <w:abstractNumId w:val="49"/>
  </w:num>
  <w:num w:numId="42">
    <w:abstractNumId w:val="31"/>
  </w:num>
  <w:num w:numId="43">
    <w:abstractNumId w:val="3"/>
  </w:num>
  <w:num w:numId="44">
    <w:abstractNumId w:val="13"/>
  </w:num>
  <w:num w:numId="45">
    <w:abstractNumId w:val="35"/>
  </w:num>
  <w:num w:numId="46">
    <w:abstractNumId w:val="16"/>
  </w:num>
  <w:num w:numId="47">
    <w:abstractNumId w:val="2"/>
  </w:num>
  <w:num w:numId="48">
    <w:abstractNumId w:val="5"/>
  </w:num>
  <w:num w:numId="49">
    <w:abstractNumId w:val="37"/>
  </w:num>
  <w:num w:numId="50">
    <w:abstractNumId w:val="51"/>
  </w:num>
  <w:num w:numId="51">
    <w:abstractNumId w:val="29"/>
  </w:num>
  <w:num w:numId="52">
    <w:abstractNumId w:val="45"/>
  </w:num>
  <w:num w:numId="53">
    <w:abstractNumId w:val="26"/>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47"/>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czekała Maciej">
    <w15:presenceInfo w15:providerId="AD" w15:userId="S-1-5-21-833596994-3496505273-2944068786-1293"/>
  </w15:person>
  <w15:person w15:author="Dziubiak Lucyna">
    <w15:presenceInfo w15:providerId="AD" w15:userId="S-1-5-21-833596994-3496505273-2944068786-1313"/>
  </w15:person>
  <w15:person w15:author="Musiał Ewelina">
    <w15:presenceInfo w15:providerId="AD" w15:userId="S-1-5-21-833596994-3496505273-2944068786-10705"/>
  </w15:person>
  <w15:person w15:author="Niemyjski Michał">
    <w15:presenceInfo w15:providerId="AD" w15:userId="S-1-5-21-833596994-3496505273-2944068786-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F79"/>
    <w:rsid w:val="001348B2"/>
    <w:rsid w:val="00134981"/>
    <w:rsid w:val="00135414"/>
    <w:rsid w:val="00136142"/>
    <w:rsid w:val="00136B8B"/>
    <w:rsid w:val="001371C3"/>
    <w:rsid w:val="00137352"/>
    <w:rsid w:val="0013786B"/>
    <w:rsid w:val="001408D2"/>
    <w:rsid w:val="00140AA2"/>
    <w:rsid w:val="00140DE0"/>
    <w:rsid w:val="00141BA4"/>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5B54"/>
    <w:rsid w:val="00190FCB"/>
    <w:rsid w:val="0019136A"/>
    <w:rsid w:val="00191427"/>
    <w:rsid w:val="00191A4F"/>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635"/>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FF7"/>
    <w:rsid w:val="002A2059"/>
    <w:rsid w:val="002A28CE"/>
    <w:rsid w:val="002A3697"/>
    <w:rsid w:val="002A4AA2"/>
    <w:rsid w:val="002A4B69"/>
    <w:rsid w:val="002A5040"/>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771E"/>
    <w:rsid w:val="003F7FD2"/>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32B5"/>
    <w:rsid w:val="00525531"/>
    <w:rsid w:val="005258B1"/>
    <w:rsid w:val="00526278"/>
    <w:rsid w:val="00526EE1"/>
    <w:rsid w:val="00530577"/>
    <w:rsid w:val="00530DC6"/>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911"/>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2AAA"/>
    <w:rsid w:val="00863932"/>
    <w:rsid w:val="00865045"/>
    <w:rsid w:val="00866F85"/>
    <w:rsid w:val="0086765A"/>
    <w:rsid w:val="0086792A"/>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414"/>
    <w:rsid w:val="00AB1ADB"/>
    <w:rsid w:val="00AB1DDC"/>
    <w:rsid w:val="00AB1FDE"/>
    <w:rsid w:val="00AB2521"/>
    <w:rsid w:val="00AB2731"/>
    <w:rsid w:val="00AB282C"/>
    <w:rsid w:val="00AB331E"/>
    <w:rsid w:val="00AB4104"/>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2FA5"/>
    <w:rsid w:val="00BF3066"/>
    <w:rsid w:val="00BF371C"/>
    <w:rsid w:val="00BF3E94"/>
    <w:rsid w:val="00BF4356"/>
    <w:rsid w:val="00BF46BD"/>
    <w:rsid w:val="00BF49E9"/>
    <w:rsid w:val="00BF4CB0"/>
    <w:rsid w:val="00BF598E"/>
    <w:rsid w:val="00BF65B3"/>
    <w:rsid w:val="00BF6909"/>
    <w:rsid w:val="00BF6CA1"/>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6FE"/>
    <w:rsid w:val="00EC398F"/>
    <w:rsid w:val="00EC4094"/>
    <w:rsid w:val="00EC46AD"/>
    <w:rsid w:val="00EC4BE6"/>
    <w:rsid w:val="00EC5F30"/>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eur-lex.europa.eu/LexUriServ/LexUriServ.do?uri=CELEX:62002TJ0137:P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uokik.gov.pl/stopa_referencyjna_i_archiwum.php"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hyperlink" Target="https://ec.europa.eu/docsroom/documents/15582/attachments/1/translations/pl/renditions/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modernisation/notice_aid_en.html"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s://uokik.gov.pl/wzory_formularzy_pomocy_de_minimis.php"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eur-lex.europa.eu/legal-content/PL/TXT/?uri=OJ:C:2016:262:TOC"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rpo.slaskie.pl/czytaj/wykaz_programow_rewitalizacji_wojewodztwa_slaskiego"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102D-2789-48D2-98E7-519ED979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1080</TotalTime>
  <Pages>80</Pages>
  <Words>33913</Words>
  <Characters>238043</Characters>
  <Application>Microsoft Office Word</Application>
  <DocSecurity>0</DocSecurity>
  <Lines>1983</Lines>
  <Paragraphs>542</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Mokry Jarosław</cp:lastModifiedBy>
  <cp:revision>153</cp:revision>
  <cp:lastPrinted>2019-02-22T12:30:00Z</cp:lastPrinted>
  <dcterms:created xsi:type="dcterms:W3CDTF">2019-01-18T12:09:00Z</dcterms:created>
  <dcterms:modified xsi:type="dcterms:W3CDTF">2019-08-19T10:52:00Z</dcterms:modified>
</cp:coreProperties>
</file>